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0"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SECURITIES AND EXCHANGE COMMISSION </w:t>
      </w:r>
    </w:p>
    <w:p>
      <w:pPr>
        <w:pStyle w:val="TextBody"/>
        <w:bidi w:val="0"/>
        <w:spacing w:lineRule="auto" w:line="288" w:before="0" w:after="0"/>
        <w:jc w:val="center"/>
        <w:rPr/>
      </w:pPr>
      <w:r>
        <w:rPr>
          <w:rFonts w:ascii="Times New Roman;serif" w:hAnsi="Times New Roman;serif"/>
          <w:b/>
          <w:color w:val="000000"/>
          <w:sz w:val="20"/>
        </w:rPr>
        <w:t>Washington, D.C. 20549</w:t>
      </w:r>
      <w:r>
        <w:rPr>
          <w:color w:val="000000"/>
        </w:rPr>
        <w:t xml:space="preserve"> </w:t>
      </w:r>
    </w:p>
    <w:p>
      <w:pPr>
        <w:pStyle w:val="TextBody"/>
        <w:bidi w:val="0"/>
        <w:spacing w:lineRule="auto" w:line="288" w:before="120" w:after="283"/>
        <w:jc w:val="center"/>
        <w:rPr/>
      </w:pPr>
      <w:r>
        <w:rPr>
          <w:rFonts w:ascii="Times New Roman;serif" w:hAnsi="Times New Roman;serif"/>
          <w:b/>
          <w:color w:val="000000"/>
          <w:sz w:val="28"/>
        </w:rPr>
        <w:t>Form 8-K</w:t>
      </w:r>
      <w:r>
        <w:rPr>
          <w:color w:val="000000"/>
        </w:rPr>
        <w:t xml:space="preserve">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May 1, 2026</w:t>
      </w:r>
    </w:p>
    <w:tbl>
      <w:tblPr>
        <w:tblW w:w="4940" w:type="dxa"/>
        <w:jc w:val="center"/>
        <w:tblInd w:w="0" w:type="dxa"/>
        <w:tblLayout w:type="fixed"/>
        <w:tblCellMar>
          <w:top w:w="28" w:type="dxa"/>
          <w:left w:w="28" w:type="dxa"/>
          <w:bottom w:w="28" w:type="dxa"/>
          <w:right w:w="28" w:type="dxa"/>
        </w:tblCellMar>
      </w:tblPr>
      <w:tblGrid>
        <w:gridCol w:w="124"/>
        <w:gridCol w:w="109"/>
        <w:gridCol w:w="109"/>
        <w:gridCol w:w="112"/>
        <w:gridCol w:w="112"/>
        <w:gridCol w:w="112"/>
        <w:gridCol w:w="1184"/>
        <w:gridCol w:w="1184"/>
        <w:gridCol w:w="1186"/>
        <w:gridCol w:w="112"/>
        <w:gridCol w:w="112"/>
        <w:gridCol w:w="11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Chevron Corporation</w:t>
            </w:r>
          </w:p>
        </w:tc>
        <w:tc>
          <w:tcPr>
            <w:tcW w:w="3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6846" w:type="dxa"/>
        <w:jc w:val="left"/>
        <w:tblInd w:w="0" w:type="dxa"/>
        <w:tblLayout w:type="fixed"/>
        <w:tblCellMar>
          <w:top w:w="28" w:type="dxa"/>
          <w:left w:w="28" w:type="dxa"/>
          <w:bottom w:w="28" w:type="dxa"/>
          <w:right w:w="28" w:type="dxa"/>
        </w:tblCellMar>
      </w:tblPr>
      <w:tblGrid>
        <w:gridCol w:w="813"/>
        <w:gridCol w:w="714"/>
        <w:gridCol w:w="722"/>
        <w:gridCol w:w="109"/>
        <w:gridCol w:w="109"/>
        <w:gridCol w:w="109"/>
        <w:gridCol w:w="762"/>
        <w:gridCol w:w="762"/>
        <w:gridCol w:w="770"/>
        <w:gridCol w:w="109"/>
        <w:gridCol w:w="109"/>
        <w:gridCol w:w="109"/>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001-00368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94-0890210</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p>
      <w:pPr>
        <w:pStyle w:val="TextBody"/>
        <w:bidi w:val="0"/>
        <w:spacing w:lineRule="auto" w:line="288" w:before="0" w:after="0"/>
        <w:jc w:val="left"/>
        <w:rPr>
          <w:color w:val="000000"/>
        </w:rPr>
      </w:pPr>
      <w:r>
        <w:rPr>
          <w:color w:val="000000"/>
        </w:rPr>
        <w:t> </w:t>
      </w:r>
    </w:p>
    <w:tbl>
      <w:tblPr>
        <w:tblW w:w="4720" w:type="dxa"/>
        <w:jc w:val="left"/>
        <w:tblInd w:w="0" w:type="dxa"/>
        <w:tblLayout w:type="fixed"/>
        <w:tblCellMar>
          <w:top w:w="28" w:type="dxa"/>
          <w:left w:w="28" w:type="dxa"/>
          <w:bottom w:w="28" w:type="dxa"/>
          <w:right w:w="28" w:type="dxa"/>
        </w:tblCellMar>
      </w:tblPr>
      <w:tblGrid>
        <w:gridCol w:w="691"/>
        <w:gridCol w:w="607"/>
        <w:gridCol w:w="611"/>
        <w:gridCol w:w="335"/>
        <w:gridCol w:w="335"/>
        <w:gridCol w:w="337"/>
        <w:gridCol w:w="147"/>
        <w:gridCol w:w="147"/>
        <w:gridCol w:w="148"/>
        <w:gridCol w:w="109"/>
        <w:gridCol w:w="109"/>
        <w:gridCol w:w="109"/>
        <w:gridCol w:w="303"/>
        <w:gridCol w:w="303"/>
        <w:gridCol w:w="429"/>
      </w:tblGrid>
      <w:tr>
        <w:trPr/>
        <w:tc>
          <w:tcPr>
            <w:tcW w:w="691"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1400 Smith Street</w:t>
            </w:r>
          </w:p>
        </w:tc>
        <w:tc>
          <w:tcPr>
            <w:tcW w:w="10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Houston,</w:t>
            </w:r>
          </w:p>
        </w:tc>
        <w:tc>
          <w:tcPr>
            <w:tcW w:w="4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TX</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77002</w:t>
            </w:r>
          </w:p>
        </w:tc>
      </w:tr>
      <w:tr>
        <w:trPr/>
        <w:tc>
          <w:tcPr>
            <w:tcW w:w="33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80" w:after="283"/>
        <w:jc w:val="center"/>
        <w:rPr/>
      </w:pPr>
      <w:r>
        <w:rPr>
          <w:rFonts w:ascii="Times New Roman;serif" w:hAnsi="Times New Roman;serif"/>
          <w:b w:val="false"/>
          <w:color w:val="000000"/>
          <w:sz w:val="20"/>
        </w:rPr>
        <w:t>Registrant’s telephone number, including area code:</w:t>
      </w:r>
      <w:r>
        <w:rPr>
          <w:color w:val="000000"/>
          <w:u w:val="single"/>
        </w:rPr>
        <w:t xml:space="preserve"> </w:t>
      </w:r>
      <w:r>
        <w:rPr>
          <w:rFonts w:ascii="Times New Roman;serif" w:hAnsi="Times New Roman;serif"/>
          <w:b/>
          <w:color w:val="000000"/>
          <w:sz w:val="20"/>
          <w:u w:val="single"/>
        </w:rPr>
        <w:t xml:space="preserve">(832) 854-1000 </w:t>
      </w:r>
    </w:p>
    <w:p>
      <w:pPr>
        <w:pStyle w:val="TextBody"/>
        <w:bidi w:val="0"/>
        <w:spacing w:lineRule="auto" w:line="288" w:before="0" w:after="0"/>
        <w:jc w:val="left"/>
        <w:rPr>
          <w:color w:val="000000"/>
        </w:rPr>
      </w:pPr>
      <w:r>
        <w:rPr>
          <w:color w:val="000000"/>
        </w:rPr>
        <w:t> </w:t>
      </w:r>
    </w:p>
    <w:tbl>
      <w:tblPr>
        <w:tblW w:w="5678" w:type="dxa"/>
        <w:jc w:val="left"/>
        <w:tblInd w:w="0" w:type="dxa"/>
        <w:tblLayout w:type="fixed"/>
        <w:tblCellMar>
          <w:top w:w="28" w:type="dxa"/>
          <w:left w:w="28" w:type="dxa"/>
          <w:bottom w:w="28" w:type="dxa"/>
          <w:right w:w="28" w:type="dxa"/>
        </w:tblCellMar>
      </w:tblPr>
      <w:tblGrid>
        <w:gridCol w:w="124"/>
        <w:gridCol w:w="109"/>
        <w:gridCol w:w="109"/>
        <w:gridCol w:w="1654"/>
        <w:gridCol w:w="1654"/>
        <w:gridCol w:w="16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obligations of the registrant under any of the following provisions:</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139" w:type="dxa"/>
        <w:jc w:val="left"/>
        <w:tblInd w:w="0" w:type="dxa"/>
        <w:tblLayout w:type="fixed"/>
        <w:tblCellMar>
          <w:top w:w="28" w:type="dxa"/>
          <w:left w:w="28" w:type="dxa"/>
          <w:bottom w:w="28" w:type="dxa"/>
          <w:right w:w="28" w:type="dxa"/>
        </w:tblCellMar>
      </w:tblPr>
      <w:tblGrid>
        <w:gridCol w:w="1217"/>
        <w:gridCol w:w="1065"/>
        <w:gridCol w:w="1078"/>
        <w:gridCol w:w="109"/>
        <w:gridCol w:w="109"/>
        <w:gridCol w:w="109"/>
        <w:gridCol w:w="474"/>
        <w:gridCol w:w="474"/>
        <w:gridCol w:w="476"/>
        <w:gridCol w:w="109"/>
        <w:gridCol w:w="109"/>
        <w:gridCol w:w="109"/>
        <w:gridCol w:w="575"/>
        <w:gridCol w:w="575"/>
        <w:gridCol w:w="575"/>
        <w:gridCol w:w="575"/>
        <w:gridCol w:w="575"/>
        <w:gridCol w:w="826"/>
      </w:tblGrid>
      <w:tr>
        <w:trPr/>
        <w:tc>
          <w:tcPr>
            <w:tcW w:w="1217"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$.75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CVX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tbl>
      <w:tblPr>
        <w:tblW w:w="10205" w:type="dxa"/>
        <w:jc w:val="left"/>
        <w:tblInd w:w="0" w:type="dxa"/>
        <w:tblLayout w:type="fixed"/>
        <w:tblCellMar>
          <w:top w:w="28" w:type="dxa"/>
          <w:left w:w="28" w:type="dxa"/>
          <w:bottom w:w="28" w:type="dxa"/>
          <w:right w:w="28" w:type="dxa"/>
        </w:tblCellMar>
      </w:tblPr>
      <w:tblGrid>
        <w:gridCol w:w="3568"/>
        <w:gridCol w:w="3127"/>
        <w:gridCol w:w="3136"/>
        <w:gridCol w:w="109"/>
        <w:gridCol w:w="109"/>
        <w:gridCol w:w="156"/>
      </w:tblGrid>
      <w:tr>
        <w:trPr/>
        <w:tc>
          <w:tcPr>
            <w:tcW w:w="3568" w:type="dxa"/>
            <w:tcBorders/>
            <w:vAlign w:val="center"/>
          </w:tcPr>
          <w:p>
            <w:pPr>
              <w:pStyle w:val="TableContents"/>
              <w:bidi w:val="0"/>
              <w:spacing w:before="0" w:after="283"/>
              <w:jc w:val="left"/>
              <w:rPr>
                <w:sz w:val="4"/>
                <w:szCs w:val="4"/>
              </w:rPr>
            </w:pPr>
            <w:r>
              <w:rPr>
                <w:sz w:val="4"/>
                <w:szCs w:val="4"/>
              </w:rPr>
            </w:r>
          </w:p>
        </w:tc>
        <w:tc>
          <w:tcPr>
            <w:tcW w:w="3127"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Indicate by check mark whether the registrant is an emerging growth company as defined in Rule 405 of the Securities Act of 1933 (</w:t>
            </w:r>
            <w:r>
              <w:rPr>
                <w:rFonts w:ascii="Times New Roman;serif" w:hAnsi="Times New Roman;serif"/>
                <w:b w:val="false"/>
                <w:color w:val="211D1E"/>
                <w:sz w:val="20"/>
              </w:rPr>
              <w:t>§230.405 of this chapter) or Rule 12b-2 of the Securities Exchange Act of 1934 (§240.12b-2 of this chapter</w:t>
            </w:r>
            <w:r>
              <w:rPr>
                <w:rFonts w:ascii="Times New Roman;serif" w:hAnsi="Times New Roman;serif"/>
                <w:b w:val="false"/>
                <w:color w:val="000000"/>
                <w:sz w:val="20"/>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0"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On May 1, 2026, Chevron Corporation (the “Company”) issued a news release announcing unaudited first quarter 2026 earnings of $2.2 billion. The news release is attached hereto as Exhibit 99.1 and incorporated herein by reference.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information included herein and in Exhibit 99.1 shall not be deemed “filed” for purposes of Section 18 of the Securities Exchange Act of 1934, nor shall it be deemed incorporated by reference in any filing under the Securities Act of 1933, as amended.</w:t>
      </w:r>
    </w:p>
    <w:p>
      <w:pPr>
        <w:pStyle w:val="TextBody"/>
        <w:bidi w:val="0"/>
        <w:spacing w:before="100" w:after="283"/>
        <w:jc w:val="left"/>
        <w:rPr/>
      </w:pPr>
      <w:r>
        <w:rPr/>
      </w:r>
    </w:p>
    <w:p>
      <w:pPr>
        <w:pStyle w:val="TextBody"/>
        <w:bidi w:val="0"/>
        <w:spacing w:lineRule="auto" w:line="288" w:before="0" w:after="0"/>
        <w:ind w:left="0" w:right="0" w:hanging="45"/>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00" w:after="283"/>
        <w:ind w:left="0" w:right="0" w:hanging="45"/>
        <w:jc w:val="left"/>
        <w:rPr/>
      </w:pPr>
      <w:r>
        <w:rPr>
          <w:rFonts w:ascii="Times New Roman;serif" w:hAnsi="Times New Roman;serif"/>
          <w:b/>
          <w:color w:val="000000"/>
          <w:sz w:val="20"/>
        </w:rPr>
        <w:t>(d)</w:t>
      </w:r>
      <w:r>
        <w:rPr>
          <w:color w:val="000000"/>
        </w:rPr>
        <w:t>    </w:t>
      </w:r>
      <w:r>
        <w:rPr>
          <w:rFonts w:ascii="Times New Roman;serif" w:hAnsi="Times New Roman;serif"/>
          <w:b/>
          <w:color w:val="000000"/>
          <w:sz w:val="20"/>
          <w:u w:val="single"/>
        </w:rPr>
        <w:t>Exhibits</w:t>
      </w:r>
      <w:r>
        <w:rPr>
          <w:rFonts w:ascii="Times New Roman;serif" w:hAnsi="Times New Roman;serif"/>
          <w:b/>
          <w:color w:val="000000"/>
          <w:sz w:val="20"/>
        </w:rPr>
        <w:t>.</w:t>
      </w:r>
      <w:r>
        <w:rPr>
          <w:color w:val="000000"/>
        </w:rPr>
        <w:t xml:space="preserve">     </w:t>
      </w:r>
    </w:p>
    <w:p>
      <w:pPr>
        <w:pStyle w:val="TextBody"/>
        <w:bidi w:val="0"/>
        <w:spacing w:before="9" w:after="283"/>
        <w:jc w:val="left"/>
        <w:rPr/>
      </w:pPr>
      <w:r>
        <w:rPr/>
      </w:r>
    </w:p>
    <w:tbl>
      <w:tblPr>
        <w:tblW w:w="7255"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1588"/>
        <w:gridCol w:w="1588"/>
        <w:gridCol w:w="2268"/>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Description </w:t>
            </w:r>
          </w:p>
        </w:tc>
      </w:tr>
      <w:tr>
        <w:trPr/>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a03312026ex9918-k.htm">
              <w:r>
                <w:rPr>
                  <w:rStyle w:val="InternetLink"/>
                  <w:rFonts w:ascii="Times New Roman;serif" w:hAnsi="Times New Roman;serif"/>
                  <w:b w:val="false"/>
                  <w:color w:val="000080"/>
                  <w:sz w:val="20"/>
                  <w:u w:val="single"/>
                </w:rPr>
                <w:t xml:space="preserve">News release issued by Chevron Corporation, dated </w:t>
              </w:r>
            </w:hyperlink>
            <w:hyperlink w:anchor="a03312026ex9918-k.htm">
              <w:r>
                <w:rPr>
                  <w:rStyle w:val="InternetLink"/>
                  <w:rFonts w:ascii="Times New Roman;serif" w:hAnsi="Times New Roman;serif"/>
                  <w:b w:val="false"/>
                  <w:color w:val="000080"/>
                  <w:sz w:val="20"/>
                  <w:u w:val="single"/>
                </w:rPr>
                <w:t>May</w:t>
              </w:r>
            </w:hyperlink>
            <w:hyperlink w:anchor="a03312026ex9918-k.htm">
              <w:r>
                <w:rPr>
                  <w:rStyle w:val="InternetLink"/>
                  <w:rFonts w:ascii="Times New Roman;serif" w:hAnsi="Times New Roman;serif"/>
                  <w:b w:val="false"/>
                  <w:color w:val="000080"/>
                  <w:sz w:val="20"/>
                  <w:u w:val="single"/>
                </w:rPr>
                <w:t xml:space="preserve"> </w:t>
              </w:r>
            </w:hyperlink>
            <w:hyperlink w:anchor="a03312026ex9918-k.htm">
              <w:r>
                <w:rPr>
                  <w:rStyle w:val="InternetLink"/>
                  <w:rFonts w:ascii="Times New Roman;serif" w:hAnsi="Times New Roman;serif"/>
                  <w:b w:val="false"/>
                  <w:color w:val="000080"/>
                  <w:sz w:val="20"/>
                  <w:u w:val="single"/>
                </w:rPr>
                <w:t>1</w:t>
              </w:r>
            </w:hyperlink>
            <w:hyperlink w:anchor="a03312026ex9918-k.htm">
              <w:r>
                <w:rPr>
                  <w:rStyle w:val="InternetLink"/>
                  <w:rFonts w:ascii="Times New Roman;serif" w:hAnsi="Times New Roman;serif"/>
                  <w:b w:val="false"/>
                  <w:color w:val="000080"/>
                  <w:sz w:val="20"/>
                  <w:u w:val="single"/>
                </w:rPr>
                <w:t>, 2026.</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(contained in Exhibit 101)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2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Dated: May 1, 2026 </w:t>
      </w:r>
    </w:p>
    <w:p>
      <w:pPr>
        <w:pStyle w:val="TextBody"/>
        <w:bidi w:val="0"/>
        <w:spacing w:lineRule="auto" w:line="288" w:before="0" w:after="0"/>
        <w:jc w:val="left"/>
        <w:rPr>
          <w:color w:val="000000"/>
        </w:rPr>
      </w:pPr>
      <w:r>
        <w:rPr>
          <w:color w:val="000000"/>
        </w:rPr>
        <w:t> </w:t>
      </w:r>
    </w:p>
    <w:tbl>
      <w:tblPr>
        <w:tblW w:w="4476" w:type="dxa"/>
        <w:jc w:val="right"/>
        <w:tblInd w:w="0" w:type="dxa"/>
        <w:tblLayout w:type="fixed"/>
        <w:tblCellMar>
          <w:top w:w="28" w:type="dxa"/>
          <w:left w:w="28" w:type="dxa"/>
          <w:bottom w:w="28" w:type="dxa"/>
          <w:right w:w="28" w:type="dxa"/>
        </w:tblCellMar>
      </w:tblPr>
      <w:tblGrid>
        <w:gridCol w:w="455"/>
        <w:gridCol w:w="400"/>
        <w:gridCol w:w="400"/>
        <w:gridCol w:w="948"/>
        <w:gridCol w:w="948"/>
        <w:gridCol w:w="953"/>
        <w:gridCol w:w="109"/>
        <w:gridCol w:w="109"/>
        <w:gridCol w:w="154"/>
      </w:tblGrid>
      <w:tr>
        <w:trPr/>
        <w:tc>
          <w:tcPr>
            <w:tcW w:w="45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CHEVRON CORPORATION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Amit R. Ghai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Amit R. Ghai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 and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Duly Authorized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EE2724"/>
          <w:sz w:val="10"/>
        </w:rPr>
      </w:pPr>
      <w:r>
        <w:rPr>
          <w:rFonts w:ascii="Times New Roman;serif" w:hAnsi="Times New Roman;serif"/>
          <w:b w:val="false"/>
          <w:color w:val="EE2724"/>
          <w:sz w:val="10"/>
        </w:rPr>
        <w:t>\</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039" w:type="dxa"/>
        <w:jc w:val="left"/>
        <w:tblInd w:w="0" w:type="dxa"/>
        <w:tblLayout w:type="fixed"/>
        <w:tblCellMar>
          <w:top w:w="28" w:type="dxa"/>
          <w:left w:w="28" w:type="dxa"/>
          <w:bottom w:w="28" w:type="dxa"/>
          <w:right w:w="28" w:type="dxa"/>
        </w:tblCellMar>
      </w:tblPr>
      <w:tblGrid>
        <w:gridCol w:w="124"/>
        <w:gridCol w:w="109"/>
        <w:gridCol w:w="109"/>
        <w:gridCol w:w="774"/>
        <w:gridCol w:w="774"/>
        <w:gridCol w:w="77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33450" cy="7810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933450" cy="78105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9DD9"/>
                <w:sz w:val="36"/>
              </w:rPr>
            </w:pPr>
            <w:r>
              <w:rPr>
                <w:rFonts w:ascii="Arial;sans-serif" w:hAnsi="Arial;sans-serif"/>
                <w:b/>
                <w:color w:val="009DD9"/>
                <w:sz w:val="36"/>
              </w:rPr>
              <w:t>news release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860" w:type="dxa"/>
        <w:jc w:val="left"/>
        <w:tblInd w:w="0" w:type="dxa"/>
        <w:tblLayout w:type="fixed"/>
        <w:tblCellMar>
          <w:top w:w="28" w:type="dxa"/>
          <w:left w:w="28" w:type="dxa"/>
          <w:bottom w:w="28" w:type="dxa"/>
          <w:right w:w="28" w:type="dxa"/>
        </w:tblCellMar>
      </w:tblPr>
      <w:tblGrid>
        <w:gridCol w:w="1213"/>
        <w:gridCol w:w="1063"/>
        <w:gridCol w:w="1069"/>
        <w:gridCol w:w="443"/>
        <w:gridCol w:w="443"/>
        <w:gridCol w:w="629"/>
      </w:tblGrid>
      <w:tr>
        <w:trPr/>
        <w:tc>
          <w:tcPr>
            <w:tcW w:w="121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FOR RELEASE AT 5:15 AM CT</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2"/>
              </w:rPr>
            </w:pPr>
            <w:r>
              <w:rPr>
                <w:rFonts w:ascii="Arial;sans-serif" w:hAnsi="Arial;sans-serif"/>
                <w:b/>
                <w:color w:val="000000"/>
                <w:sz w:val="22"/>
              </w:rPr>
              <w:t>EXHIBIT 99.1</w:t>
            </w:r>
          </w:p>
        </w:tc>
      </w:tr>
      <w:tr>
        <w:trPr/>
        <w:tc>
          <w:tcPr>
            <w:tcW w:w="33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MAY 1, 2026</w:t>
            </w:r>
          </w:p>
        </w:tc>
        <w:tc>
          <w:tcPr>
            <w:tcW w:w="15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60" w:after="60"/>
        <w:jc w:val="center"/>
        <w:rPr>
          <w:rFonts w:ascii="Arial;sans-serif" w:hAnsi="Arial;sans-serif"/>
          <w:b/>
          <w:color w:val="009DD9"/>
          <w:sz w:val="28"/>
        </w:rPr>
      </w:pPr>
      <w:r>
        <w:rPr>
          <w:rFonts w:ascii="Arial;sans-serif" w:hAnsi="Arial;sans-serif"/>
          <w:b/>
          <w:color w:val="009DD9"/>
          <w:sz w:val="28"/>
        </w:rPr>
        <w:t>Chevron Reports First Quarter 2026 Results</w:t>
      </w:r>
    </w:p>
    <w:p>
      <w:pPr>
        <w:pStyle w:val="TextBody"/>
        <w:bidi w:val="0"/>
        <w:spacing w:lineRule="auto" w:line="288" w:before="120" w:after="20"/>
        <w:ind w:left="0" w:right="0" w:hanging="270"/>
        <w:jc w:val="both"/>
        <w:rPr/>
      </w:pPr>
      <w:r>
        <w:rPr>
          <w:color w:val="009DD9"/>
        </w:rPr>
        <w:t>•</w:t>
      </w:r>
      <w:r>
        <w:rPr>
          <w:rFonts w:ascii="Arial;sans-serif" w:hAnsi="Arial;sans-serif"/>
          <w:b w:val="false"/>
          <w:color w:val="009DD9"/>
          <w:sz w:val="24"/>
        </w:rPr>
        <w:t>Reported earnings of $2.2 billion; adjusted earnings of $2.8 billion</w:t>
      </w:r>
    </w:p>
    <w:p>
      <w:pPr>
        <w:pStyle w:val="TextBody"/>
        <w:bidi w:val="0"/>
        <w:spacing w:lineRule="auto" w:line="288" w:before="0" w:after="20"/>
        <w:ind w:left="0" w:right="0" w:hanging="270"/>
        <w:jc w:val="both"/>
        <w:rPr/>
      </w:pPr>
      <w:r>
        <w:rPr>
          <w:color w:val="009DD9"/>
        </w:rPr>
        <w:t>•</w:t>
      </w:r>
      <w:r>
        <w:rPr>
          <w:rFonts w:ascii="Arial;sans-serif" w:hAnsi="Arial;sans-serif"/>
          <w:b w:val="false"/>
          <w:color w:val="009DD9"/>
          <w:sz w:val="24"/>
        </w:rPr>
        <w:t>Returned $6.0 billion cash to shareholders; 16th consecutive quarter over $5 billion</w:t>
      </w:r>
    </w:p>
    <w:p>
      <w:pPr>
        <w:pStyle w:val="TextBody"/>
        <w:bidi w:val="0"/>
        <w:spacing w:lineRule="auto" w:line="288" w:before="0" w:after="20"/>
        <w:ind w:left="0" w:right="0" w:hanging="270"/>
        <w:jc w:val="both"/>
        <w:rPr/>
      </w:pPr>
      <w:r>
        <w:rPr>
          <w:color w:val="009DD9"/>
        </w:rPr>
        <w:t>•</w:t>
      </w:r>
      <w:r>
        <w:rPr>
          <w:rFonts w:ascii="Arial;sans-serif" w:hAnsi="Arial;sans-serif"/>
          <w:b w:val="false"/>
          <w:color w:val="009DD9"/>
          <w:sz w:val="24"/>
        </w:rPr>
        <w:t>Worldwide and U.S. production increased by 15 and 24 percent, respectively</w:t>
      </w:r>
    </w:p>
    <w:p>
      <w:pPr>
        <w:pStyle w:val="TextBody"/>
        <w:bidi w:val="0"/>
        <w:spacing w:lineRule="auto" w:line="288" w:before="200" w:after="60"/>
        <w:jc w:val="both"/>
        <w:rPr/>
      </w:pPr>
      <w:r>
        <w:rPr>
          <w:rFonts w:ascii="Arial;sans-serif" w:hAnsi="Arial;sans-serif"/>
          <w:b/>
          <w:color w:val="000000"/>
          <w:sz w:val="22"/>
        </w:rPr>
        <w:t>HOUSTON, May 1, 2026</w:t>
      </w:r>
      <w:r>
        <w:rPr>
          <w:color w:val="000000"/>
        </w:rPr>
        <w:t xml:space="preserve"> – </w:t>
      </w:r>
      <w:r>
        <w:rPr>
          <w:rFonts w:ascii="Arial;sans-serif" w:hAnsi="Arial;sans-serif"/>
          <w:b w:val="false"/>
          <w:color w:val="000000"/>
          <w:sz w:val="22"/>
        </w:rPr>
        <w:t>Chevron Corporation (NYSE: CVX) reported earnings of $2.2 billion ($1.11 per share - diluted) for first quarter 2026, compared with $3.5 billion ($2.00 per share - diluted) in first quarter 2025. Included in the quarter was a net loss of $360 million related to a legal reserve. Foreign currency effects decreased earnings by $223 million. Adjusted earnings of $2.8 billion ($1.41 per share - diluted) in first quarter 2026 compared to adjusted earnings of $3.8 billion ($2.18 per share - diluted) in first quarter 2025. See Attachment 4 for a reconciliation of adjusted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center"/>
        <w:rPr>
          <w:rFonts w:ascii="Arial;sans-serif" w:hAnsi="Arial;sans-serif"/>
          <w:b/>
          <w:color w:val="000000"/>
          <w:sz w:val="22"/>
        </w:rPr>
      </w:pPr>
      <w:r>
        <w:rPr>
          <w:rFonts w:ascii="Arial;sans-serif" w:hAnsi="Arial;sans-serif"/>
          <w:b/>
          <w:color w:val="000000"/>
          <w:sz w:val="22"/>
        </w:rPr>
        <w:t>Earnings &amp; Cash Flow Summary</w:t>
      </w:r>
    </w:p>
    <w:tbl>
      <w:tblPr>
        <w:tblW w:w="7470" w:type="dxa"/>
        <w:jc w:val="center"/>
        <w:tblInd w:w="0" w:type="dxa"/>
        <w:tblLayout w:type="fixed"/>
        <w:tblCellMar>
          <w:top w:w="28" w:type="dxa"/>
          <w:left w:w="28" w:type="dxa"/>
          <w:bottom w:w="28" w:type="dxa"/>
          <w:right w:w="28" w:type="dxa"/>
        </w:tblCellMar>
      </w:tblPr>
      <w:tblGrid>
        <w:gridCol w:w="1267"/>
        <w:gridCol w:w="1111"/>
        <w:gridCol w:w="1119"/>
        <w:gridCol w:w="253"/>
        <w:gridCol w:w="253"/>
        <w:gridCol w:w="260"/>
        <w:gridCol w:w="215"/>
        <w:gridCol w:w="630"/>
        <w:gridCol w:w="111"/>
        <w:gridCol w:w="215"/>
        <w:gridCol w:w="706"/>
        <w:gridCol w:w="111"/>
        <w:gridCol w:w="215"/>
        <w:gridCol w:w="630"/>
        <w:gridCol w:w="111"/>
        <w:gridCol w:w="109"/>
        <w:gridCol w:w="154"/>
      </w:tblGrid>
      <w:tr>
        <w:trPr/>
        <w:tc>
          <w:tcPr>
            <w:tcW w:w="126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w:t>
            </w:r>
          </w:p>
        </w:tc>
        <w:tc>
          <w:tcPr>
            <w:tcW w:w="956"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1Q 2026</w:t>
            </w:r>
          </w:p>
        </w:tc>
        <w:tc>
          <w:tcPr>
            <w:tcW w:w="10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4Q 2025</w:t>
            </w:r>
          </w:p>
        </w:tc>
        <w:tc>
          <w:tcPr>
            <w:tcW w:w="956"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1Q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Earnings / (Loss)</w:t>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MM</w:t>
            </w:r>
          </w:p>
        </w:tc>
        <w:tc>
          <w:tcPr>
            <w:tcW w:w="215" w:type="dxa"/>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2,210 </w:t>
            </w:r>
          </w:p>
        </w:tc>
        <w:tc>
          <w:tcPr>
            <w:tcW w:w="11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2,770 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3,500 </w:t>
            </w:r>
          </w:p>
        </w:tc>
        <w:tc>
          <w:tcPr>
            <w:tcW w:w="111"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8"/>
              </w:rPr>
            </w:pPr>
            <w:r>
              <w:rPr>
                <w:rFonts w:ascii="Arial;sans-serif" w:hAnsi="Arial;sans-serif"/>
                <w:b w:val="false"/>
                <w:i/>
                <w:color w:val="6D6D6D"/>
                <w:sz w:val="18"/>
              </w:rPr>
              <w:t>Upstream</w:t>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6D6D6D"/>
                <w:sz w:val="18"/>
              </w:rPr>
            </w:pPr>
            <w:r>
              <w:rPr>
                <w:rFonts w:ascii="Arial;sans-serif" w:hAnsi="Arial;sans-serif"/>
                <w:b w:val="false"/>
                <w:i/>
                <w:color w:val="6D6D6D"/>
                <w:sz w:val="18"/>
              </w:rPr>
              <w:t>$ MM</w:t>
            </w:r>
          </w:p>
        </w:tc>
        <w:tc>
          <w:tcPr>
            <w:tcW w:w="215" w:type="dxa"/>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8"/>
              </w:rPr>
            </w:pPr>
            <w:r>
              <w:rPr>
                <w:rFonts w:ascii="Arial;sans-serif" w:hAnsi="Arial;sans-serif"/>
                <w:b w:val="false"/>
                <w:i/>
                <w:color w:val="6D6D6D"/>
                <w:sz w:val="18"/>
              </w:rPr>
              <w:t>$</w:t>
            </w:r>
          </w:p>
        </w:tc>
        <w:tc>
          <w:tcPr>
            <w:tcW w:w="63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8"/>
              </w:rPr>
            </w:pPr>
            <w:r>
              <w:rPr>
                <w:rFonts w:ascii="Arial;sans-serif" w:hAnsi="Arial;sans-serif"/>
                <w:b w:val="false"/>
                <w:i/>
                <w:color w:val="6D6D6D"/>
                <w:sz w:val="18"/>
              </w:rPr>
              <w:t>3,909 </w:t>
            </w:r>
          </w:p>
        </w:tc>
        <w:tc>
          <w:tcPr>
            <w:tcW w:w="11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8"/>
              </w:rPr>
            </w:pPr>
            <w:r>
              <w:rPr>
                <w:rFonts w:ascii="Arial;sans-serif" w:hAnsi="Arial;sans-serif"/>
                <w:b w:val="false"/>
                <w:i/>
                <w:color w:val="6D6D6D"/>
                <w:sz w:val="18"/>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8"/>
              </w:rPr>
            </w:pPr>
            <w:r>
              <w:rPr>
                <w:rFonts w:ascii="Arial;sans-serif" w:hAnsi="Arial;sans-serif"/>
                <w:b w:val="false"/>
                <w:i/>
                <w:color w:val="6D6D6D"/>
                <w:sz w:val="18"/>
              </w:rPr>
              <w:t>3,035 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8"/>
              </w:rPr>
            </w:pPr>
            <w:r>
              <w:rPr>
                <w:rFonts w:ascii="Arial;sans-serif" w:hAnsi="Arial;sans-serif"/>
                <w:b w:val="false"/>
                <w:i/>
                <w:color w:val="6D6D6D"/>
                <w:sz w:val="18"/>
              </w:rPr>
              <w:t>$</w:t>
            </w:r>
          </w:p>
        </w:tc>
        <w:tc>
          <w:tcPr>
            <w:tcW w:w="6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8"/>
              </w:rPr>
            </w:pPr>
            <w:r>
              <w:rPr>
                <w:rFonts w:ascii="Arial;sans-serif" w:hAnsi="Arial;sans-serif"/>
                <w:b w:val="false"/>
                <w:i/>
                <w:color w:val="6D6D6D"/>
                <w:sz w:val="18"/>
              </w:rPr>
              <w:t>3,758 </w:t>
            </w:r>
          </w:p>
        </w:tc>
        <w:tc>
          <w:tcPr>
            <w:tcW w:w="111"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8"/>
              </w:rPr>
            </w:pPr>
            <w:r>
              <w:rPr>
                <w:rFonts w:ascii="Arial;sans-serif" w:hAnsi="Arial;sans-serif"/>
                <w:b w:val="false"/>
                <w:i/>
                <w:color w:val="6D6D6D"/>
                <w:sz w:val="18"/>
              </w:rPr>
              <w:t>Downstream</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6D6D6D"/>
                <w:sz w:val="18"/>
              </w:rPr>
            </w:pPr>
            <w:r>
              <w:rPr>
                <w:rFonts w:ascii="Arial;sans-serif" w:hAnsi="Arial;sans-serif"/>
                <w:b w:val="false"/>
                <w:i/>
                <w:color w:val="6D6D6D"/>
                <w:sz w:val="18"/>
              </w:rPr>
              <w:t>$ MM</w:t>
            </w:r>
          </w:p>
        </w:tc>
        <w:tc>
          <w:tcPr>
            <w:tcW w:w="215" w:type="dxa"/>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8"/>
              </w:rPr>
            </w:pPr>
            <w:r>
              <w:rPr>
                <w:rFonts w:ascii="Arial;sans-serif" w:hAnsi="Arial;sans-serif"/>
                <w:b w:val="false"/>
                <w:i/>
                <w:color w:val="6D6D6D"/>
                <w:sz w:val="18"/>
              </w:rPr>
              <w:t>$</w:t>
            </w:r>
          </w:p>
        </w:tc>
        <w:tc>
          <w:tcPr>
            <w:tcW w:w="63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8"/>
              </w:rPr>
            </w:pPr>
            <w:r>
              <w:rPr>
                <w:rFonts w:ascii="Arial;sans-serif" w:hAnsi="Arial;sans-serif"/>
                <w:b w:val="false"/>
                <w:i/>
                <w:color w:val="6D6D6D"/>
                <w:sz w:val="18"/>
              </w:rPr>
              <w:t>(817)</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8"/>
              </w:rPr>
            </w:pPr>
            <w:r>
              <w:rPr>
                <w:rFonts w:ascii="Arial;sans-serif" w:hAnsi="Arial;sans-serif"/>
                <w:b w:val="false"/>
                <w:i/>
                <w:color w:val="6D6D6D"/>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8"/>
              </w:rPr>
            </w:pPr>
            <w:r>
              <w:rPr>
                <w:rFonts w:ascii="Arial;sans-serif" w:hAnsi="Arial;sans-serif"/>
                <w:b w:val="false"/>
                <w:i/>
                <w:color w:val="6D6D6D"/>
                <w:sz w:val="18"/>
              </w:rPr>
              <w:t>823 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8"/>
              </w:rPr>
            </w:pPr>
            <w:r>
              <w:rPr>
                <w:rFonts w:ascii="Arial;sans-serif" w:hAnsi="Arial;sans-serif"/>
                <w:b w:val="false"/>
                <w:i/>
                <w:color w:val="6D6D6D"/>
                <w:sz w:val="18"/>
              </w:rPr>
              <w:t>$</w:t>
            </w:r>
          </w:p>
        </w:tc>
        <w:tc>
          <w:tcPr>
            <w:tcW w:w="63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8"/>
              </w:rPr>
            </w:pPr>
            <w:r>
              <w:rPr>
                <w:rFonts w:ascii="Arial;sans-serif" w:hAnsi="Arial;sans-serif"/>
                <w:b w:val="false"/>
                <w:i/>
                <w:color w:val="6D6D6D"/>
                <w:sz w:val="18"/>
              </w:rPr>
              <w:t>325 </w:t>
            </w:r>
          </w:p>
        </w:tc>
        <w:tc>
          <w:tcPr>
            <w:tcW w:w="111"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8"/>
              </w:rPr>
            </w:pPr>
            <w:r>
              <w:rPr>
                <w:rFonts w:ascii="Arial;sans-serif" w:hAnsi="Arial;sans-serif"/>
                <w:b w:val="false"/>
                <w:i/>
                <w:color w:val="6D6D6D"/>
                <w:sz w:val="18"/>
              </w:rPr>
              <w:t>All Other</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6D6D6D"/>
                <w:sz w:val="18"/>
              </w:rPr>
            </w:pPr>
            <w:r>
              <w:rPr>
                <w:rFonts w:ascii="Arial;sans-serif" w:hAnsi="Arial;sans-serif"/>
                <w:b w:val="false"/>
                <w:i/>
                <w:color w:val="6D6D6D"/>
                <w:sz w:val="18"/>
              </w:rPr>
              <w:t>$ MM</w:t>
            </w:r>
          </w:p>
        </w:tc>
        <w:tc>
          <w:tcPr>
            <w:tcW w:w="215" w:type="dxa"/>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8"/>
              </w:rPr>
            </w:pPr>
            <w:r>
              <w:rPr>
                <w:rFonts w:ascii="Arial;sans-serif" w:hAnsi="Arial;sans-serif"/>
                <w:b w:val="false"/>
                <w:i/>
                <w:color w:val="6D6D6D"/>
                <w:sz w:val="18"/>
              </w:rPr>
              <w:t>$</w:t>
            </w:r>
          </w:p>
        </w:tc>
        <w:tc>
          <w:tcPr>
            <w:tcW w:w="63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8"/>
              </w:rPr>
            </w:pPr>
            <w:r>
              <w:rPr>
                <w:rFonts w:ascii="Arial;sans-serif" w:hAnsi="Arial;sans-serif"/>
                <w:b w:val="false"/>
                <w:i/>
                <w:color w:val="6D6D6D"/>
                <w:sz w:val="18"/>
              </w:rPr>
              <w:t>(882)</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8"/>
              </w:rPr>
            </w:pPr>
            <w:r>
              <w:rPr>
                <w:rFonts w:ascii="Arial;sans-serif" w:hAnsi="Arial;sans-serif"/>
                <w:b w:val="false"/>
                <w:i/>
                <w:color w:val="6D6D6D"/>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8"/>
              </w:rPr>
            </w:pPr>
            <w:r>
              <w:rPr>
                <w:rFonts w:ascii="Arial;sans-serif" w:hAnsi="Arial;sans-serif"/>
                <w:b w:val="false"/>
                <w:i/>
                <w:color w:val="6D6D6D"/>
                <w:sz w:val="18"/>
              </w:rPr>
              <w:t>(1,088)</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8"/>
              </w:rPr>
            </w:pPr>
            <w:r>
              <w:rPr>
                <w:rFonts w:ascii="Arial;sans-serif" w:hAnsi="Arial;sans-serif"/>
                <w:b w:val="false"/>
                <w:i/>
                <w:color w:val="6D6D6D"/>
                <w:sz w:val="18"/>
              </w:rPr>
              <w:t>$</w:t>
            </w:r>
          </w:p>
        </w:tc>
        <w:tc>
          <w:tcPr>
            <w:tcW w:w="63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8"/>
              </w:rPr>
            </w:pPr>
            <w:r>
              <w:rPr>
                <w:rFonts w:ascii="Arial;sans-serif" w:hAnsi="Arial;sans-serif"/>
                <w:b w:val="false"/>
                <w:i/>
                <w:color w:val="6D6D6D"/>
                <w:sz w:val="18"/>
              </w:rPr>
              <w:t>(583)</w:t>
            </w:r>
          </w:p>
        </w:tc>
        <w:tc>
          <w:tcPr>
            <w:tcW w:w="111"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Share - Diluted</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$/Share</w:t>
            </w:r>
          </w:p>
        </w:tc>
        <w:tc>
          <w:tcPr>
            <w:tcW w:w="215" w:type="dxa"/>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111"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6D6D6D"/>
                <w:sz w:val="18"/>
              </w:rPr>
              <w:t xml:space="preserve">Adjusted Earnings </w:t>
            </w:r>
            <w:r>
              <w:rPr>
                <w:rFonts w:ascii="Arial;sans-serif" w:hAnsi="Arial;sans-serif"/>
                <w:b w:val="false"/>
                <w:color w:val="6D6D6D"/>
                <w:sz w:val="12"/>
              </w:rPr>
              <w:t>(1)</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6D6D6D"/>
                <w:sz w:val="18"/>
              </w:rPr>
            </w:pPr>
            <w:r>
              <w:rPr>
                <w:rFonts w:ascii="Arial;sans-serif" w:hAnsi="Arial;sans-serif"/>
                <w:b w:val="false"/>
                <w:color w:val="6D6D6D"/>
                <w:sz w:val="18"/>
              </w:rPr>
              <w:t>$ MM</w:t>
            </w:r>
          </w:p>
        </w:tc>
        <w:tc>
          <w:tcPr>
            <w:tcW w:w="215" w:type="dxa"/>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6D6D6D"/>
                <w:sz w:val="18"/>
              </w:rPr>
            </w:pPr>
            <w:r>
              <w:rPr>
                <w:rFonts w:ascii="Arial;sans-serif" w:hAnsi="Arial;sans-serif"/>
                <w:b w:val="false"/>
                <w:color w:val="6D6D6D"/>
                <w:sz w:val="18"/>
              </w:rPr>
              <w:t>$</w:t>
            </w:r>
          </w:p>
        </w:tc>
        <w:tc>
          <w:tcPr>
            <w:tcW w:w="63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D6D6D"/>
                <w:sz w:val="18"/>
              </w:rPr>
            </w:pPr>
            <w:r>
              <w:rPr>
                <w:rFonts w:ascii="Arial;sans-serif" w:hAnsi="Arial;sans-serif"/>
                <w:b w:val="false"/>
                <w:color w:val="6D6D6D"/>
                <w:sz w:val="18"/>
              </w:rPr>
              <w:t>2,793 </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6D6D6D"/>
                <w:sz w:val="18"/>
              </w:rPr>
            </w:pPr>
            <w:r>
              <w:rPr>
                <w:rFonts w:ascii="Arial;sans-serif" w:hAnsi="Arial;sans-serif"/>
                <w:b w:val="false"/>
                <w:color w:val="6D6D6D"/>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D6D6D"/>
                <w:sz w:val="18"/>
              </w:rPr>
            </w:pPr>
            <w:r>
              <w:rPr>
                <w:rFonts w:ascii="Arial;sans-serif" w:hAnsi="Arial;sans-serif"/>
                <w:b w:val="false"/>
                <w:color w:val="6D6D6D"/>
                <w:sz w:val="18"/>
              </w:rPr>
              <w:t>3,028 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D6D6D"/>
                <w:sz w:val="18"/>
              </w:rPr>
            </w:pPr>
            <w:r>
              <w:rPr>
                <w:rFonts w:ascii="Arial;sans-serif" w:hAnsi="Arial;sans-serif"/>
                <w:b w:val="false"/>
                <w:color w:val="6D6D6D"/>
                <w:sz w:val="18"/>
              </w:rPr>
              <w:t>$</w:t>
            </w:r>
          </w:p>
        </w:tc>
        <w:tc>
          <w:tcPr>
            <w:tcW w:w="63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D6D6D"/>
                <w:sz w:val="18"/>
              </w:rPr>
            </w:pPr>
            <w:r>
              <w:rPr>
                <w:rFonts w:ascii="Arial;sans-serif" w:hAnsi="Arial;sans-serif"/>
                <w:b w:val="false"/>
                <w:color w:val="6D6D6D"/>
                <w:sz w:val="18"/>
              </w:rPr>
              <w:t>3,813 </w:t>
            </w:r>
          </w:p>
        </w:tc>
        <w:tc>
          <w:tcPr>
            <w:tcW w:w="111"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6D6D6D"/>
                <w:sz w:val="18"/>
              </w:rPr>
              <w:t xml:space="preserve">Adjusted Earnings Per Share - Diluted </w:t>
            </w:r>
            <w:r>
              <w:rPr>
                <w:rFonts w:ascii="Arial;sans-serif" w:hAnsi="Arial;sans-serif"/>
                <w:b w:val="false"/>
                <w:color w:val="6D6D6D"/>
                <w:sz w:val="12"/>
              </w:rPr>
              <w:t>(1)</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6D6D6D"/>
                <w:sz w:val="18"/>
              </w:rPr>
            </w:pPr>
            <w:r>
              <w:rPr>
                <w:rFonts w:ascii="Arial;sans-serif" w:hAnsi="Arial;sans-serif"/>
                <w:b w:val="false"/>
                <w:color w:val="6D6D6D"/>
                <w:sz w:val="18"/>
              </w:rPr>
              <w:t>$/Share</w:t>
            </w:r>
          </w:p>
        </w:tc>
        <w:tc>
          <w:tcPr>
            <w:tcW w:w="215" w:type="dxa"/>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6D6D6D"/>
                <w:sz w:val="18"/>
              </w:rPr>
            </w:pPr>
            <w:r>
              <w:rPr>
                <w:rFonts w:ascii="Arial;sans-serif" w:hAnsi="Arial;sans-serif"/>
                <w:b w:val="false"/>
                <w:color w:val="6D6D6D"/>
                <w:sz w:val="18"/>
              </w:rPr>
              <w:t>$</w:t>
            </w:r>
          </w:p>
        </w:tc>
        <w:tc>
          <w:tcPr>
            <w:tcW w:w="63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D6D6D"/>
                <w:sz w:val="18"/>
              </w:rPr>
            </w:pPr>
            <w:r>
              <w:rPr>
                <w:rFonts w:ascii="Arial;sans-serif" w:hAnsi="Arial;sans-serif"/>
                <w:b w:val="false"/>
                <w:color w:val="6D6D6D"/>
                <w:sz w:val="18"/>
              </w:rPr>
              <w:t>1.41 </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6D6D6D"/>
                <w:sz w:val="18"/>
              </w:rPr>
            </w:pPr>
            <w:r>
              <w:rPr>
                <w:rFonts w:ascii="Arial;sans-serif" w:hAnsi="Arial;sans-serif"/>
                <w:b w:val="false"/>
                <w:color w:val="6D6D6D"/>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D6D6D"/>
                <w:sz w:val="18"/>
              </w:rPr>
            </w:pPr>
            <w:r>
              <w:rPr>
                <w:rFonts w:ascii="Arial;sans-serif" w:hAnsi="Arial;sans-serif"/>
                <w:b w:val="false"/>
                <w:color w:val="6D6D6D"/>
                <w:sz w:val="18"/>
              </w:rPr>
              <w:t>1.52 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D6D6D"/>
                <w:sz w:val="18"/>
              </w:rPr>
            </w:pPr>
            <w:r>
              <w:rPr>
                <w:rFonts w:ascii="Arial;sans-serif" w:hAnsi="Arial;sans-serif"/>
                <w:b w:val="false"/>
                <w:color w:val="6D6D6D"/>
                <w:sz w:val="18"/>
              </w:rPr>
              <w:t>$</w:t>
            </w:r>
          </w:p>
        </w:tc>
        <w:tc>
          <w:tcPr>
            <w:tcW w:w="63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D6D6D"/>
                <w:sz w:val="18"/>
              </w:rPr>
            </w:pPr>
            <w:r>
              <w:rPr>
                <w:rFonts w:ascii="Arial;sans-serif" w:hAnsi="Arial;sans-serif"/>
                <w:b w:val="false"/>
                <w:color w:val="6D6D6D"/>
                <w:sz w:val="18"/>
              </w:rPr>
              <w:t>2.18 </w:t>
            </w:r>
          </w:p>
        </w:tc>
        <w:tc>
          <w:tcPr>
            <w:tcW w:w="111"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 From Operations (CFFO)</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B</w:t>
            </w:r>
          </w:p>
        </w:tc>
        <w:tc>
          <w:tcPr>
            <w:tcW w:w="215" w:type="dxa"/>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11"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CFFO Excluding Working Capital </w:t>
            </w:r>
            <w:r>
              <w:rPr>
                <w:rFonts w:ascii="Arial;sans-serif" w:hAnsi="Arial;sans-serif"/>
                <w:b w:val="false"/>
                <w:color w:val="000000"/>
                <w:sz w:val="12"/>
              </w:rPr>
              <w:t>(1)</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B</w:t>
            </w:r>
          </w:p>
        </w:tc>
        <w:tc>
          <w:tcPr>
            <w:tcW w:w="215" w:type="dxa"/>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111"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Avg. Brent Spot Price (Source: Platts)</w:t>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$/BBL</w:t>
            </w:r>
          </w:p>
        </w:tc>
        <w:tc>
          <w:tcPr>
            <w:tcW w:w="215" w:type="dxa"/>
            <w:tcBorders>
              <w:left w:val="single" w:sz="8" w:space="0" w:color="000000"/>
              <w:bottom w:val="single" w:sz="8" w:space="0" w:color="000000"/>
            </w:tcBorders>
            <w:shd w:fill="DBDBDB" w:val="clear"/>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0"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111"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5" w:type="dxa"/>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1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5"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0"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111" w:type="dxa"/>
            <w:tcBorders>
              <w:bottom w:val="single" w:sz="8" w:space="0" w:color="000000"/>
              <w:right w:val="single" w:sz="8" w:space="0" w:color="000000"/>
            </w:tcBorders>
            <w:tcMar>
              <w:top w:w="0" w:type="dxa"/>
              <w:left w:w="0" w:type="dxa"/>
              <w:bottom w:w="3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7" w:type="dxa"/>
            <w:gridSpan w:val="15"/>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See non-GAAP measure definitions on page 6 and reconciliations in the attachments</w:t>
            </w:r>
          </w:p>
        </w:tc>
        <w:tc>
          <w:tcPr>
            <w:tcW w:w="263" w:type="dxa"/>
            <w:gridSpan w:val="2"/>
            <w:tcBorders/>
          </w:tcPr>
          <w:p>
            <w:pPr>
              <w:pStyle w:val="TableContents"/>
              <w:bidi w:val="0"/>
              <w:spacing w:before="0" w:after="283"/>
              <w:jc w:val="left"/>
              <w:rPr>
                <w:sz w:val="4"/>
                <w:szCs w:val="4"/>
              </w:rPr>
            </w:pPr>
            <w:r>
              <w:rPr>
                <w:sz w:val="4"/>
                <w:szCs w:val="4"/>
              </w:rPr>
            </w:r>
          </w:p>
        </w:tc>
      </w:tr>
      <w:tr>
        <w:trPr/>
        <w:tc>
          <w:tcPr>
            <w:tcW w:w="349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color w:val="000000"/>
        </w:rPr>
      </w:pPr>
      <w:r>
        <w:rPr>
          <w:color w:val="000000"/>
        </w:rPr>
        <w:t>“</w:t>
      </w:r>
      <w:r>
        <w:rPr>
          <w:rFonts w:ascii="Arial;sans-serif" w:hAnsi="Arial;sans-serif"/>
          <w:b w:val="false"/>
          <w:color w:val="000000"/>
          <w:sz w:val="22"/>
        </w:rPr>
        <w:t>Despite heightened geopolitical volatility and related supply disruptions, Chevron delivered solid first quarter performance, underscoring the resilience of our portfolio and the value of disciplined execution,” said Mike Wirth, Chevron’s Chairman and Chief Executive Officer. “Strong operating results in the United States, particularly following the integration of Hess, and continued growth in the Gulf of America and Permian Basin, drove higher production while maintaining financial flexibility.”</w:t>
      </w:r>
    </w:p>
    <w:p>
      <w:pPr>
        <w:pStyle w:val="TextBody"/>
        <w:bidi w:val="0"/>
        <w:spacing w:lineRule="auto" w:line="288" w:before="120" w:after="120"/>
        <w:jc w:val="both"/>
        <w:rPr>
          <w:color w:val="000000"/>
        </w:rPr>
      </w:pPr>
      <w:r>
        <w:rPr>
          <w:color w:val="000000"/>
        </w:rPr>
        <w:t>“</w:t>
      </w:r>
      <w:r>
        <w:rPr>
          <w:rFonts w:ascii="Arial;sans-serif" w:hAnsi="Arial;sans-serif"/>
          <w:b w:val="false"/>
          <w:color w:val="000000"/>
          <w:sz w:val="22"/>
        </w:rPr>
        <w:t>Our U.S. refineries operated at record crude throughput in March, capital spending remains within guidance, and our structural cost reductions are firmly on track,” Wirth continued. “This disciplined performance supports dependable cash generation, enabling us to continue returning significant capital to shareholders, while investing in advantaged long-lived assets.”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2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p>
                  </w:txbxContent>
                </v:textbox>
                <w10:wrap type="none"/>
              </v:rect>
            </w:pict>
          </mc:Fallback>
        </mc:AlternateContent>
      </w:r>
    </w:p>
    <w:p>
      <w:pPr>
        <w:pStyle w:val="TextBody"/>
        <w:bidi w:val="0"/>
        <w:spacing w:lineRule="auto" w:line="288" w:before="0" w:after="0"/>
        <w:jc w:val="both"/>
        <w:rPr>
          <w:color w:val="000000"/>
        </w:rPr>
      </w:pPr>
      <w:r>
        <w:rPr>
          <w:color w:val="000000"/>
        </w:rPr>
        <w:t>“</w:t>
      </w:r>
      <w:r>
        <w:rPr>
          <w:rFonts w:ascii="Arial;sans-serif" w:hAnsi="Arial;sans-serif"/>
          <w:b w:val="false"/>
          <w:color w:val="000000"/>
          <w:sz w:val="22"/>
        </w:rPr>
        <w:t>We continue to closely monitor developments in the Middle East with a focus on the safety of our workforce and the integrity of our assets and operations,” Wirth concluded. “The unpredictable external environment reinforces the importance of disciplined investment to ensure reliable energy supply and global energy security.”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center"/>
        <w:rPr>
          <w:rFonts w:ascii="Arial;sans-serif" w:hAnsi="Arial;sans-serif"/>
          <w:b/>
          <w:color w:val="000000"/>
          <w:sz w:val="22"/>
        </w:rPr>
      </w:pPr>
      <w:r>
        <w:rPr>
          <w:rFonts w:ascii="Arial;sans-serif" w:hAnsi="Arial;sans-serif"/>
          <w:b/>
          <w:color w:val="000000"/>
          <w:sz w:val="22"/>
        </w:rPr>
        <w:t>Financial and Business Highlights</w:t>
      </w:r>
    </w:p>
    <w:tbl>
      <w:tblPr>
        <w:tblW w:w="7472" w:type="dxa"/>
        <w:jc w:val="center"/>
        <w:tblInd w:w="0" w:type="dxa"/>
        <w:tblLayout w:type="fixed"/>
        <w:tblCellMar>
          <w:top w:w="28" w:type="dxa"/>
          <w:left w:w="28" w:type="dxa"/>
          <w:bottom w:w="28" w:type="dxa"/>
          <w:right w:w="28" w:type="dxa"/>
        </w:tblCellMar>
      </w:tblPr>
      <w:tblGrid>
        <w:gridCol w:w="1228"/>
        <w:gridCol w:w="1081"/>
        <w:gridCol w:w="1088"/>
        <w:gridCol w:w="275"/>
        <w:gridCol w:w="275"/>
        <w:gridCol w:w="283"/>
        <w:gridCol w:w="229"/>
        <w:gridCol w:w="523"/>
        <w:gridCol w:w="295"/>
        <w:gridCol w:w="229"/>
        <w:gridCol w:w="442"/>
        <w:gridCol w:w="295"/>
        <w:gridCol w:w="229"/>
        <w:gridCol w:w="442"/>
        <w:gridCol w:w="295"/>
        <w:gridCol w:w="109"/>
        <w:gridCol w:w="154"/>
      </w:tblGrid>
      <w:tr>
        <w:trPr/>
        <w:tc>
          <w:tcPr>
            <w:tcW w:w="1228"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left w:val="dotted" w:sz="2" w:space="0" w:color="FFFFFF"/>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w:t>
            </w:r>
          </w:p>
        </w:tc>
        <w:tc>
          <w:tcPr>
            <w:tcW w:w="1047"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1Q 2026</w:t>
            </w:r>
          </w:p>
        </w:tc>
        <w:tc>
          <w:tcPr>
            <w:tcW w:w="9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4Q 2025</w:t>
            </w:r>
          </w:p>
        </w:tc>
        <w:tc>
          <w:tcPr>
            <w:tcW w:w="966"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1Q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Return on Capital Employed (ROCE)</w:t>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752" w:type="dxa"/>
            <w:gridSpan w:val="2"/>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29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71"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2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295" w:type="dxa"/>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Capital Expenditures (Capex)</w:t>
            </w:r>
            <w:r>
              <w:rPr>
                <w:color w:val="000000"/>
              </w:rPr>
              <w:t xml:space="preserve"> </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B</w:t>
            </w:r>
          </w:p>
        </w:tc>
        <w:tc>
          <w:tcPr>
            <w:tcW w:w="229" w:type="dxa"/>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29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295"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Affiliate Capex</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B</w:t>
            </w:r>
          </w:p>
        </w:tc>
        <w:tc>
          <w:tcPr>
            <w:tcW w:w="229" w:type="dxa"/>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29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295"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Free Cash Flow (FCF) </w:t>
            </w:r>
            <w:r>
              <w:rPr>
                <w:rFonts w:ascii="Arial;sans-serif" w:hAnsi="Arial;sans-serif"/>
                <w:b w:val="false"/>
                <w:color w:val="000000"/>
                <w:sz w:val="12"/>
              </w:rPr>
              <w:t>(1)</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B</w:t>
            </w:r>
          </w:p>
        </w:tc>
        <w:tc>
          <w:tcPr>
            <w:tcW w:w="229" w:type="dxa"/>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29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295"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Adjusted Free Cash Flow </w:t>
            </w:r>
            <w:r>
              <w:rPr>
                <w:rFonts w:ascii="Arial;sans-serif" w:hAnsi="Arial;sans-serif"/>
                <w:b w:val="false"/>
                <w:color w:val="000000"/>
                <w:sz w:val="12"/>
              </w:rPr>
              <w:t>(1)</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B</w:t>
            </w:r>
          </w:p>
        </w:tc>
        <w:tc>
          <w:tcPr>
            <w:tcW w:w="229" w:type="dxa"/>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29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295"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Debt-to-CFFO</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Ratio</w:t>
            </w:r>
          </w:p>
        </w:tc>
        <w:tc>
          <w:tcPr>
            <w:tcW w:w="1047"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1.5x</w:t>
            </w:r>
          </w:p>
        </w:tc>
        <w:tc>
          <w:tcPr>
            <w:tcW w:w="96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1.2x</w:t>
            </w:r>
          </w:p>
        </w:tc>
        <w:tc>
          <w:tcPr>
            <w:tcW w:w="96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1.0x</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Net debt-to-CFFO </w:t>
            </w:r>
            <w:r>
              <w:rPr>
                <w:rFonts w:ascii="Arial;sans-serif" w:hAnsi="Arial;sans-serif"/>
                <w:b w:val="false"/>
                <w:color w:val="000000"/>
                <w:sz w:val="12"/>
              </w:rPr>
              <w:t>(1)</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Ratio</w:t>
            </w:r>
          </w:p>
        </w:tc>
        <w:tc>
          <w:tcPr>
            <w:tcW w:w="1047"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1.3x</w:t>
            </w:r>
          </w:p>
        </w:tc>
        <w:tc>
          <w:tcPr>
            <w:tcW w:w="96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1.0x</w:t>
            </w:r>
          </w:p>
        </w:tc>
        <w:tc>
          <w:tcPr>
            <w:tcW w:w="96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0.8x</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Oil-Equivalent Production</w:t>
            </w:r>
          </w:p>
        </w:tc>
        <w:tc>
          <w:tcPr>
            <w:tcW w:w="8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MBOED</w:t>
            </w:r>
          </w:p>
        </w:tc>
        <w:tc>
          <w:tcPr>
            <w:tcW w:w="752" w:type="dxa"/>
            <w:gridSpan w:val="2"/>
            <w:tcBorders>
              <w:left w:val="single" w:sz="8" w:space="0" w:color="000000"/>
              <w:bottom w:val="single" w:sz="8" w:space="0" w:color="000000"/>
            </w:tcBorders>
            <w:shd w:fill="DBDBDB" w:val="clear"/>
            <w:tcMar>
              <w:top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3,858 </w:t>
            </w:r>
          </w:p>
        </w:tc>
        <w:tc>
          <w:tcPr>
            <w:tcW w:w="295"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4,045 </w:t>
            </w:r>
          </w:p>
        </w:tc>
        <w:tc>
          <w:tcPr>
            <w:tcW w:w="295"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3,353 </w:t>
            </w:r>
          </w:p>
        </w:tc>
        <w:tc>
          <w:tcPr>
            <w:tcW w:w="295" w:type="dxa"/>
            <w:tcBorders>
              <w:bottom w:val="single" w:sz="8" w:space="0" w:color="000000"/>
              <w:right w:val="single" w:sz="8" w:space="0" w:color="000000"/>
            </w:tcBorders>
            <w:tcMar>
              <w:top w:w="0" w:type="dxa"/>
              <w:left w:w="0" w:type="dxa"/>
              <w:bottom w:w="3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9" w:type="dxa"/>
            <w:gridSpan w:val="15"/>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See non-GAAP measure definitions on page 6 and reconciliations in the attachments</w:t>
            </w:r>
          </w:p>
        </w:tc>
        <w:tc>
          <w:tcPr>
            <w:tcW w:w="263" w:type="dxa"/>
            <w:gridSpan w:val="2"/>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left"/>
        <w:rPr>
          <w:rFonts w:ascii="Arial;sans-serif" w:hAnsi="Arial;sans-serif"/>
          <w:b/>
          <w:color w:val="000000"/>
          <w:sz w:val="22"/>
        </w:rPr>
      </w:pPr>
      <w:r>
        <w:rPr>
          <w:rFonts w:ascii="Arial;sans-serif" w:hAnsi="Arial;sans-serif"/>
          <w:b/>
          <w:color w:val="000000"/>
          <w:sz w:val="22"/>
        </w:rPr>
        <w:t>Financial Highlights</w:t>
      </w:r>
    </w:p>
    <w:p>
      <w:pPr>
        <w:pStyle w:val="TextBody"/>
        <w:bidi w:val="0"/>
        <w:spacing w:lineRule="auto" w:line="288" w:before="60" w:after="60"/>
        <w:ind w:left="0" w:right="0" w:hanging="270"/>
        <w:jc w:val="both"/>
        <w:rPr/>
      </w:pPr>
      <w:r>
        <w:rPr>
          <w:color w:val="000000"/>
        </w:rPr>
        <w:t>•</w:t>
      </w:r>
      <w:r>
        <w:rPr>
          <w:rFonts w:ascii="Arial;sans-serif" w:hAnsi="Arial;sans-serif"/>
          <w:b w:val="false"/>
          <w:color w:val="000000"/>
          <w:sz w:val="22"/>
        </w:rPr>
        <w:t>Reported earnings decreased compared to first quarter 2025 primarily due to unfavorable timing effects of approximately $2.9 billion. These effects include timing mismatches in earnings recognition related to the mark</w:t>
        <w:noBreakHyphen/>
        <w:t>to</w:t>
        <w:noBreakHyphen/>
        <w:t>market of financial derivatives prior to the physical delivery of the associated hydrocarbons, as well as the impact of LIFO inventory accounting. Excluding those unfavorable effects, earnings improved due to upstream production growth and higher refining margins.</w:t>
      </w:r>
    </w:p>
    <w:p>
      <w:pPr>
        <w:pStyle w:val="TextBody"/>
        <w:bidi w:val="0"/>
        <w:spacing w:lineRule="auto" w:line="288" w:before="60" w:after="60"/>
        <w:ind w:left="0" w:right="0" w:hanging="270"/>
        <w:jc w:val="both"/>
        <w:rPr/>
      </w:pPr>
      <w:r>
        <w:rPr>
          <w:color w:val="000000"/>
        </w:rPr>
        <w:t>•</w:t>
      </w:r>
      <w:r>
        <w:rPr>
          <w:rFonts w:ascii="Arial;sans-serif" w:hAnsi="Arial;sans-serif"/>
          <w:b w:val="false"/>
          <w:color w:val="000000"/>
          <w:sz w:val="22"/>
        </w:rPr>
        <w:t>Production in the first quarter of 2026 was higher than first quarter last year largely due to the acquisition of Hess Corporation (Hess) and growth in the Gulf of America and the Permian Basin, partly offset by downtime at the company’s 50 percent owned affiliate Tengizchevroil (TCO) and curtailments in the Middle East (Israel and the Partitioned Zone between Saudi Arabia and Kuwait). U.S. production exceeded 2 million oil-equivalent barrels per day for the third consecutive quarter.</w:t>
      </w:r>
    </w:p>
    <w:p>
      <w:pPr>
        <w:pStyle w:val="TextBody"/>
        <w:bidi w:val="0"/>
        <w:spacing w:lineRule="auto" w:line="288" w:before="60" w:after="60"/>
        <w:ind w:left="0" w:right="0" w:hanging="270"/>
        <w:jc w:val="both"/>
        <w:rPr/>
      </w:pPr>
      <w:r>
        <w:rPr>
          <w:color w:val="000000"/>
        </w:rPr>
        <w:t>•</w:t>
      </w:r>
      <w:r>
        <w:rPr>
          <w:rFonts w:ascii="Arial;sans-serif" w:hAnsi="Arial;sans-serif"/>
          <w:b w:val="false"/>
          <w:color w:val="000000"/>
          <w:sz w:val="22"/>
        </w:rPr>
        <w:t>U.S. refinery crude unit throughput remains over 1 million barrels per day for the fifth consecutive quarter and achieved a record in March 2026.</w:t>
      </w:r>
    </w:p>
    <w:p>
      <w:pPr>
        <w:pStyle w:val="TextBody"/>
        <w:bidi w:val="0"/>
        <w:spacing w:lineRule="auto" w:line="288" w:before="60" w:after="60"/>
        <w:ind w:left="0" w:right="0" w:hanging="270"/>
        <w:jc w:val="both"/>
        <w:rPr/>
      </w:pPr>
      <w:r>
        <w:rPr>
          <w:color w:val="000000"/>
        </w:rPr>
        <w:t>•</w:t>
      </w:r>
      <w:r>
        <w:rPr>
          <w:rFonts w:ascii="Arial;sans-serif" w:hAnsi="Arial;sans-serif"/>
          <w:b w:val="false"/>
          <w:color w:val="000000"/>
          <w:sz w:val="22"/>
        </w:rPr>
        <w:t>Capex in the first quarter of 2026 was higher than last year largely due to spend on legacy Hess assets, partially offset by lower spend in the Permian Basin.</w:t>
      </w:r>
    </w:p>
    <w:p>
      <w:pPr>
        <w:pStyle w:val="TextBody"/>
        <w:bidi w:val="0"/>
        <w:spacing w:lineRule="auto" w:line="288" w:before="60" w:after="60"/>
        <w:ind w:left="0" w:right="0" w:hanging="270"/>
        <w:jc w:val="both"/>
        <w:rPr/>
      </w:pPr>
      <w:r>
        <w:rPr>
          <w:color w:val="000000"/>
        </w:rPr>
        <w:t>•</w:t>
      </w:r>
      <w:r>
        <w:rPr>
          <w:rFonts w:ascii="Arial;sans-serif" w:hAnsi="Arial;sans-serif"/>
          <w:b w:val="false"/>
          <w:color w:val="000000"/>
          <w:sz w:val="22"/>
        </w:rPr>
        <w:t>Cash flow from operations in the first quarter of 2026 was lower than a year ago primarily due to higher working capital outflows largely resulting from the sharp increase in commodity prices in March 2026. Adjusted free cash flow benefited from a $1 billion loan repayment from TCO.</w:t>
      </w:r>
    </w:p>
    <w:p>
      <w:pPr>
        <w:pStyle w:val="TextBody"/>
        <w:bidi w:val="0"/>
        <w:spacing w:lineRule="auto" w:line="288" w:before="60" w:after="60"/>
        <w:ind w:left="0" w:right="0" w:hanging="270"/>
        <w:jc w:val="both"/>
        <w:rPr/>
      </w:pPr>
      <w:r>
        <w:rPr>
          <w:color w:val="000000"/>
        </w:rPr>
        <w:t>•</w:t>
      </w:r>
      <w:r>
        <w:rPr>
          <w:rFonts w:ascii="Arial;sans-serif" w:hAnsi="Arial;sans-serif"/>
          <w:b w:val="false"/>
          <w:color w:val="000000"/>
          <w:sz w:val="22"/>
        </w:rPr>
        <w:t>The company returned $6.0 billion of cash to shareholders during the quarter, including share repurchases of $2.5 billion and dividends of $3.5 billion.</w:t>
      </w:r>
    </w:p>
    <w:p>
      <w:pPr>
        <w:pStyle w:val="TextBody"/>
        <w:bidi w:val="0"/>
        <w:spacing w:lineRule="auto" w:line="288" w:before="60" w:after="60"/>
        <w:ind w:left="0" w:right="0" w:hanging="270"/>
        <w:jc w:val="both"/>
        <w:rPr/>
      </w:pPr>
      <w:r>
        <w:rPr>
          <w:color w:val="000000"/>
        </w:rPr>
        <w:t>•</w:t>
      </w:r>
      <w:r>
        <w:rPr>
          <w:rFonts w:ascii="Arial;sans-serif" w:hAnsi="Arial;sans-serif"/>
          <w:b w:val="false"/>
          <w:color w:val="000000"/>
          <w:sz w:val="22"/>
        </w:rPr>
        <w:t>The company’s Board of Directors declared a quarterly dividend of one dollar and seventy-eight cents ($1.78) per share, payable June 10, 2026, to all holders of common stock as shown on the transfer records of the corporation at the close of business on May 19,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left"/>
        <w:rPr>
          <w:rFonts w:ascii="Arial;sans-serif" w:hAnsi="Arial;sans-serif"/>
          <w:b/>
          <w:color w:val="000000"/>
          <w:sz w:val="22"/>
        </w:rPr>
      </w:pPr>
      <w:r>
        <w:rPr>
          <w:rFonts w:ascii="Arial;sans-serif" w:hAnsi="Arial;sans-serif"/>
          <w:b/>
          <w:color w:val="000000"/>
          <w:sz w:val="22"/>
        </w:rPr>
        <w:t>Business Highlights and Milestones</w:t>
      </w:r>
    </w:p>
    <w:p>
      <w:pPr>
        <w:pStyle w:val="TextBody"/>
        <w:bidi w:val="0"/>
        <w:spacing w:lineRule="auto" w:line="288" w:before="0" w:after="60"/>
        <w:ind w:left="0" w:right="0" w:hanging="270"/>
        <w:jc w:val="both"/>
        <w:rPr/>
      </w:pPr>
      <w:r>
        <w:rPr>
          <w:color w:val="000000"/>
        </w:rPr>
        <w:t>•</w:t>
      </w:r>
      <w:r>
        <w:rPr>
          <w:rFonts w:ascii="Arial;sans-serif" w:hAnsi="Arial;sans-serif"/>
          <w:b w:val="false"/>
          <w:color w:val="000000"/>
          <w:sz w:val="22"/>
        </w:rPr>
        <w:t>Announced an agreement in Venezuela to expand Chevron’s heavy oil interest in the Petroindependencia, S.A. joint venture and include rights to develop the adjacent Ayacucho 8 area at the Petropiar, S.A. joint venture in the Orinoco Oil Belt.</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06705"/>
                <wp:effectExtent l="0" t="0" r="0" b="0"/>
                <wp:wrapNone/>
                <wp:docPr id="6" name="Frame5"/>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22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p>
                  </w:txbxContent>
                </v:textbox>
                <w10:wrap type="none"/>
              </v:rect>
            </w:pict>
          </mc:Fallback>
        </mc:AlternateContent>
      </w:r>
    </w:p>
    <w:p>
      <w:pPr>
        <w:pStyle w:val="TextBody"/>
        <w:bidi w:val="0"/>
        <w:spacing w:lineRule="auto" w:line="288" w:before="0" w:after="60"/>
        <w:ind w:left="0" w:right="0" w:hanging="270"/>
        <w:jc w:val="both"/>
        <w:rPr/>
      </w:pPr>
      <w:r>
        <w:rPr>
          <w:color w:val="000000"/>
        </w:rPr>
        <w:t>•</w:t>
      </w:r>
      <w:r>
        <w:rPr>
          <w:rFonts w:ascii="Arial;sans-serif" w:hAnsi="Arial;sans-serif"/>
          <w:b w:val="false"/>
          <w:color w:val="000000"/>
          <w:sz w:val="22"/>
        </w:rPr>
        <w:t>Entered into an exclusivity agreement with Microsoft and Engine No. 1 related to a proposed power generation and electricity offtake agreement to support the power project under development in West Texas.</w:t>
      </w:r>
    </w:p>
    <w:p>
      <w:pPr>
        <w:pStyle w:val="TextBody"/>
        <w:bidi w:val="0"/>
        <w:spacing w:lineRule="auto" w:line="288" w:before="0" w:after="60"/>
        <w:ind w:left="0" w:right="0" w:hanging="270"/>
        <w:jc w:val="both"/>
        <w:rPr/>
      </w:pPr>
      <w:r>
        <w:rPr>
          <w:color w:val="000000"/>
        </w:rPr>
        <w:t>•</w:t>
      </w:r>
      <w:r>
        <w:rPr>
          <w:rFonts w:ascii="Arial;sans-serif" w:hAnsi="Arial;sans-serif"/>
          <w:b w:val="false"/>
          <w:color w:val="000000"/>
          <w:sz w:val="22"/>
        </w:rPr>
        <w:t>Expansions at Tamar and Leviathan in Israel have achieved start-up, adding production capacity to support growing demand and regional energy security.</w:t>
      </w:r>
    </w:p>
    <w:p>
      <w:pPr>
        <w:pStyle w:val="TextBody"/>
        <w:bidi w:val="0"/>
        <w:spacing w:lineRule="auto" w:line="288" w:before="0" w:after="60"/>
        <w:ind w:left="0" w:right="0" w:hanging="270"/>
        <w:jc w:val="both"/>
        <w:rPr/>
      </w:pPr>
      <w:r>
        <w:rPr>
          <w:color w:val="000000"/>
        </w:rPr>
        <w:t>•</w:t>
      </w:r>
      <w:r>
        <w:rPr>
          <w:rFonts w:ascii="Arial;sans-serif" w:hAnsi="Arial;sans-serif"/>
          <w:b w:val="false"/>
          <w:color w:val="000000"/>
          <w:sz w:val="22"/>
        </w:rPr>
        <w:t>Reached a final investment decision on the Aseng gas project in Equatorial Guinea, advancing the country's efforts to expand its role in global gas markets.</w:t>
      </w:r>
    </w:p>
    <w:p>
      <w:pPr>
        <w:pStyle w:val="TextBody"/>
        <w:bidi w:val="0"/>
        <w:spacing w:lineRule="auto" w:line="288" w:before="0" w:after="60"/>
        <w:ind w:left="0" w:right="0" w:hanging="270"/>
        <w:jc w:val="both"/>
        <w:rPr/>
      </w:pPr>
      <w:r>
        <w:rPr>
          <w:color w:val="000000"/>
        </w:rPr>
        <w:t>•</w:t>
      </w:r>
      <w:r>
        <w:rPr>
          <w:rFonts w:ascii="Arial;sans-serif" w:hAnsi="Arial;sans-serif"/>
          <w:b w:val="false"/>
          <w:color w:val="000000"/>
          <w:sz w:val="22"/>
        </w:rPr>
        <w:t>Discovered oil at the Bandit prospect in Green Canyon Block 680 in the Gulf of America, through a non-operated joint venture.</w:t>
      </w:r>
    </w:p>
    <w:p>
      <w:pPr>
        <w:pStyle w:val="TextBody"/>
        <w:bidi w:val="0"/>
        <w:spacing w:lineRule="auto" w:line="288" w:before="0" w:after="60"/>
        <w:ind w:left="0" w:right="0" w:hanging="270"/>
        <w:jc w:val="both"/>
        <w:rPr/>
      </w:pPr>
      <w:r>
        <w:rPr>
          <w:color w:val="000000"/>
        </w:rPr>
        <w:t>•</w:t>
      </w:r>
      <w:r>
        <w:rPr>
          <w:rFonts w:ascii="Arial;sans-serif" w:hAnsi="Arial;sans-serif"/>
          <w:b w:val="false"/>
          <w:color w:val="000000"/>
          <w:sz w:val="22"/>
        </w:rPr>
        <w:t>Entered Libya as a winning bidder in the Sirte Basin, expanding the company’s exploration portfolio with high-quality acreage and high-impact prospects.</w:t>
      </w:r>
    </w:p>
    <w:p>
      <w:pPr>
        <w:pStyle w:val="TextBody"/>
        <w:bidi w:val="0"/>
        <w:spacing w:lineRule="auto" w:line="288" w:before="0" w:after="60"/>
        <w:ind w:left="0" w:right="0" w:hanging="270"/>
        <w:jc w:val="both"/>
        <w:rPr/>
      </w:pPr>
      <w:r>
        <w:rPr>
          <w:color w:val="000000"/>
        </w:rPr>
        <w:t>•</w:t>
      </w:r>
      <w:r>
        <w:rPr>
          <w:rFonts w:ascii="Arial;sans-serif" w:hAnsi="Arial;sans-serif"/>
          <w:b w:val="false"/>
          <w:color w:val="000000"/>
          <w:sz w:val="22"/>
        </w:rPr>
        <w:t>Awarded four offshore exploration leases in Greece, further expanding the company's position in the Eastern Mediterranean region.</w:t>
      </w:r>
    </w:p>
    <w:p>
      <w:pPr>
        <w:pStyle w:val="TextBody"/>
        <w:bidi w:val="0"/>
        <w:spacing w:lineRule="auto" w:line="288" w:before="0" w:after="60"/>
        <w:ind w:left="0" w:right="0" w:hanging="270"/>
        <w:jc w:val="both"/>
        <w:rPr/>
      </w:pPr>
      <w:r>
        <w:rPr>
          <w:color w:val="000000"/>
        </w:rPr>
        <w:t>•</w:t>
      </w:r>
      <w:r>
        <w:rPr>
          <w:rFonts w:ascii="Arial;sans-serif" w:hAnsi="Arial;sans-serif"/>
          <w:b w:val="false"/>
          <w:color w:val="000000"/>
          <w:sz w:val="22"/>
        </w:rPr>
        <w:t>Farmed into the OFF-7 block in Uruguay, building depth in the exploration portfolio.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center"/>
        <w:rPr>
          <w:rFonts w:ascii="Arial;sans-serif" w:hAnsi="Arial;sans-serif"/>
          <w:b/>
          <w:color w:val="000000"/>
          <w:sz w:val="22"/>
        </w:rPr>
      </w:pPr>
      <w:r>
        <w:rPr>
          <w:rFonts w:ascii="Arial;sans-serif" w:hAnsi="Arial;sans-serif"/>
          <w:b/>
          <w:color w:val="000000"/>
          <w:sz w:val="22"/>
        </w:rPr>
        <w:t xml:space="preserve">Segment Highlights </w:t>
      </w:r>
    </w:p>
    <w:p>
      <w:pPr>
        <w:pStyle w:val="TextBody"/>
        <w:bidi w:val="0"/>
        <w:spacing w:lineRule="auto" w:line="288" w:before="60" w:after="283"/>
        <w:jc w:val="left"/>
        <w:rPr>
          <w:rFonts w:ascii="Arial;sans-serif" w:hAnsi="Arial;sans-serif"/>
          <w:b/>
          <w:color w:val="000000"/>
          <w:sz w:val="22"/>
        </w:rPr>
      </w:pPr>
      <w:r>
        <w:rPr>
          <w:rFonts w:ascii="Arial;sans-serif" w:hAnsi="Arial;sans-serif"/>
          <w:b/>
          <w:color w:val="000000"/>
          <w:sz w:val="22"/>
        </w:rPr>
        <w:t>Upstream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387" w:type="dxa"/>
        <w:jc w:val="center"/>
        <w:tblInd w:w="0" w:type="dxa"/>
        <w:tblLayout w:type="fixed"/>
        <w:tblCellMar>
          <w:top w:w="28" w:type="dxa"/>
          <w:left w:w="28" w:type="dxa"/>
          <w:bottom w:w="28" w:type="dxa"/>
          <w:right w:w="28" w:type="dxa"/>
        </w:tblCellMar>
      </w:tblPr>
      <w:tblGrid>
        <w:gridCol w:w="918"/>
        <w:gridCol w:w="806"/>
        <w:gridCol w:w="811"/>
        <w:gridCol w:w="257"/>
        <w:gridCol w:w="257"/>
        <w:gridCol w:w="267"/>
        <w:gridCol w:w="211"/>
        <w:gridCol w:w="616"/>
        <w:gridCol w:w="109"/>
        <w:gridCol w:w="211"/>
        <w:gridCol w:w="616"/>
        <w:gridCol w:w="109"/>
        <w:gridCol w:w="211"/>
        <w:gridCol w:w="616"/>
        <w:gridCol w:w="109"/>
        <w:gridCol w:w="109"/>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U.S. Upstream</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w:t>
            </w:r>
          </w:p>
        </w:tc>
        <w:tc>
          <w:tcPr>
            <w:tcW w:w="936"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1Q 2026</w:t>
            </w:r>
          </w:p>
        </w:tc>
        <w:tc>
          <w:tcPr>
            <w:tcW w:w="9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4Q 2025</w:t>
            </w:r>
          </w:p>
        </w:tc>
        <w:tc>
          <w:tcPr>
            <w:tcW w:w="936"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1Q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 (Loss)</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MM</w:t>
            </w:r>
          </w:p>
        </w:tc>
        <w:tc>
          <w:tcPr>
            <w:tcW w:w="211" w:type="dxa"/>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1,858 </w:t>
            </w:r>
          </w:p>
        </w:tc>
        <w:tc>
          <w:tcPr>
            <w:tcW w:w="109"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Oil-Equivalent Production</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MBOED</w:t>
            </w:r>
          </w:p>
        </w:tc>
        <w:tc>
          <w:tcPr>
            <w:tcW w:w="82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1,636 </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8"/>
              </w:rPr>
            </w:pPr>
            <w:r>
              <w:rPr>
                <w:rFonts w:ascii="Arial;sans-serif" w:hAnsi="Arial;sans-serif"/>
                <w:b w:val="false"/>
                <w:i/>
                <w:color w:val="6D6D6D"/>
                <w:sz w:val="18"/>
              </w:rPr>
              <w:t>Liquids Production</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6D6D6D"/>
                <w:sz w:val="18"/>
              </w:rPr>
            </w:pPr>
            <w:r>
              <w:rPr>
                <w:rFonts w:ascii="Arial;sans-serif" w:hAnsi="Arial;sans-serif"/>
                <w:b w:val="false"/>
                <w:i/>
                <w:color w:val="6D6D6D"/>
                <w:sz w:val="18"/>
              </w:rPr>
              <w:t>MBD</w:t>
            </w:r>
          </w:p>
        </w:tc>
        <w:tc>
          <w:tcPr>
            <w:tcW w:w="82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1,461 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8"/>
              </w:rPr>
            </w:pPr>
            <w:r>
              <w:rPr>
                <w:rFonts w:ascii="Arial;sans-serif" w:hAnsi="Arial;sans-serif"/>
                <w:b w:val="false"/>
                <w:i/>
                <w:color w:val="6D6D6D"/>
                <w:sz w:val="18"/>
              </w:rPr>
              <w:t>1,488 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8"/>
              </w:rPr>
            </w:pPr>
            <w:r>
              <w:rPr>
                <w:rFonts w:ascii="Arial;sans-serif" w:hAnsi="Arial;sans-serif"/>
                <w:b w:val="false"/>
                <w:i/>
                <w:color w:val="6D6D6D"/>
                <w:sz w:val="18"/>
              </w:rPr>
              <w:t>1,159 </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8"/>
              </w:rPr>
            </w:pPr>
            <w:r>
              <w:rPr>
                <w:rFonts w:ascii="Arial;sans-serif" w:hAnsi="Arial;sans-serif"/>
                <w:b w:val="false"/>
                <w:i/>
                <w:color w:val="6D6D6D"/>
                <w:sz w:val="18"/>
              </w:rPr>
              <w:t>Natural Gas Production</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6D6D6D"/>
                <w:sz w:val="18"/>
              </w:rPr>
            </w:pPr>
            <w:r>
              <w:rPr>
                <w:rFonts w:ascii="Arial;sans-serif" w:hAnsi="Arial;sans-serif"/>
                <w:b w:val="false"/>
                <w:i/>
                <w:color w:val="6D6D6D"/>
                <w:sz w:val="18"/>
              </w:rPr>
              <w:t>MMCFD</w:t>
            </w:r>
          </w:p>
        </w:tc>
        <w:tc>
          <w:tcPr>
            <w:tcW w:w="82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3,380 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8"/>
              </w:rPr>
            </w:pPr>
            <w:r>
              <w:rPr>
                <w:rFonts w:ascii="Arial;sans-serif" w:hAnsi="Arial;sans-serif"/>
                <w:b w:val="false"/>
                <w:i/>
                <w:color w:val="6D6D6D"/>
                <w:sz w:val="18"/>
              </w:rPr>
              <w:t>3,402 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8"/>
              </w:rPr>
            </w:pPr>
            <w:r>
              <w:rPr>
                <w:rFonts w:ascii="Arial;sans-serif" w:hAnsi="Arial;sans-serif"/>
                <w:b w:val="false"/>
                <w:i/>
                <w:color w:val="6D6D6D"/>
                <w:sz w:val="18"/>
              </w:rPr>
              <w:t>2,859 </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Liquids Realization</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$/BBL</w:t>
            </w:r>
          </w:p>
        </w:tc>
        <w:tc>
          <w:tcPr>
            <w:tcW w:w="211" w:type="dxa"/>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55.26 </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Natural Gas Realization</w:t>
            </w:r>
          </w:p>
        </w:tc>
        <w:tc>
          <w:tcPr>
            <w:tcW w:w="7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$/MCF</w:t>
            </w:r>
          </w:p>
        </w:tc>
        <w:tc>
          <w:tcPr>
            <w:tcW w:w="211" w:type="dxa"/>
            <w:tcBorders>
              <w:left w:val="single" w:sz="8" w:space="0" w:color="000000"/>
              <w:bottom w:val="single" w:sz="8" w:space="0" w:color="000000"/>
            </w:tcBorders>
            <w:shd w:fill="DBDBDB" w:val="clear"/>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2.48 </w:t>
            </w:r>
          </w:p>
        </w:tc>
        <w:tc>
          <w:tcPr>
            <w:tcW w:w="109"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bottom w:val="single" w:sz="8"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09" w:type="dxa"/>
            <w:tcBorders>
              <w:bottom w:val="single" w:sz="8" w:space="0" w:color="000000"/>
              <w:right w:val="single" w:sz="8" w:space="0" w:color="000000"/>
            </w:tcBorders>
            <w:shd w:fill="FFFFFF" w:val="clear"/>
            <w:tcMar>
              <w:top w:w="0" w:type="dxa"/>
              <w:left w:w="0" w:type="dxa"/>
              <w:bottom w:w="3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2"/>
        </w:rPr>
        <w:t>U.S. upstream earnings were higher primarily due to increased sales volumes partly offset by higher depreciation, depletion and amortization, higher operating expenses, and lower liquids realizations.</w:t>
      </w:r>
    </w:p>
    <w:p>
      <w:pPr>
        <w:pStyle w:val="TextBody"/>
        <w:bidi w:val="0"/>
        <w:spacing w:lineRule="auto" w:line="288" w:before="60" w:after="180"/>
        <w:ind w:left="0" w:right="0" w:hanging="360"/>
        <w:jc w:val="both"/>
        <w:rPr/>
      </w:pPr>
      <w:r>
        <w:rPr>
          <w:color w:val="000000"/>
        </w:rPr>
        <w:t>•</w:t>
      </w:r>
      <w:r>
        <w:rPr>
          <w:rFonts w:ascii="Arial;sans-serif" w:hAnsi="Arial;sans-serif"/>
          <w:b w:val="false"/>
          <w:color w:val="000000"/>
          <w:sz w:val="22"/>
        </w:rPr>
        <w:t>Net oil-equivalent production during the quarter was up 388,000 barrels per day</w:t>
      </w:r>
      <w:r>
        <w:rPr>
          <w:color w:val="000000"/>
        </w:rPr>
        <w:t xml:space="preserve"> </w:t>
      </w:r>
      <w:r>
        <w:rPr>
          <w:rFonts w:ascii="Arial;sans-serif" w:hAnsi="Arial;sans-serif"/>
          <w:b w:val="false"/>
          <w:color w:val="000000"/>
          <w:sz w:val="22"/>
        </w:rPr>
        <w:t>from the year-ago period primarily due to the acquisition of Hess and higher production in the Gulf of America following project start</w:t>
        <w:noBreakHyphen/>
        <w:t>ups, and growth in the Permian Basin.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551" w:type="dxa"/>
        <w:jc w:val="center"/>
        <w:tblInd w:w="0" w:type="dxa"/>
        <w:tblLayout w:type="fixed"/>
        <w:tblCellMar>
          <w:top w:w="28" w:type="dxa"/>
          <w:left w:w="28" w:type="dxa"/>
          <w:bottom w:w="28" w:type="dxa"/>
          <w:right w:w="28" w:type="dxa"/>
        </w:tblCellMar>
      </w:tblPr>
      <w:tblGrid>
        <w:gridCol w:w="978"/>
        <w:gridCol w:w="860"/>
        <w:gridCol w:w="861"/>
        <w:gridCol w:w="257"/>
        <w:gridCol w:w="257"/>
        <w:gridCol w:w="267"/>
        <w:gridCol w:w="211"/>
        <w:gridCol w:w="616"/>
        <w:gridCol w:w="109"/>
        <w:gridCol w:w="211"/>
        <w:gridCol w:w="616"/>
        <w:gridCol w:w="109"/>
        <w:gridCol w:w="211"/>
        <w:gridCol w:w="616"/>
        <w:gridCol w:w="109"/>
        <w:gridCol w:w="109"/>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International Upstream</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w:t>
            </w:r>
          </w:p>
        </w:tc>
        <w:tc>
          <w:tcPr>
            <w:tcW w:w="936"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1Q 2026</w:t>
            </w:r>
          </w:p>
        </w:tc>
        <w:tc>
          <w:tcPr>
            <w:tcW w:w="9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4Q 2025</w:t>
            </w:r>
          </w:p>
        </w:tc>
        <w:tc>
          <w:tcPr>
            <w:tcW w:w="936"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1Q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Earnings / (Loss) </w:t>
            </w:r>
            <w:r>
              <w:rPr>
                <w:rFonts w:ascii="Arial;sans-serif" w:hAnsi="Arial;sans-serif"/>
                <w:b w:val="false"/>
                <w:color w:val="000000"/>
                <w:sz w:val="12"/>
              </w:rPr>
              <w:t>(1)</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MM</w:t>
            </w:r>
          </w:p>
        </w:tc>
        <w:tc>
          <w:tcPr>
            <w:tcW w:w="211" w:type="dxa"/>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1,900 </w:t>
            </w:r>
          </w:p>
        </w:tc>
        <w:tc>
          <w:tcPr>
            <w:tcW w:w="109"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Oil-Equivalent Production</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MBOED</w:t>
            </w:r>
          </w:p>
        </w:tc>
        <w:tc>
          <w:tcPr>
            <w:tcW w:w="82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1,717 </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8"/>
              </w:rPr>
            </w:pPr>
            <w:r>
              <w:rPr>
                <w:rFonts w:ascii="Arial;sans-serif" w:hAnsi="Arial;sans-serif"/>
                <w:b w:val="false"/>
                <w:i/>
                <w:color w:val="6D6D6D"/>
                <w:sz w:val="18"/>
              </w:rPr>
              <w:t>Liquids Production</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6D6D6D"/>
                <w:sz w:val="18"/>
              </w:rPr>
            </w:pPr>
            <w:r>
              <w:rPr>
                <w:rFonts w:ascii="Arial;sans-serif" w:hAnsi="Arial;sans-serif"/>
                <w:b w:val="false"/>
                <w:i/>
                <w:color w:val="6D6D6D"/>
                <w:sz w:val="18"/>
              </w:rPr>
              <w:t>MBD</w:t>
            </w:r>
          </w:p>
        </w:tc>
        <w:tc>
          <w:tcPr>
            <w:tcW w:w="82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974 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8"/>
              </w:rPr>
            </w:pPr>
            <w:r>
              <w:rPr>
                <w:rFonts w:ascii="Arial;sans-serif" w:hAnsi="Arial;sans-serif"/>
                <w:b w:val="false"/>
                <w:i/>
                <w:color w:val="6D6D6D"/>
                <w:sz w:val="18"/>
              </w:rPr>
              <w:t>1,071 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8"/>
              </w:rPr>
            </w:pPr>
            <w:r>
              <w:rPr>
                <w:rFonts w:ascii="Arial;sans-serif" w:hAnsi="Arial;sans-serif"/>
                <w:b w:val="false"/>
                <w:i/>
                <w:color w:val="6D6D6D"/>
                <w:sz w:val="18"/>
              </w:rPr>
              <w:t>822 </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8"/>
              </w:rPr>
            </w:pPr>
            <w:r>
              <w:rPr>
                <w:rFonts w:ascii="Arial;sans-serif" w:hAnsi="Arial;sans-serif"/>
                <w:b w:val="false"/>
                <w:i/>
                <w:color w:val="6D6D6D"/>
                <w:sz w:val="18"/>
              </w:rPr>
              <w:t>Natural Gas Production</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6D6D6D"/>
                <w:sz w:val="18"/>
              </w:rPr>
            </w:pPr>
            <w:r>
              <w:rPr>
                <w:rFonts w:ascii="Arial;sans-serif" w:hAnsi="Arial;sans-serif"/>
                <w:b w:val="false"/>
                <w:i/>
                <w:color w:val="6D6D6D"/>
                <w:sz w:val="18"/>
              </w:rPr>
              <w:t>MMCFD</w:t>
            </w:r>
          </w:p>
        </w:tc>
        <w:tc>
          <w:tcPr>
            <w:tcW w:w="82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5,161 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8"/>
              </w:rPr>
            </w:pPr>
            <w:r>
              <w:rPr>
                <w:rFonts w:ascii="Arial;sans-serif" w:hAnsi="Arial;sans-serif"/>
                <w:b w:val="false"/>
                <w:i/>
                <w:color w:val="6D6D6D"/>
                <w:sz w:val="18"/>
              </w:rPr>
              <w:t>5,514 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8"/>
              </w:rPr>
            </w:pPr>
            <w:r>
              <w:rPr>
                <w:rFonts w:ascii="Arial;sans-serif" w:hAnsi="Arial;sans-serif"/>
                <w:b w:val="false"/>
                <w:i/>
                <w:color w:val="6D6D6D"/>
                <w:sz w:val="18"/>
              </w:rPr>
              <w:t>5,371 </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Liquids Realization</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$/BBL</w:t>
            </w:r>
          </w:p>
        </w:tc>
        <w:tc>
          <w:tcPr>
            <w:tcW w:w="211" w:type="dxa"/>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67.69 </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Natural Gas Realization</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$/MCF</w:t>
            </w:r>
          </w:p>
        </w:tc>
        <w:tc>
          <w:tcPr>
            <w:tcW w:w="211" w:type="dxa"/>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7.12 </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6D6D6D"/>
                <w:sz w:val="10"/>
              </w:rPr>
              <w:t>(1)</w:t>
            </w:r>
            <w:r>
              <w:rPr>
                <w:color w:val="6D6D6D"/>
              </w:rPr>
              <w:t xml:space="preserve"> </w:t>
            </w:r>
            <w:r>
              <w:rPr>
                <w:rFonts w:ascii="Arial;sans-serif" w:hAnsi="Arial;sans-serif"/>
                <w:b w:val="false"/>
                <w:i/>
                <w:color w:val="6D6D6D"/>
                <w:sz w:val="16"/>
              </w:rPr>
              <w:t>Includes foreign currency effects</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6D6D6D"/>
                <w:sz w:val="16"/>
              </w:rPr>
            </w:pPr>
            <w:r>
              <w:rPr>
                <w:rFonts w:ascii="Arial;sans-serif" w:hAnsi="Arial;sans-serif"/>
                <w:b w:val="false"/>
                <w:i/>
                <w:color w:val="6D6D6D"/>
                <w:sz w:val="16"/>
              </w:rPr>
              <w:t>$ MM</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6"/>
              </w:rPr>
            </w:pPr>
            <w:r>
              <w:rPr>
                <w:rFonts w:ascii="Arial;sans-serif" w:hAnsi="Arial;sans-serif"/>
                <w:b w:val="false"/>
                <w:i/>
                <w:color w:val="6D6D6D"/>
                <w:sz w:val="16"/>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6"/>
              </w:rPr>
            </w:pPr>
            <w:r>
              <w:rPr>
                <w:rFonts w:ascii="Arial;sans-serif" w:hAnsi="Arial;sans-serif"/>
                <w:b w:val="false"/>
                <w:i/>
                <w:color w:val="6D6D6D"/>
                <w:sz w:val="16"/>
              </w:rPr>
              <w:t>(233)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6"/>
              </w:rPr>
            </w:pPr>
            <w:r>
              <w:rPr>
                <w:rFonts w:ascii="Arial;sans-serif" w:hAnsi="Arial;sans-serif"/>
                <w:b w:val="false"/>
                <w:i/>
                <w:color w:val="6D6D6D"/>
                <w:sz w:val="16"/>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6"/>
              </w:rPr>
            </w:pPr>
            <w:r>
              <w:rPr>
                <w:rFonts w:ascii="Arial;sans-serif" w:hAnsi="Arial;sans-serif"/>
                <w:b w:val="false"/>
                <w:i/>
                <w:color w:val="6D6D6D"/>
                <w:sz w:val="16"/>
              </w:rPr>
              <w:t>(125)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6"/>
              </w:rPr>
            </w:pPr>
            <w:r>
              <w:rPr>
                <w:rFonts w:ascii="Arial;sans-serif" w:hAnsi="Arial;sans-serif"/>
                <w:b w:val="false"/>
                <w:i/>
                <w:color w:val="6D6D6D"/>
                <w:sz w:val="16"/>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6"/>
              </w:rPr>
            </w:pPr>
            <w:r>
              <w:rPr>
                <w:rFonts w:ascii="Arial;sans-serif" w:hAnsi="Arial;sans-serif"/>
                <w:b w:val="false"/>
                <w:i/>
                <w:color w:val="6D6D6D"/>
                <w:sz w:val="16"/>
              </w:rPr>
              <w:t>(136)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2"/>
        </w:rPr>
        <w:t xml:space="preserve">International upstream earnings were lower than a year ago primarily due to unfavorable timing effects, higher depreciation, depletion and amortization, and unfavorable foreign currency effects that were partly offset by higher sales volumes.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06705"/>
                <wp:effectExtent l="0" t="0" r="0" b="0"/>
                <wp:wrapNone/>
                <wp:docPr id="7" name="Frame6"/>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22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p>
                  </w:txbxContent>
                </v:textbox>
                <w10:wrap type="none"/>
              </v:rect>
            </w:pict>
          </mc:Fallback>
        </mc:AlternateContent>
      </w:r>
    </w:p>
    <w:p>
      <w:pPr>
        <w:pStyle w:val="TextBody"/>
        <w:bidi w:val="0"/>
        <w:spacing w:lineRule="auto" w:line="288" w:before="60" w:after="120"/>
        <w:ind w:left="0" w:right="0" w:hanging="360"/>
        <w:jc w:val="both"/>
        <w:rPr/>
      </w:pPr>
      <w:r>
        <w:rPr>
          <w:color w:val="000000"/>
        </w:rPr>
        <w:t>•</w:t>
      </w:r>
      <w:r>
        <w:rPr>
          <w:rFonts w:ascii="Arial;sans-serif" w:hAnsi="Arial;sans-serif"/>
          <w:b w:val="false"/>
          <w:color w:val="000000"/>
          <w:sz w:val="22"/>
        </w:rPr>
        <w:t>Net oil-equivalent production during the quarter was up 117,000 barrels per day from the year-ago period primarily due to the acquisition of Hess, partly offset by lower production at TCO.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2"/>
        </w:rPr>
      </w:pPr>
      <w:r>
        <w:rPr>
          <w:rFonts w:ascii="Arial;sans-serif" w:hAnsi="Arial;sans-serif"/>
          <w:b/>
          <w:color w:val="000000"/>
          <w:sz w:val="22"/>
        </w:rPr>
        <w:t>Downstream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525" w:type="dxa"/>
        <w:jc w:val="center"/>
        <w:tblInd w:w="0" w:type="dxa"/>
        <w:tblLayout w:type="fixed"/>
        <w:tblCellMar>
          <w:top w:w="28" w:type="dxa"/>
          <w:left w:w="28" w:type="dxa"/>
          <w:bottom w:w="28" w:type="dxa"/>
          <w:right w:w="28" w:type="dxa"/>
        </w:tblCellMar>
      </w:tblPr>
      <w:tblGrid>
        <w:gridCol w:w="825"/>
        <w:gridCol w:w="726"/>
        <w:gridCol w:w="728"/>
        <w:gridCol w:w="184"/>
        <w:gridCol w:w="184"/>
        <w:gridCol w:w="188"/>
        <w:gridCol w:w="217"/>
        <w:gridCol w:w="480"/>
        <w:gridCol w:w="112"/>
        <w:gridCol w:w="217"/>
        <w:gridCol w:w="480"/>
        <w:gridCol w:w="112"/>
        <w:gridCol w:w="217"/>
        <w:gridCol w:w="480"/>
        <w:gridCol w:w="112"/>
        <w:gridCol w:w="109"/>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U.S. Downstream</w:t>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w:t>
            </w:r>
          </w:p>
        </w:tc>
        <w:tc>
          <w:tcPr>
            <w:tcW w:w="809"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1Q 2026</w:t>
            </w:r>
          </w:p>
        </w:tc>
        <w:tc>
          <w:tcPr>
            <w:tcW w:w="8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4Q 2025</w:t>
            </w:r>
          </w:p>
        </w:tc>
        <w:tc>
          <w:tcPr>
            <w:tcW w:w="809"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1Q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 (Loss)</w:t>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MM</w:t>
            </w:r>
          </w:p>
        </w:tc>
        <w:tc>
          <w:tcPr>
            <w:tcW w:w="217" w:type="dxa"/>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196 </w:t>
            </w:r>
          </w:p>
        </w:tc>
        <w:tc>
          <w:tcPr>
            <w:tcW w:w="1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112"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Refinery Crude Unit Inputs</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MBD</w:t>
            </w:r>
          </w:p>
        </w:tc>
        <w:tc>
          <w:tcPr>
            <w:tcW w:w="69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1,054 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1,018 </w:t>
            </w:r>
          </w:p>
        </w:tc>
        <w:tc>
          <w:tcPr>
            <w:tcW w:w="112"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Refined Product Sales</w:t>
            </w:r>
          </w:p>
        </w:tc>
        <w:tc>
          <w:tcPr>
            <w:tcW w:w="5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MBD</w:t>
            </w:r>
          </w:p>
        </w:tc>
        <w:tc>
          <w:tcPr>
            <w:tcW w:w="697" w:type="dxa"/>
            <w:gridSpan w:val="2"/>
            <w:tcBorders>
              <w:left w:val="single" w:sz="8" w:space="0" w:color="000000"/>
              <w:bottom w:val="single" w:sz="8" w:space="0" w:color="000000"/>
            </w:tcBorders>
            <w:shd w:fill="DBDBDB" w:val="clear"/>
            <w:tcMar>
              <w:top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1,265 </w:t>
            </w:r>
          </w:p>
        </w:tc>
        <w:tc>
          <w:tcPr>
            <w:tcW w:w="112"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1,293 </w:t>
            </w:r>
          </w:p>
        </w:tc>
        <w:tc>
          <w:tcPr>
            <w:tcW w:w="112"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1,293 </w:t>
            </w:r>
          </w:p>
        </w:tc>
        <w:tc>
          <w:tcPr>
            <w:tcW w:w="112" w:type="dxa"/>
            <w:tcBorders>
              <w:bottom w:val="single" w:sz="8" w:space="0" w:color="000000"/>
              <w:right w:val="single" w:sz="8" w:space="0" w:color="000000"/>
            </w:tcBorders>
            <w:tcMar>
              <w:top w:w="0" w:type="dxa"/>
              <w:left w:w="0" w:type="dxa"/>
              <w:bottom w:w="3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hanging="360"/>
        <w:jc w:val="both"/>
        <w:rPr/>
      </w:pPr>
      <w:r>
        <w:rPr>
          <w:color w:val="000000"/>
        </w:rPr>
        <w:t>•</w:t>
      </w:r>
      <w:r>
        <w:rPr>
          <w:rFonts w:ascii="Arial;sans-serif" w:hAnsi="Arial;sans-serif"/>
          <w:b w:val="false"/>
          <w:color w:val="000000"/>
          <w:sz w:val="22"/>
        </w:rPr>
        <w:t>U.S. downstream earnings were higher than the year-ago period</w:t>
      </w:r>
      <w:r>
        <w:rPr>
          <w:color w:val="EE2724"/>
        </w:rPr>
        <w:t xml:space="preserve"> </w:t>
      </w:r>
      <w:r>
        <w:rPr>
          <w:rFonts w:ascii="Arial;sans-serif" w:hAnsi="Arial;sans-serif"/>
          <w:b w:val="false"/>
          <w:color w:val="000000"/>
          <w:sz w:val="22"/>
        </w:rPr>
        <w:t>primarily due to higher margins on refined product sales partly offset by a higher litigation reserve.</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2"/>
        </w:rPr>
        <w:t>Refinery crude unit inputs increased 4 percent from the year-ago period</w:t>
      </w:r>
      <w:r>
        <w:rPr>
          <w:color w:val="EE2724"/>
        </w:rPr>
        <w:t xml:space="preserve"> </w:t>
      </w:r>
      <w:r>
        <w:rPr>
          <w:rFonts w:ascii="Arial;sans-serif" w:hAnsi="Arial;sans-serif"/>
          <w:b w:val="false"/>
          <w:color w:val="000000"/>
          <w:sz w:val="22"/>
        </w:rPr>
        <w:t>primarily due to the continued ramp-up of the Light Tight Oil project at the Pasadena, Texas refinery.</w:t>
      </w:r>
    </w:p>
    <w:p>
      <w:pPr>
        <w:pStyle w:val="TextBody"/>
        <w:bidi w:val="0"/>
        <w:spacing w:lineRule="auto" w:line="288" w:before="60" w:after="180"/>
        <w:ind w:left="0" w:right="0" w:hanging="360"/>
        <w:jc w:val="both"/>
        <w:rPr/>
      </w:pPr>
      <w:r>
        <w:rPr>
          <w:color w:val="000000"/>
        </w:rPr>
        <w:t>•</w:t>
      </w:r>
      <w:r>
        <w:rPr>
          <w:rFonts w:ascii="Arial;sans-serif" w:hAnsi="Arial;sans-serif"/>
          <w:b w:val="false"/>
          <w:color w:val="000000"/>
          <w:sz w:val="22"/>
        </w:rPr>
        <w:t>Refined product sales decreased 2 percent</w:t>
      </w:r>
      <w:r>
        <w:rPr>
          <w:color w:val="000000"/>
        </w:rPr>
        <w:t xml:space="preserve"> </w:t>
      </w:r>
      <w:r>
        <w:rPr>
          <w:rFonts w:ascii="Arial;sans-serif" w:hAnsi="Arial;sans-serif"/>
          <w:b w:val="false"/>
          <w:color w:val="000000"/>
          <w:sz w:val="22"/>
        </w:rPr>
        <w:t>compared to the year-ago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282" w:type="dxa"/>
        <w:jc w:val="center"/>
        <w:tblInd w:w="0" w:type="dxa"/>
        <w:tblLayout w:type="fixed"/>
        <w:tblCellMar>
          <w:top w:w="28" w:type="dxa"/>
          <w:left w:w="28" w:type="dxa"/>
          <w:bottom w:w="28" w:type="dxa"/>
          <w:right w:w="28" w:type="dxa"/>
        </w:tblCellMar>
      </w:tblPr>
      <w:tblGrid>
        <w:gridCol w:w="1026"/>
        <w:gridCol w:w="903"/>
        <w:gridCol w:w="905"/>
        <w:gridCol w:w="184"/>
        <w:gridCol w:w="184"/>
        <w:gridCol w:w="188"/>
        <w:gridCol w:w="211"/>
        <w:gridCol w:w="691"/>
        <w:gridCol w:w="109"/>
        <w:gridCol w:w="217"/>
        <w:gridCol w:w="480"/>
        <w:gridCol w:w="112"/>
        <w:gridCol w:w="217"/>
        <w:gridCol w:w="480"/>
        <w:gridCol w:w="112"/>
        <w:gridCol w:w="109"/>
        <w:gridCol w:w="154"/>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International Downstream</w:t>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w:t>
            </w:r>
          </w:p>
        </w:tc>
        <w:tc>
          <w:tcPr>
            <w:tcW w:w="1011"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1Q 2026</w:t>
            </w:r>
          </w:p>
        </w:tc>
        <w:tc>
          <w:tcPr>
            <w:tcW w:w="8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4Q 2025</w:t>
            </w:r>
          </w:p>
        </w:tc>
        <w:tc>
          <w:tcPr>
            <w:tcW w:w="809"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1Q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Earnings / (Loss) </w:t>
            </w:r>
            <w:r>
              <w:rPr>
                <w:rFonts w:ascii="Arial;sans-serif" w:hAnsi="Arial;sans-serif"/>
                <w:b w:val="false"/>
                <w:color w:val="000000"/>
                <w:sz w:val="12"/>
              </w:rPr>
              <w:t>(1)</w:t>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MM</w:t>
            </w:r>
          </w:p>
        </w:tc>
        <w:tc>
          <w:tcPr>
            <w:tcW w:w="211" w:type="dxa"/>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(1,013)</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222 </w:t>
            </w:r>
          </w:p>
        </w:tc>
        <w:tc>
          <w:tcPr>
            <w:tcW w:w="112"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Refinery Crude Unit Inputs</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MBD</w:t>
            </w:r>
          </w:p>
        </w:tc>
        <w:tc>
          <w:tcPr>
            <w:tcW w:w="902"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618 </w:t>
            </w:r>
          </w:p>
        </w:tc>
        <w:tc>
          <w:tcPr>
            <w:tcW w:w="112"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Refined Product Sales</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MBD</w:t>
            </w:r>
          </w:p>
        </w:tc>
        <w:tc>
          <w:tcPr>
            <w:tcW w:w="902"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1,546 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1,398 </w:t>
            </w:r>
          </w:p>
        </w:tc>
        <w:tc>
          <w:tcPr>
            <w:tcW w:w="112"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6D6D6D"/>
                <w:sz w:val="10"/>
              </w:rPr>
              <w:t>(1)</w:t>
            </w:r>
            <w:r>
              <w:rPr>
                <w:color w:val="6D6D6D"/>
              </w:rPr>
              <w:t xml:space="preserve"> </w:t>
            </w:r>
            <w:r>
              <w:rPr>
                <w:rFonts w:ascii="Arial;sans-serif" w:hAnsi="Arial;sans-serif"/>
                <w:b w:val="false"/>
                <w:i/>
                <w:color w:val="6D6D6D"/>
                <w:sz w:val="16"/>
              </w:rPr>
              <w:t>Includes foreign currency effects</w:t>
            </w:r>
          </w:p>
        </w:tc>
        <w:tc>
          <w:tcPr>
            <w:tcW w:w="5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6D6D6D"/>
                <w:sz w:val="16"/>
              </w:rPr>
            </w:pPr>
            <w:r>
              <w:rPr>
                <w:rFonts w:ascii="Arial;sans-serif" w:hAnsi="Arial;sans-serif"/>
                <w:b w:val="false"/>
                <w:i/>
                <w:color w:val="6D6D6D"/>
                <w:sz w:val="16"/>
              </w:rPr>
              <w:t>$ MM</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6"/>
              </w:rPr>
            </w:pPr>
            <w:r>
              <w:rPr>
                <w:rFonts w:ascii="Arial;sans-serif" w:hAnsi="Arial;sans-serif"/>
                <w:b w:val="false"/>
                <w:i/>
                <w:color w:val="6D6D6D"/>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6"/>
              </w:rPr>
            </w:pPr>
            <w:r>
              <w:rPr>
                <w:rFonts w:ascii="Arial;sans-serif" w:hAnsi="Arial;sans-serif"/>
                <w:b w:val="false"/>
                <w:i/>
                <w:color w:val="6D6D6D"/>
                <w:sz w:val="16"/>
              </w:rPr>
              <w:t>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6"/>
              </w:rPr>
            </w:pPr>
            <w:r>
              <w:rPr>
                <w:rFonts w:ascii="Arial;sans-serif" w:hAnsi="Arial;sans-serif"/>
                <w:b w:val="false"/>
                <w:i/>
                <w:color w:val="6D6D6D"/>
                <w:sz w:val="16"/>
              </w:rPr>
              <w:t>$</w:t>
            </w:r>
          </w:p>
        </w:tc>
        <w:tc>
          <w:tcPr>
            <w:tcW w:w="4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6"/>
              </w:rPr>
            </w:pPr>
            <w:r>
              <w:rPr>
                <w:rFonts w:ascii="Arial;sans-serif" w:hAnsi="Arial;sans-serif"/>
                <w:b w:val="false"/>
                <w:i/>
                <w:color w:val="6D6D6D"/>
                <w:sz w:val="16"/>
              </w:rPr>
              <w:t>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6"/>
              </w:rPr>
            </w:pPr>
            <w:r>
              <w:rPr>
                <w:rFonts w:ascii="Arial;sans-serif" w:hAnsi="Arial;sans-serif"/>
                <w:b w:val="false"/>
                <w:i/>
                <w:color w:val="6D6D6D"/>
                <w:sz w:val="16"/>
              </w:rPr>
              <w:t>$</w:t>
            </w:r>
          </w:p>
        </w:tc>
        <w:tc>
          <w:tcPr>
            <w:tcW w:w="4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6"/>
              </w:rPr>
            </w:pPr>
            <w:r>
              <w:rPr>
                <w:rFonts w:ascii="Arial;sans-serif" w:hAnsi="Arial;sans-serif"/>
                <w:b w:val="false"/>
                <w:i/>
                <w:color w:val="6D6D6D"/>
                <w:sz w:val="16"/>
              </w:rPr>
              <w:t>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hanging="360"/>
        <w:jc w:val="both"/>
        <w:rPr/>
      </w:pPr>
      <w:r>
        <w:rPr>
          <w:color w:val="000000"/>
        </w:rPr>
        <w:t>•</w:t>
      </w:r>
      <w:r>
        <w:rPr>
          <w:rFonts w:ascii="Arial;sans-serif" w:hAnsi="Arial;sans-serif"/>
          <w:b w:val="false"/>
          <w:color w:val="000000"/>
          <w:sz w:val="22"/>
        </w:rPr>
        <w:t xml:space="preserve">International downstream earnings were lower than the year-ago period primarily due to lower margins on refined product sales, including unfavorable timing effects and higher operating expenses mainly from higher transportation costs.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2"/>
        </w:rPr>
        <w:t>Refinery crude unit inputs were flat relative to the year-ago period.</w:t>
      </w:r>
    </w:p>
    <w:p>
      <w:pPr>
        <w:pStyle w:val="TextBody"/>
        <w:bidi w:val="0"/>
        <w:spacing w:lineRule="auto" w:line="288" w:before="60" w:after="120"/>
        <w:ind w:left="0" w:right="0" w:hanging="360"/>
        <w:jc w:val="both"/>
        <w:rPr/>
      </w:pPr>
      <w:r>
        <w:rPr>
          <w:color w:val="000000"/>
        </w:rPr>
        <w:t>•</w:t>
      </w:r>
      <w:r>
        <w:rPr>
          <w:rFonts w:ascii="Arial;sans-serif" w:hAnsi="Arial;sans-serif"/>
          <w:b w:val="false"/>
          <w:color w:val="000000"/>
          <w:sz w:val="22"/>
        </w:rPr>
        <w:t>Refined product sales increased 7 percent from the year-ago period due to higher demand for gasoline.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60"/>
        <w:jc w:val="left"/>
        <w:rPr>
          <w:rFonts w:ascii="Arial;sans-serif" w:hAnsi="Arial;sans-serif"/>
          <w:b/>
          <w:color w:val="000000"/>
          <w:sz w:val="22"/>
        </w:rPr>
      </w:pPr>
      <w:r>
        <w:rPr>
          <w:rFonts w:ascii="Arial;sans-serif" w:hAnsi="Arial;sans-serif"/>
          <w:b/>
          <w:color w:val="000000"/>
          <w:sz w:val="22"/>
        </w:rPr>
        <w:t>All Other</w:t>
      </w:r>
    </w:p>
    <w:tbl>
      <w:tblPr>
        <w:tblW w:w="6251" w:type="dxa"/>
        <w:jc w:val="center"/>
        <w:tblInd w:w="0" w:type="dxa"/>
        <w:tblLayout w:type="fixed"/>
        <w:tblCellMar>
          <w:top w:w="28" w:type="dxa"/>
          <w:left w:w="28" w:type="dxa"/>
          <w:bottom w:w="28" w:type="dxa"/>
          <w:right w:w="28" w:type="dxa"/>
        </w:tblCellMar>
      </w:tblPr>
      <w:tblGrid>
        <w:gridCol w:w="977"/>
        <w:gridCol w:w="857"/>
        <w:gridCol w:w="865"/>
        <w:gridCol w:w="184"/>
        <w:gridCol w:w="184"/>
        <w:gridCol w:w="188"/>
        <w:gridCol w:w="211"/>
        <w:gridCol w:w="541"/>
        <w:gridCol w:w="109"/>
        <w:gridCol w:w="211"/>
        <w:gridCol w:w="691"/>
        <w:gridCol w:w="109"/>
        <w:gridCol w:w="211"/>
        <w:gridCol w:w="541"/>
        <w:gridCol w:w="109"/>
        <w:gridCol w:w="109"/>
        <w:gridCol w:w="154"/>
      </w:tblGrid>
      <w:tr>
        <w:trPr/>
        <w:tc>
          <w:tcPr>
            <w:tcW w:w="97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All Other</w:t>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w:t>
            </w:r>
          </w:p>
        </w:tc>
        <w:tc>
          <w:tcPr>
            <w:tcW w:w="861"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1Q 2026</w:t>
            </w:r>
          </w:p>
        </w:tc>
        <w:tc>
          <w:tcPr>
            <w:tcW w:w="10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4Q 2025</w:t>
            </w:r>
          </w:p>
        </w:tc>
        <w:tc>
          <w:tcPr>
            <w:tcW w:w="861"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1Q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Net charges </w:t>
            </w:r>
            <w:r>
              <w:rPr>
                <w:rFonts w:ascii="Arial;sans-serif" w:hAnsi="Arial;sans-serif"/>
                <w:b w:val="false"/>
                <w:color w:val="000000"/>
                <w:sz w:val="12"/>
              </w:rPr>
              <w:t>(1)</w:t>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MM</w:t>
            </w:r>
          </w:p>
        </w:tc>
        <w:tc>
          <w:tcPr>
            <w:tcW w:w="211" w:type="dxa"/>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(882)</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w:t>
            </w:r>
          </w:p>
        </w:tc>
        <w:tc>
          <w:tcPr>
            <w:tcW w:w="109"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6D6D6D"/>
                <w:sz w:val="10"/>
              </w:rPr>
              <w:t>(1)</w:t>
            </w:r>
            <w:r>
              <w:rPr>
                <w:color w:val="6D6D6D"/>
              </w:rPr>
              <w:t xml:space="preserve"> </w:t>
            </w:r>
            <w:r>
              <w:rPr>
                <w:rFonts w:ascii="Arial;sans-serif" w:hAnsi="Arial;sans-serif"/>
                <w:b w:val="false"/>
                <w:i/>
                <w:color w:val="6D6D6D"/>
                <w:sz w:val="16"/>
              </w:rPr>
              <w:t>Includes foreign currency effects</w:t>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6D6D6D"/>
                <w:sz w:val="16"/>
              </w:rPr>
            </w:pPr>
            <w:r>
              <w:rPr>
                <w:rFonts w:ascii="Arial;sans-serif" w:hAnsi="Arial;sans-serif"/>
                <w:b w:val="false"/>
                <w:i/>
                <w:color w:val="6D6D6D"/>
                <w:sz w:val="16"/>
              </w:rPr>
              <w:t>$ MM</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6"/>
              </w:rPr>
            </w:pPr>
            <w:r>
              <w:rPr>
                <w:rFonts w:ascii="Arial;sans-serif" w:hAnsi="Arial;sans-serif"/>
                <w:b w:val="false"/>
                <w:i/>
                <w:color w:val="6D6D6D"/>
                <w:sz w:val="16"/>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6"/>
              </w:rPr>
            </w:pPr>
            <w:r>
              <w:rPr>
                <w:rFonts w:ascii="Arial;sans-serif" w:hAnsi="Arial;sans-serif"/>
                <w:b w:val="false"/>
                <w:i/>
                <w:color w:val="6D6D6D"/>
                <w:sz w:val="16"/>
              </w:rPr>
              <w:t>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6"/>
              </w:rPr>
            </w:pPr>
            <w:r>
              <w:rPr>
                <w:rFonts w:ascii="Arial;sans-serif" w:hAnsi="Arial;sans-serif"/>
                <w:b w:val="false"/>
                <w:i/>
                <w:color w:val="6D6D6D"/>
                <w:sz w:val="16"/>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6"/>
              </w:rPr>
            </w:pPr>
            <w:r>
              <w:rPr>
                <w:rFonts w:ascii="Arial;sans-serif" w:hAnsi="Arial;sans-serif"/>
                <w:b w:val="false"/>
                <w:i/>
                <w:color w:val="6D6D6D"/>
                <w:sz w:val="16"/>
              </w:rPr>
              <w:t>(14)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6"/>
              </w:rPr>
            </w:pPr>
            <w:r>
              <w:rPr>
                <w:rFonts w:ascii="Arial;sans-serif" w:hAnsi="Arial;sans-serif"/>
                <w:b w:val="false"/>
                <w:i/>
                <w:color w:val="6D6D6D"/>
                <w:sz w:val="16"/>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6"/>
              </w:rPr>
            </w:pPr>
            <w:r>
              <w:rPr>
                <w:rFonts w:ascii="Arial;sans-serif" w:hAnsi="Arial;sans-serif"/>
                <w:b w:val="false"/>
                <w:i/>
                <w:color w:val="6D6D6D"/>
                <w:sz w:val="16"/>
              </w:rPr>
              <w:t>(5)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hanging="360"/>
        <w:jc w:val="both"/>
        <w:rPr/>
      </w:pPr>
      <w:r>
        <w:rPr>
          <w:color w:val="000000"/>
        </w:rPr>
        <w:t>•</w:t>
      </w:r>
      <w:r>
        <w:rPr>
          <w:rFonts w:ascii="Arial;sans-serif" w:hAnsi="Arial;sans-serif"/>
          <w:b w:val="false"/>
          <w:color w:val="000000"/>
          <w:sz w:val="22"/>
        </w:rPr>
        <w:t>All Other consists of worldwide cash management and debt financing activities, corporate administrative functions, insurance operations, real estate activities, and technology companies.</w:t>
      </w:r>
    </w:p>
    <w:p>
      <w:pPr>
        <w:pStyle w:val="TextBody"/>
        <w:bidi w:val="0"/>
        <w:spacing w:lineRule="auto" w:line="288" w:before="60" w:after="120"/>
        <w:ind w:left="0" w:right="0" w:hanging="360"/>
        <w:jc w:val="both"/>
        <w:rPr/>
      </w:pPr>
      <w:r>
        <w:rPr>
          <w:color w:val="000000"/>
        </w:rPr>
        <w:t>•</w:t>
      </w:r>
      <w:r>
        <w:rPr>
          <w:rFonts w:ascii="Arial;sans-serif" w:hAnsi="Arial;sans-serif"/>
          <w:b w:val="false"/>
          <w:color w:val="000000"/>
          <w:sz w:val="22"/>
        </w:rPr>
        <w:t>Net charges increased compared to a year ago primarily due to the absence of prior-year favorable fair value adjustment on Hess shares and higher interest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60"/>
        <w:jc w:val="both"/>
        <w:rPr/>
      </w:pPr>
      <w:r>
        <w:rPr>
          <w:rFonts w:ascii="Arial;sans-serif" w:hAnsi="Arial;sans-serif"/>
          <w:b w:val="false"/>
          <w:color w:val="000000"/>
          <w:sz w:val="22"/>
        </w:rPr>
        <w:t xml:space="preserve">Chevron is one of the world’s leading integrated energy companies. We believe affordable, reliable and ever-cleaner energy is essential to enabling human progress. Chevron produces crude oil and natural gas; manufactures transportation fuels, lubricants, petrochemicals and additives; and develops technologies that enhance our business and the industry. We aim to grow our oil and gas business, lower the carbon intensity of operations, and grow new energies businesses. More information about Chevron is available at </w:t>
      </w:r>
      <w:r>
        <w:rPr>
          <w:rFonts w:ascii="Arial;sans-serif" w:hAnsi="Arial;sans-serif"/>
          <w:b w:val="false"/>
          <w:color w:val="000000"/>
          <w:sz w:val="22"/>
          <w:u w:val="single"/>
        </w:rPr>
        <w:t>www.chevron.com</w:t>
      </w:r>
      <w:r>
        <w:rPr>
          <w:rFonts w:ascii="Arial;sans-serif" w:hAnsi="Arial;sans-serif"/>
          <w:b w:val="false"/>
          <w:color w:val="000000"/>
          <w:sz w:val="22"/>
        </w:rPr>
        <w:t>.</w:t>
      </w:r>
    </w:p>
    <w:p>
      <w:pPr>
        <w:pStyle w:val="TextBody"/>
        <w:bidi w:val="0"/>
        <w:spacing w:lineRule="auto" w:line="288" w:before="120" w:after="120"/>
        <w:jc w:val="center"/>
        <w:rPr/>
      </w:pPr>
      <w:r>
        <w:rPr>
          <w:rFonts w:ascii="Arial;sans-serif" w:hAnsi="Arial;sans-serif"/>
          <w:b w:val="false"/>
          <w:i/>
          <w:color w:val="000000"/>
          <w:sz w:val="22"/>
        </w:rPr>
        <w:t># #</w:t>
      </w:r>
      <w:r>
        <w:rPr>
          <w:color w:val="000000"/>
        </w:rPr>
        <w:t xml:space="preserve"> </w:t>
      </w:r>
      <w:r>
        <w:rPr>
          <w:rFonts w:ascii="Arial;sans-serif" w:hAnsi="Arial;sans-serif"/>
          <w:b w:val="false"/>
          <w:color w:val="000000"/>
          <w:sz w:val="22"/>
        </w:rPr>
        <w:t>#</w:t>
      </w:r>
    </w:p>
    <w:p>
      <w:pPr>
        <w:pStyle w:val="TextBody"/>
        <w:bidi w:val="0"/>
        <w:spacing w:lineRule="auto" w:line="288" w:before="60" w:after="60"/>
        <w:jc w:val="center"/>
        <w:rPr>
          <w:rFonts w:ascii="Arial;sans-serif" w:hAnsi="Arial;sans-serif"/>
          <w:b w:val="false"/>
          <w:color w:val="000000"/>
          <w:sz w:val="22"/>
        </w:rPr>
      </w:pPr>
      <w:r>
        <w:rPr>
          <w:rFonts w:ascii="Arial;sans-serif" w:hAnsi="Arial;sans-serif"/>
          <w:b w:val="false"/>
          <w:color w:val="000000"/>
          <w:sz w:val="22"/>
        </w:rPr>
        <w:t>Contact: James Craig -- +1 925-842-1319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06705"/>
                <wp:effectExtent l="0" t="0" r="0" b="0"/>
                <wp:wrapNone/>
                <wp:docPr id="8" name="Frame7"/>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22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p>
                  </w:txbxContent>
                </v:textbox>
                <w10:wrap type="none"/>
              </v:rect>
            </w:pict>
          </mc:Fallback>
        </mc:AlternateContent>
      </w:r>
    </w:p>
    <w:p>
      <w:pPr>
        <w:pStyle w:val="TextBody"/>
        <w:bidi w:val="0"/>
        <w:spacing w:lineRule="auto" w:line="288" w:before="180" w:after="120"/>
        <w:jc w:val="center"/>
        <w:rPr>
          <w:rFonts w:ascii="Arial;sans-serif" w:hAnsi="Arial;sans-serif"/>
          <w:b/>
          <w:color w:val="000000"/>
          <w:sz w:val="22"/>
        </w:rPr>
      </w:pPr>
      <w:r>
        <w:rPr>
          <w:rFonts w:ascii="Arial;sans-serif" w:hAnsi="Arial;sans-serif"/>
          <w:b/>
          <w:color w:val="000000"/>
          <w:sz w:val="22"/>
        </w:rPr>
        <w:t>NOTICE</w:t>
      </w:r>
    </w:p>
    <w:p>
      <w:pPr>
        <w:pStyle w:val="TextBody"/>
        <w:bidi w:val="0"/>
        <w:spacing w:lineRule="auto" w:line="288" w:before="120" w:after="120"/>
        <w:jc w:val="both"/>
        <w:rPr/>
      </w:pPr>
      <w:r>
        <w:rPr>
          <w:rFonts w:ascii="Arial;sans-serif" w:hAnsi="Arial;sans-serif"/>
          <w:b/>
          <w:color w:val="000000"/>
          <w:sz w:val="22"/>
        </w:rPr>
        <w:t xml:space="preserve">Chevron’s discussion of first quarter 2026 earnings with security analysts will take place on Friday, May 1, 2026, at 10:00 a.m. CT. A webcast of the meeting will be available in a listen-only mode to individual investors, media, and other interested parties on Chevron’s website at </w:t>
      </w:r>
      <w:r>
        <w:rPr>
          <w:rFonts w:ascii="Arial;sans-serif" w:hAnsi="Arial;sans-serif"/>
          <w:b/>
          <w:color w:val="000000"/>
          <w:sz w:val="22"/>
          <w:u w:val="single"/>
        </w:rPr>
        <w:t>www.chevron.com</w:t>
      </w:r>
      <w:r>
        <w:rPr>
          <w:color w:val="000000"/>
        </w:rPr>
        <w:t xml:space="preserve"> </w:t>
      </w:r>
      <w:r>
        <w:rPr>
          <w:rFonts w:ascii="Arial;sans-serif" w:hAnsi="Arial;sans-serif"/>
          <w:b/>
          <w:color w:val="000000"/>
          <w:sz w:val="22"/>
        </w:rPr>
        <w:t>under the “Investors” section. Prepared remarks for today’s call, additional financial and operating information and other complementary materials will be available prior to the call at approximately 5:30 a.m. CT and located under “Events and Presentations” in the “Investors” section on the Chevron website. Chevron also publishes a “Sensitivities and Forward Guidance” document with consolidated guidance and sensitivities that is updated quarterly and posted to the Chevron website the month prior to earnings calls.</w:t>
      </w:r>
    </w:p>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 xml:space="preserve">As used in this news release, the term “Chevron” and such terms as “the company,” “the corporation,” “our,” “we,” “us” and “its” may refer to Chevron Corporation, one or more of its consolidated subsidiaries, or to all of them taken as a whole. All of these terms are used for convenience only and are not intended as a precise description of any of the separate companies, each of which manages its own affairs. Structural cost reductions describe decreases in operating expenses from operational efficiencies, divestments, and other cost saving measures that are expected to be sustainable compared with 2024 levels. </w:t>
      </w:r>
    </w:p>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Please visit Chevron’s website and Investor Relations page at www.chevron.com and www.chevron.com/investors, LinkedIn: www.linkedin.com/company/chevron, X: @Chevron, Facebook: www.facebook.com/chevron, and Instagram: www.instagram.com/chevron, where Chevron often discloses important information about the company, its business, and its results of operations.</w:t>
      </w:r>
    </w:p>
    <w:p>
      <w:pPr>
        <w:pStyle w:val="TextBody"/>
        <w:bidi w:val="0"/>
        <w:spacing w:lineRule="auto" w:line="288" w:before="120" w:after="60"/>
        <w:jc w:val="both"/>
        <w:rPr/>
      </w:pPr>
      <w:r>
        <w:rPr>
          <w:rFonts w:ascii="Arial;sans-serif" w:hAnsi="Arial;sans-serif"/>
          <w:b/>
          <w:i/>
          <w:color w:val="000000"/>
          <w:sz w:val="20"/>
        </w:rPr>
        <w:t>Non-GAAP Financial Measures</w:t>
      </w:r>
      <w:r>
        <w:rPr>
          <w:color w:val="000000"/>
        </w:rPr>
        <w:t xml:space="preserve"> </w:t>
      </w:r>
      <w:r>
        <w:rPr>
          <w:rFonts w:ascii="Arial;sans-serif" w:hAnsi="Arial;sans-serif"/>
          <w:b w:val="false"/>
          <w:i/>
          <w:color w:val="000000"/>
          <w:sz w:val="20"/>
        </w:rPr>
        <w:t xml:space="preserve">- This news release includes adjusted earnings/(loss), which reflect earnings or losses excluding significant non-operational items including impairment charges, write-offs, decommissioning obligations from previously sold assets, severance costs, gains on asset sales, legal reserves for ceased operations, fair value adjustments for investments in equity securities, unusual tax items, effects of pension settlements and curtailments, foreign currency effects and other special items. We believe it is useful for investors to consider this measure in comparing the underlying performance of our business across periods. The presentation of this additional information is not meant to be considered in isolation or as a substitute for net income (loss) as prepared in accordance with U.S. GAAP. A reconciliation to net income (loss) attributable to Chevron Corporation is shown in Attachment 4. </w:t>
      </w:r>
    </w:p>
    <w:p>
      <w:pPr>
        <w:pStyle w:val="TextBody"/>
        <w:bidi w:val="0"/>
        <w:spacing w:lineRule="auto" w:line="288" w:before="60" w:after="60"/>
        <w:jc w:val="both"/>
        <w:rPr>
          <w:rFonts w:ascii="Arial;sans-serif" w:hAnsi="Arial;sans-serif"/>
          <w:b w:val="false"/>
          <w:i/>
          <w:color w:val="000000"/>
          <w:sz w:val="20"/>
        </w:rPr>
      </w:pPr>
      <w:r>
        <w:rPr>
          <w:rFonts w:ascii="Arial;sans-serif" w:hAnsi="Arial;sans-serif"/>
          <w:b w:val="false"/>
          <w:i/>
          <w:color w:val="000000"/>
          <w:sz w:val="20"/>
        </w:rPr>
        <w:t>This news release also includes cash flow from operations excluding working capital, free cash flow and adjusted free cash flow. Cash flow from operations excluding working capital is defined as net cash provided by operating activities less net changes in operating working capital, and represents cash generated by operating activities excluding the timing impacts of working capital. Free cash flow is defined as net cash provided by operating activities less capital expenditures and generally represents the cash available to creditors and investors after investing in the business. Adjusted free cash flow is defined as free cash flow excluding working capital plus proceeds and deposits related to asset sales and returns of investments plus net repayment (borrowing) of loans by equity affiliates and generally represents the cash available to creditors and investors after investing in the business excluding the timing impacts of working capital. The company believes these measures are useful to monitor the financial health of the company and its performance over time. Reconciliations of cash flow from operations excluding working capital, free cash flow and adjusted free cash flow are shown in Attachment 3.</w:t>
      </w:r>
    </w:p>
    <w:p>
      <w:pPr>
        <w:pStyle w:val="TextBody"/>
        <w:bidi w:val="0"/>
        <w:spacing w:lineRule="auto" w:line="288" w:before="60" w:after="60"/>
        <w:jc w:val="both"/>
        <w:rPr>
          <w:rFonts w:ascii="Arial;sans-serif" w:hAnsi="Arial;sans-serif"/>
          <w:b w:val="false"/>
          <w:i/>
          <w:color w:val="000000"/>
          <w:sz w:val="20"/>
        </w:rPr>
      </w:pPr>
      <w:r>
        <w:rPr>
          <w:rFonts w:ascii="Arial;sans-serif" w:hAnsi="Arial;sans-serif"/>
          <w:b w:val="false"/>
          <w:i/>
          <w:color w:val="000000"/>
          <w:sz w:val="20"/>
        </w:rPr>
        <w:t>This news release also includes net debt ratio and net debt-to-CFFO ratio. Net debt ratio is defined as total debt less cash and cash equivalents, time deposits and marketable securities (net debt) as a percentage of net debt plus Chevron Corporation stockholders’ equity, which indicates the company’s leverage, net of its cash balances. The net debt-to-CFFO ratio is defined as net debt divided by CFFO for the prior four quarters, which measures the company’s ability to cover its net debt using the cash it generates from operations. The company believes these measures are useful to monitor the strength of the company’s balance sheet. A reconciliation of net debt ratio and net debt-to-CFFO ratio is shown in Attachment 2.</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06705"/>
                <wp:effectExtent l="0" t="0" r="0" b="0"/>
                <wp:wrapNone/>
                <wp:docPr id="9" name="Frame8"/>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22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p>
                  </w:txbxContent>
                </v:textbox>
                <w10:wrap type="none"/>
              </v:rect>
            </w:pict>
          </mc:Fallback>
        </mc:AlternateContent>
      </w:r>
    </w:p>
    <w:p>
      <w:pPr>
        <w:pStyle w:val="TextBody"/>
        <w:bidi w:val="0"/>
        <w:spacing w:lineRule="auto" w:line="288" w:before="60" w:after="283"/>
        <w:jc w:val="center"/>
        <w:rPr>
          <w:rFonts w:ascii="Arial;sans-serif" w:hAnsi="Arial;sans-serif"/>
          <w:b/>
          <w:color w:val="000000"/>
          <w:sz w:val="22"/>
        </w:rPr>
      </w:pPr>
      <w:r>
        <w:rPr>
          <w:rFonts w:ascii="Arial;sans-serif" w:hAnsi="Arial;sans-serif"/>
          <w:b/>
          <w:color w:val="000000"/>
          <w:sz w:val="22"/>
        </w:rPr>
        <w:t xml:space="preserve">CAUTIONARY STATEMENTS RELEVANT TO FORWARD-LOOKING INFORMATION FOR THE PURPOSE OF “SAFE HARBOR” PROVISIONS OF THE </w:t>
        <w:br/>
        <w:t>PRIVATE SECURITIES LITIGATION REFORM ACT OF 1995</w:t>
      </w:r>
    </w:p>
    <w:p>
      <w:pPr>
        <w:pStyle w:val="TextBody"/>
        <w:bidi w:val="0"/>
        <w:spacing w:before="60" w:after="283"/>
        <w:jc w:val="center"/>
        <w:rPr/>
      </w:pPr>
      <w:r>
        <w:rPr/>
      </w:r>
    </w:p>
    <w:p>
      <w:pPr>
        <w:pStyle w:val="TextBody"/>
        <w:bidi w:val="0"/>
        <w:spacing w:lineRule="auto" w:line="300" w:before="0" w:after="120"/>
        <w:jc w:val="both"/>
        <w:rPr>
          <w:rFonts w:ascii="Arial;sans-serif" w:hAnsi="Arial;sans-serif"/>
          <w:b w:val="false"/>
          <w:i/>
          <w:color w:val="000000"/>
          <w:sz w:val="18"/>
        </w:rPr>
      </w:pPr>
      <w:r>
        <w:rPr>
          <w:rFonts w:ascii="Arial;sans-serif" w:hAnsi="Arial;sans-serif"/>
          <w:b w:val="false"/>
          <w:i/>
          <w:color w:val="000000"/>
          <w:sz w:val="18"/>
        </w:rPr>
        <w:t>This news release contains forward-looking statements relating to Chevron’s operations, assets, and strategy that are based on management’s current expectations, estimates and projections about the petroleum, chemicals and other energy-related industries. Words or phrases such as “anticipates,” “expects,” “intends,” “plans,” “targets,” “advances,” “commits,” “drives,” “aims,” “forecasts,” “projects,” “believes,” “approaches,” “seeks,” “schedules,” “estimates,” “positions,” “pursues,” “progress,” “design,” “enable,” “may,” “can,” “could,” “should,” “will,” “budgets,” “outlook,” “trends,” “guidance,” “focus,” “on track,” “trajectory,” “goals,” “objectives,” “strategies,” “opportunities,” “poised,” “potential,” “ambitions,” “future,” “aspires” and similar expressions, and variations or negatives of these words, are intended to identify such forward-looking statements, but not all forward-looking statements include such words. These statements are not guarantees of future performance and are subject to numerous risks, uncertainties and other factors, many of which are beyond the company’s control and are difficult to predict. Therefore, actual outcomes and results may differ materially from what is expressed or forecasted in such forward-looking statements. The reader should not place undue reliance on these forward-looking statements, which speak only as of the date of this news release. Unless legally required, Chevron undertakes no obligation to update publicly any forward-looking statements, whether as a result of new information, future events or otherwise.</w:t>
      </w:r>
    </w:p>
    <w:p>
      <w:pPr>
        <w:pStyle w:val="TextBody"/>
        <w:bidi w:val="0"/>
        <w:spacing w:lineRule="auto" w:line="300" w:before="0" w:after="100"/>
        <w:jc w:val="both"/>
        <w:rPr>
          <w:rFonts w:ascii="Arial;sans-serif" w:hAnsi="Arial;sans-serif"/>
          <w:b w:val="false"/>
          <w:i/>
          <w:color w:val="000000"/>
          <w:sz w:val="18"/>
        </w:rPr>
      </w:pPr>
      <w:r>
        <w:rPr>
          <w:rFonts w:ascii="Arial;sans-serif" w:hAnsi="Arial;sans-serif"/>
          <w:b w:val="false"/>
          <w:i/>
          <w:color w:val="000000"/>
          <w:sz w:val="18"/>
        </w:rPr>
        <w:t>Among the important factors that could cause actual results to differ materially from those in the forward-looking statements are: changing crude oil and natural gas prices and demand for the company’s products, and production curtailments due to market conditions; crude oil production quotas or other actions that might be imposed by the Organization of Petroleum Exporting Countries and other producing countries; technological advancements; changes to government policies in the countries in which the company operates; public health crises, such as pandemics and epidemics, and any related government policies and actions; disruptions in the company’s global supply chain, including supply chain constraints and escalation of the cost of goods and services; changing economic, regulatory and political environments in the various countries in which the company operates, including Venezuela; general domestic and international economic, market and political conditions, including the conflict between Russia and Ukraine, the ongoing conflict in the Middle East and the global response to these hostilities; changing refining, marketing and chemicals margins; the amount and timing of settlements on the company’s commodity derivative contracts; the company’s ability to realize anticipated cost savings and efficiencies associated with enterprise structural cost reduction initiatives; actions of competitors or regulators; timing of exploration expenses; changes in projected future cash flows; timing of crude oil liftings; uncertainties about the estimated quantities of crude oil, natural gas liquids and natural gas reserves; the competitiveness of alternate-energy sources or product substitutes; pace and scale of the development of large carbon capture and storage and offset markets; the results of operations and financial condition of the company’s suppliers, vendors, partners and equity affiliates; the inability or failure of the company’s joint-venture partners to fund their share of operations and development activities; the potential failure to achieve expected net production from existing and future crude oil and natural gas development projects; potential delays in the development, construction or start-up of planned projects; the potential disruption or interruption of the company’s operations due to war, accidents, political events, civil unrest, severe weather, cyber threats, terrorist acts, or other natural or human causes beyond the company’s control; the potential liability for remedial actions or assessments under existing or future environmental regulations and litigation; significant operational, investment or product changes undertaken or required by existing or future environmental statutes and regulations, including international agreements and national or regional legislation and regulatory measures related to greenhouse gas emissions and climate change; the potential liability resulting from pending or future litigation; the company’s ability to achieve the anticipated benefits from the acquisition of Hess Corporation; the company’s future acquisitions or dispositions of assets or shares or the delay or failure of such transactions to close based on required closing conditions; the potential for gains and losses from asset dispositions or impairments; government mandated sales, divestitures, recapitalizations, taxes and tax audits, tariffs, sanctions, changes in fiscal terms or restrictions on scope of company operations; foreign currency movements compared with the U.S. dollar; higher inflation and related impacts; material reductions in corporate liquidity and access to debt markets; changes to the company’s capital allocation strategies; the effects of changed accounting rules under generally accepted accounting principles promulgated by rule-setting bodies; the company’s ability to identify and mitigate the risks and hazards inherent in operating in the global energy industry; and the factors set forth under the heading “Risk Factors” on pages 21 through 27 of the company’s 2025 Annual Report on Form 10-K, and as updated in the future. Other unpredictable or unknown factors not discussed in this news release could also have material adverse effects on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06705"/>
                <wp:effectExtent l="0" t="0" r="0" b="0"/>
                <wp:wrapNone/>
                <wp:docPr id="10" name="Frame9"/>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22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p>
                  </w:txbxContent>
                </v:textbox>
                <w10:wrap type="none"/>
              </v:rect>
            </w:pict>
          </mc:Fallback>
        </mc:AlternateContent>
      </w:r>
    </w:p>
    <w:tbl>
      <w:tblPr>
        <w:tblW w:w="7181" w:type="dxa"/>
        <w:jc w:val="center"/>
        <w:tblInd w:w="0" w:type="dxa"/>
        <w:tblLayout w:type="fixed"/>
        <w:tblCellMar>
          <w:top w:w="28" w:type="dxa"/>
          <w:left w:w="28" w:type="dxa"/>
          <w:bottom w:w="28" w:type="dxa"/>
          <w:right w:w="28" w:type="dxa"/>
        </w:tblCellMar>
      </w:tblPr>
      <w:tblGrid>
        <w:gridCol w:w="124"/>
        <w:gridCol w:w="109"/>
        <w:gridCol w:w="109"/>
        <w:gridCol w:w="618"/>
        <w:gridCol w:w="618"/>
        <w:gridCol w:w="618"/>
        <w:gridCol w:w="618"/>
        <w:gridCol w:w="618"/>
        <w:gridCol w:w="618"/>
        <w:gridCol w:w="618"/>
        <w:gridCol w:w="618"/>
        <w:gridCol w:w="621"/>
        <w:gridCol w:w="372"/>
        <w:gridCol w:w="372"/>
        <w:gridCol w:w="5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CHEVRON CORPORATION - FINANCIAL REVIEW</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Attachment 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(Millions of Dollars, Except Per-Share Amounts)</w:t>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1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15"/>
        <w:gridCol w:w="1096"/>
        <w:gridCol w:w="1099"/>
        <w:gridCol w:w="329"/>
        <w:gridCol w:w="1050"/>
        <w:gridCol w:w="155"/>
        <w:gridCol w:w="155"/>
        <w:gridCol w:w="155"/>
        <w:gridCol w:w="155"/>
        <w:gridCol w:w="329"/>
        <w:gridCol w:w="1029"/>
        <w:gridCol w:w="155"/>
        <w:gridCol w:w="109"/>
        <w:gridCol w:w="109"/>
        <w:gridCol w:w="109"/>
        <w:gridCol w:w="2656"/>
      </w:tblGrid>
      <w:tr>
        <w:trPr/>
        <w:tc>
          <w:tcPr>
            <w:tcW w:w="1515"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722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CONSOLIDATED STATEMENT OF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5" w:type="dxa"/>
            <w:gridSpan w:val="2"/>
            <w:tcBorders/>
          </w:tcPr>
          <w:p>
            <w:pPr>
              <w:pStyle w:val="TableContents"/>
              <w:bidi w:val="0"/>
              <w:spacing w:before="0" w:after="283"/>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5" w:type="dxa"/>
            <w:gridSpan w:val="2"/>
            <w:tcBorders/>
          </w:tcPr>
          <w:p>
            <w:pPr>
              <w:pStyle w:val="TableContents"/>
              <w:bidi w:val="0"/>
              <w:spacing w:before="0" w:after="283"/>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 AND OTHER INCOME</w:t>
            </w:r>
          </w:p>
        </w:tc>
        <w:tc>
          <w:tcPr>
            <w:tcW w:w="1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2026</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other operating revenues</w:t>
            </w:r>
          </w:p>
        </w:tc>
        <w:tc>
          <w:tcPr>
            <w:tcW w:w="3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47,556</w:t>
            </w:r>
            <w:r>
              <w:rPr>
                <w:color w:val="000000"/>
              </w:rPr>
              <w:t>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46,101 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equity affiliates</w:t>
            </w:r>
          </w:p>
        </w:tc>
        <w:tc>
          <w:tcPr>
            <w:tcW w:w="137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745</w:t>
            </w: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(loss)</w:t>
            </w:r>
          </w:p>
        </w:tc>
        <w:tc>
          <w:tcPr>
            <w:tcW w:w="137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306</w:t>
            </w: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 and Other Income</w:t>
            </w:r>
          </w:p>
        </w:tc>
        <w:tc>
          <w:tcPr>
            <w:tcW w:w="13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48,607</w:t>
            </w:r>
            <w:r>
              <w:rPr>
                <w:color w:val="000000"/>
              </w:rPr>
              <w:t>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47,610 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COSTS AND OTHER DEDUCTIONS</w:t>
            </w:r>
          </w:p>
        </w:tc>
        <w:tc>
          <w:tcPr>
            <w:tcW w:w="1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crude oil and products</w:t>
            </w:r>
          </w:p>
        </w:tc>
        <w:tc>
          <w:tcPr>
            <w:tcW w:w="137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28,265</w:t>
            </w: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expenses</w:t>
            </w:r>
            <w:r>
              <w:rPr>
                <w:color w:val="000000"/>
              </w:rPr>
              <w:t xml:space="preserve"> </w:t>
            </w:r>
            <w:r>
              <w:rPr>
                <w:rFonts w:ascii="Times New Roman;serif" w:hAnsi="Times New Roman;serif"/>
                <w:b w:val="false"/>
                <w:color w:val="000000"/>
                <w:sz w:val="10"/>
              </w:rPr>
              <w:t>(1)</w:t>
            </w:r>
          </w:p>
        </w:tc>
        <w:tc>
          <w:tcPr>
            <w:tcW w:w="137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8,724</w:t>
            </w: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Exploration expenses</w:t>
            </w:r>
          </w:p>
        </w:tc>
        <w:tc>
          <w:tcPr>
            <w:tcW w:w="137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205</w:t>
            </w: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and amortization</w:t>
            </w:r>
          </w:p>
        </w:tc>
        <w:tc>
          <w:tcPr>
            <w:tcW w:w="137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5,808</w:t>
            </w: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on income</w:t>
            </w:r>
          </w:p>
        </w:tc>
        <w:tc>
          <w:tcPr>
            <w:tcW w:w="137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1,314</w:t>
            </w: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debt expense</w:t>
            </w:r>
          </w:p>
        </w:tc>
        <w:tc>
          <w:tcPr>
            <w:tcW w:w="137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345</w:t>
            </w: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Costs and Other Deductions</w:t>
            </w:r>
          </w:p>
        </w:tc>
        <w:tc>
          <w:tcPr>
            <w:tcW w:w="13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44,661</w:t>
            </w:r>
            <w:r>
              <w:rPr>
                <w:color w:val="000000"/>
              </w:rPr>
              <w:t>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42,027 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 Expense</w:t>
            </w:r>
          </w:p>
        </w:tc>
        <w:tc>
          <w:tcPr>
            <w:tcW w:w="13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3,946</w:t>
            </w:r>
            <w:r>
              <w:rPr>
                <w:color w:val="000000"/>
              </w:rPr>
              <w:t>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5,583 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37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1,653</w:t>
            </w: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3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2,293</w:t>
            </w:r>
            <w:r>
              <w:rPr>
                <w:color w:val="000000"/>
              </w:rPr>
              <w:t>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3,512 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interests</w:t>
            </w:r>
          </w:p>
        </w:tc>
        <w:tc>
          <w:tcPr>
            <w:tcW w:w="137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w:t>
            </w: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INCOME (LOSS) ATTRIBUTABLE TO </w:t>
              <w:br/>
              <w:t>  CHEVRON CORPORATION</w:t>
            </w:r>
          </w:p>
        </w:tc>
        <w:tc>
          <w:tcPr>
            <w:tcW w:w="3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2,210</w:t>
            </w:r>
            <w:r>
              <w:rPr>
                <w:color w:val="000000"/>
              </w:rPr>
              <w:t>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7222"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Includes operating expense, selling, general and administrative expense, and other components of net periodic benefit costs.</w:t>
            </w:r>
          </w:p>
        </w:tc>
        <w:tc>
          <w:tcPr>
            <w:tcW w:w="2983" w:type="dxa"/>
            <w:gridSpan w:val="4"/>
            <w:tcBorders/>
          </w:tcPr>
          <w:p>
            <w:pPr>
              <w:pStyle w:val="TableContents"/>
              <w:bidi w:val="0"/>
              <w:spacing w:before="0" w:after="283"/>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PER SHARE OF COMMON STOCK</w:t>
            </w:r>
          </w:p>
        </w:tc>
        <w:tc>
          <w:tcPr>
            <w:tcW w:w="1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52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Chevron Corporation</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ind w:left="0" w:right="0" w:firstLine="2520"/>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 Basic</w:t>
            </w:r>
          </w:p>
        </w:tc>
        <w:tc>
          <w:tcPr>
            <w:tcW w:w="3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w:t>
            </w: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ind w:left="0" w:right="0" w:firstLine="2520"/>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 Diluted</w:t>
            </w:r>
          </w:p>
        </w:tc>
        <w:tc>
          <w:tcPr>
            <w:tcW w:w="3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w:t>
            </w: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722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Number of Shares Outstanding (000's)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ind w:left="0" w:right="0" w:firstLine="2520"/>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Basic</w:t>
            </w:r>
          </w:p>
        </w:tc>
        <w:tc>
          <w:tcPr>
            <w:tcW w:w="137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1,980,146</w:t>
            </w: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1,744,628 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ind w:left="0" w:right="0" w:firstLine="2520"/>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Diluted</w:t>
            </w:r>
          </w:p>
        </w:tc>
        <w:tc>
          <w:tcPr>
            <w:tcW w:w="137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1,985,900</w:t>
            </w: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1,751,441 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7222"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Note: Shares outstanding (excluding 14 million associated with Chevron’s Benefit Plan Trust) were 1,977 million and 1,980 million at March 31, 2026, and December 31, 2025, respectively.</w:t>
            </w:r>
          </w:p>
        </w:tc>
        <w:tc>
          <w:tcPr>
            <w:tcW w:w="2983" w:type="dxa"/>
            <w:gridSpan w:val="4"/>
            <w:tcBorders/>
          </w:tcPr>
          <w:p>
            <w:pPr>
              <w:pStyle w:val="TableContents"/>
              <w:bidi w:val="0"/>
              <w:spacing w:before="0" w:after="283"/>
              <w:jc w:val="left"/>
              <w:rPr>
                <w:sz w:val="4"/>
                <w:szCs w:val="4"/>
              </w:rPr>
            </w:pPr>
            <w:r>
              <w:rPr>
                <w:sz w:val="4"/>
                <w:szCs w:val="4"/>
              </w:rPr>
            </w:r>
          </w:p>
        </w:tc>
      </w:tr>
      <w:tr>
        <w:trPr/>
        <w:tc>
          <w:tcPr>
            <w:tcW w:w="3710"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tcPr>
          <w:p>
            <w:pPr>
              <w:pStyle w:val="TableContents"/>
              <w:bidi w:val="0"/>
              <w:spacing w:before="0" w:after="283"/>
              <w:jc w:val="left"/>
              <w:rPr>
                <w:sz w:val="4"/>
                <w:szCs w:val="4"/>
              </w:rPr>
            </w:pPr>
            <w:r>
              <w:rPr>
                <w:sz w:val="4"/>
                <w:szCs w:val="4"/>
              </w:rPr>
            </w:r>
          </w:p>
        </w:tc>
      </w:tr>
      <w:tr>
        <w:trPr/>
        <w:tc>
          <w:tcPr>
            <w:tcW w:w="3710"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2983" w:type="dxa"/>
            <w:gridSpan w:val="4"/>
            <w:tcBorders/>
          </w:tcPr>
          <w:p>
            <w:pPr>
              <w:pStyle w:val="TableContents"/>
              <w:bidi w:val="0"/>
              <w:spacing w:before="0" w:after="283"/>
              <w:jc w:val="left"/>
              <w:rPr>
                <w:sz w:val="4"/>
                <w:szCs w:val="4"/>
              </w:rPr>
            </w:pPr>
            <w:r>
              <w:rPr>
                <w:sz w:val="4"/>
                <w:szCs w:val="4"/>
              </w:rPr>
            </w:r>
          </w:p>
        </w:tc>
      </w:tr>
      <w:tr>
        <w:trPr/>
        <w:tc>
          <w:tcPr>
            <w:tcW w:w="3710"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3710"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3710"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3710"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3710"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3710"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3710"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3710"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3710"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3710"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bl>
    <w:tbl>
      <w:tblPr>
        <w:tblW w:w="6933" w:type="dxa"/>
        <w:jc w:val="left"/>
        <w:tblInd w:w="0" w:type="dxa"/>
        <w:tblLayout w:type="fixed"/>
        <w:tblCellMar>
          <w:top w:w="28" w:type="dxa"/>
          <w:left w:w="28" w:type="dxa"/>
          <w:bottom w:w="28" w:type="dxa"/>
          <w:right w:w="28" w:type="dxa"/>
        </w:tblCellMar>
      </w:tblPr>
      <w:tblGrid>
        <w:gridCol w:w="1457"/>
        <w:gridCol w:w="1280"/>
        <w:gridCol w:w="1283"/>
        <w:gridCol w:w="211"/>
        <w:gridCol w:w="631"/>
        <w:gridCol w:w="109"/>
        <w:gridCol w:w="109"/>
        <w:gridCol w:w="109"/>
        <w:gridCol w:w="109"/>
        <w:gridCol w:w="211"/>
        <w:gridCol w:w="616"/>
        <w:gridCol w:w="109"/>
        <w:gridCol w:w="109"/>
        <w:gridCol w:w="109"/>
        <w:gridCol w:w="109"/>
        <w:gridCol w:w="109"/>
        <w:gridCol w:w="109"/>
        <w:gridCol w:w="154"/>
      </w:tblGrid>
      <w:tr>
        <w:trPr/>
        <w:tc>
          <w:tcPr>
            <w:tcW w:w="1457"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EARNINGS BY MAJOR OPERATING AREA</w:t>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Upstream</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2,112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1,797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Upstream</w:t>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3,909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Downstream</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Downstream</w:t>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(817)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(882)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INCOME (LOSS) ATTRIBUTABLE TO </w:t>
              <w:br/>
              <w:t>  CHEVRON CORPORATION</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2,210</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06705"/>
                <wp:effectExtent l="0" t="0" r="0" b="0"/>
                <wp:wrapNone/>
                <wp:docPr id="11" name="Frame10"/>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22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p>
                  </w:txbxContent>
                </v:textbox>
                <w10:wrap type="none"/>
              </v:rect>
            </w:pict>
          </mc:Fallback>
        </mc:AlternateContent>
      </w:r>
    </w:p>
    <w:tbl>
      <w:tblPr>
        <w:tblW w:w="7181" w:type="dxa"/>
        <w:jc w:val="center"/>
        <w:tblInd w:w="0" w:type="dxa"/>
        <w:tblLayout w:type="fixed"/>
        <w:tblCellMar>
          <w:top w:w="28" w:type="dxa"/>
          <w:left w:w="28" w:type="dxa"/>
          <w:bottom w:w="28" w:type="dxa"/>
          <w:right w:w="28" w:type="dxa"/>
        </w:tblCellMar>
      </w:tblPr>
      <w:tblGrid>
        <w:gridCol w:w="124"/>
        <w:gridCol w:w="109"/>
        <w:gridCol w:w="109"/>
        <w:gridCol w:w="618"/>
        <w:gridCol w:w="618"/>
        <w:gridCol w:w="618"/>
        <w:gridCol w:w="618"/>
        <w:gridCol w:w="618"/>
        <w:gridCol w:w="618"/>
        <w:gridCol w:w="618"/>
        <w:gridCol w:w="618"/>
        <w:gridCol w:w="621"/>
        <w:gridCol w:w="372"/>
        <w:gridCol w:w="372"/>
        <w:gridCol w:w="5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CHEVRON CORPORATION - FINANCIAL REVIEW</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Attachment 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(Millions of Dollars)</w:t>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c>
          <w:tcPr>
            <w:tcW w:w="1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436"/>
        <w:gridCol w:w="1182"/>
        <w:gridCol w:w="1139"/>
        <w:gridCol w:w="366"/>
        <w:gridCol w:w="366"/>
        <w:gridCol w:w="366"/>
        <w:gridCol w:w="366"/>
        <w:gridCol w:w="366"/>
        <w:gridCol w:w="366"/>
        <w:gridCol w:w="366"/>
        <w:gridCol w:w="366"/>
        <w:gridCol w:w="366"/>
        <w:gridCol w:w="109"/>
        <w:gridCol w:w="109"/>
        <w:gridCol w:w="109"/>
        <w:gridCol w:w="196"/>
        <w:gridCol w:w="751"/>
        <w:gridCol w:w="286"/>
        <w:gridCol w:w="109"/>
        <w:gridCol w:w="109"/>
        <w:gridCol w:w="109"/>
        <w:gridCol w:w="200"/>
        <w:gridCol w:w="755"/>
        <w:gridCol w:w="312"/>
      </w:tblGrid>
      <w:tr>
        <w:trPr/>
        <w:tc>
          <w:tcPr>
            <w:tcW w:w="1436"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705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SELECTED BALANCE SHEET ACCOUNT DATA (Preliminary)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90"/>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3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5,323</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6,293 </w:t>
            </w:r>
          </w:p>
        </w:tc>
        <w:tc>
          <w:tcPr>
            <w:tcW w:w="312"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Time deposits</w:t>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ind w:left="0" w:right="0" w:firstLine="90"/>
              <w:jc w:val="left"/>
              <w:rPr>
                <w:sz w:val="4"/>
                <w:szCs w:val="4"/>
              </w:rPr>
            </w:pPr>
            <w:r>
              <w:rPr>
                <w:sz w:val="4"/>
                <w:szCs w:val="4"/>
              </w:rPr>
            </w:r>
          </w:p>
        </w:tc>
      </w:tr>
      <w:tr>
        <w:trPr/>
        <w:tc>
          <w:tcPr>
            <w:tcW w:w="3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329,551</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324,012 </w:t>
            </w:r>
          </w:p>
        </w:tc>
        <w:tc>
          <w:tcPr>
            <w:tcW w:w="312" w:type="dxa"/>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debt </w:t>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45,428</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40,758 </w:t>
            </w:r>
          </w:p>
        </w:tc>
        <w:tc>
          <w:tcPr>
            <w:tcW w:w="312" w:type="dxa"/>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Chevron Corporation stockholders’ equity</w:t>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183,715</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186,450 </w:t>
            </w:r>
          </w:p>
        </w:tc>
        <w:tc>
          <w:tcPr>
            <w:tcW w:w="312" w:type="dxa"/>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5,656</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5,726 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SELECTED FINANCIAL RATIOS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 plus 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229,143</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227,208 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Debt ratio</w:t>
            </w:r>
            <w:r>
              <w:rPr>
                <w:color w:val="000000"/>
              </w:rPr>
              <w:t xml:space="preserve"> </w:t>
            </w:r>
            <w:r>
              <w:rPr>
                <w:rFonts w:ascii="Times New Roman;serif" w:hAnsi="Times New Roman;serif"/>
                <w:b w:val="false"/>
                <w:color w:val="000000"/>
                <w:sz w:val="18"/>
              </w:rPr>
              <w:t>(Total debt / Total debt plus stockholders’ equity)</w:t>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19.8</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31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debt (Total debt less cash and cash equivalents, time deposits and marketable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40,101</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34,461 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debt plus 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223,816</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220,911 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1"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Net debt ratio</w:t>
            </w:r>
            <w:r>
              <w:rPr>
                <w:color w:val="000000"/>
              </w:rPr>
              <w:t xml:space="preserve"> </w:t>
            </w:r>
            <w:r>
              <w:rPr>
                <w:rFonts w:ascii="Times New Roman;serif" w:hAnsi="Times New Roman;serif"/>
                <w:b w:val="false"/>
                <w:color w:val="000000"/>
                <w:sz w:val="18"/>
              </w:rPr>
              <w:t>(Net debt / Net debt plus 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17.9</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31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Cash flow from operations (CFFO) </w:t>
            </w:r>
            <w:r>
              <w:rPr>
                <w:rFonts w:ascii="Times New Roman;serif" w:hAnsi="Times New Roman;serif"/>
                <w:b w:val="false"/>
                <w:color w:val="000000"/>
                <w:sz w:val="12"/>
              </w:rPr>
              <w:t>(1)</w:t>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31,264</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33,939 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Debt-to-CFFO ratio </w:t>
            </w:r>
            <w:r>
              <w:rPr>
                <w:rFonts w:ascii="Times New Roman;serif" w:hAnsi="Times New Roman;serif"/>
                <w:b w:val="false"/>
                <w:color w:val="000000"/>
                <w:sz w:val="12"/>
              </w:rPr>
              <w:t>(1)</w:t>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1.5x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1.2x</w:t>
            </w:r>
          </w:p>
        </w:tc>
      </w:tr>
      <w:tr>
        <w:trPr/>
        <w:tc>
          <w:tcPr>
            <w:tcW w:w="375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Net debt-to-CFFO ratio </w:t>
            </w:r>
            <w:r>
              <w:rPr>
                <w:rFonts w:ascii="Times New Roman;serif" w:hAnsi="Times New Roman;serif"/>
                <w:b w:val="false"/>
                <w:color w:val="000000"/>
                <w:sz w:val="12"/>
              </w:rPr>
              <w:t>(1)</w:t>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1.3x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1.0x</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CFFO is presented on a trailing 12 months basis.</w:t>
            </w:r>
          </w:p>
        </w:tc>
      </w:tr>
    </w:tbl>
    <w:tbl>
      <w:tblPr>
        <w:tblW w:w="10205" w:type="dxa"/>
        <w:jc w:val="center"/>
        <w:tblInd w:w="0" w:type="dxa"/>
        <w:tblLayout w:type="fixed"/>
        <w:tblCellMar>
          <w:top w:w="28" w:type="dxa"/>
          <w:left w:w="28" w:type="dxa"/>
          <w:bottom w:w="28" w:type="dxa"/>
          <w:right w:w="28" w:type="dxa"/>
        </w:tblCellMar>
      </w:tblPr>
      <w:tblGrid>
        <w:gridCol w:w="2216"/>
        <w:gridCol w:w="1925"/>
        <w:gridCol w:w="1930"/>
        <w:gridCol w:w="453"/>
        <w:gridCol w:w="316"/>
        <w:gridCol w:w="714"/>
        <w:gridCol w:w="242"/>
        <w:gridCol w:w="242"/>
        <w:gridCol w:w="242"/>
        <w:gridCol w:w="452"/>
        <w:gridCol w:w="293"/>
        <w:gridCol w:w="692"/>
        <w:gridCol w:w="109"/>
        <w:gridCol w:w="109"/>
        <w:gridCol w:w="109"/>
        <w:gridCol w:w="161"/>
      </w:tblGrid>
      <w:tr>
        <w:trPr/>
        <w:tc>
          <w:tcPr>
            <w:tcW w:w="2216"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RETURN ON CAPITAL EMPLOYED (ROCE)</w:t>
            </w:r>
          </w:p>
        </w:tc>
        <w:tc>
          <w:tcPr>
            <w:tcW w:w="36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6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reported earnings</w:t>
            </w:r>
          </w:p>
        </w:tc>
        <w:tc>
          <w:tcPr>
            <w:tcW w:w="4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2,210</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14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83</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(A/T)</w:t>
            </w:r>
          </w:p>
        </w:tc>
        <w:tc>
          <w:tcPr>
            <w:tcW w:w="14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310</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ROCE earnings</w:t>
            </w:r>
          </w:p>
        </w:tc>
        <w:tc>
          <w:tcPr>
            <w:tcW w:w="1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2,603</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Annualized ROCE earnings</w:t>
            </w:r>
          </w:p>
        </w:tc>
        <w:tc>
          <w:tcPr>
            <w:tcW w:w="14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10,412</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Average capital employed </w:t>
            </w:r>
            <w:r>
              <w:rPr>
                <w:rFonts w:ascii="Times New Roman;serif" w:hAnsi="Times New Roman;serif"/>
                <w:b w:val="false"/>
                <w:color w:val="000000"/>
                <w:sz w:val="12"/>
              </w:rPr>
              <w:t>(1)</w:t>
            </w:r>
          </w:p>
        </w:tc>
        <w:tc>
          <w:tcPr>
            <w:tcW w:w="14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233,867</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178,730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ROCE</w:t>
            </w:r>
          </w:p>
        </w:tc>
        <w:tc>
          <w:tcPr>
            <w:tcW w:w="769"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w:t>
            </w:r>
            <w:r>
              <w:rPr>
                <w:color w:val="000000"/>
              </w:rPr>
              <w:t> </w:t>
            </w:r>
          </w:p>
        </w:tc>
        <w:tc>
          <w:tcPr>
            <w:tcW w:w="7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6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717"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Capital employed is the sum of Chevron Corporation stockholders’ equity, total debt and noncontrolling interest. Average capital employed is computed by averaging the sum of capital employed at the beginning and the end of the period.</w:t>
            </w:r>
          </w:p>
        </w:tc>
        <w:tc>
          <w:tcPr>
            <w:tcW w:w="488" w:type="dxa"/>
            <w:gridSpan w:val="4"/>
            <w:tcBorders/>
          </w:tcPr>
          <w:p>
            <w:pPr>
              <w:pStyle w:val="TableContents"/>
              <w:bidi w:val="0"/>
              <w:spacing w:before="0" w:after="283"/>
              <w:jc w:val="left"/>
              <w:rPr>
                <w:sz w:val="4"/>
                <w:szCs w:val="4"/>
              </w:rPr>
            </w:pPr>
            <w:r>
              <w:rPr>
                <w:sz w:val="4"/>
                <w:szCs w:val="4"/>
              </w:rPr>
            </w:r>
          </w:p>
        </w:tc>
      </w:tr>
    </w:tbl>
    <w:tbl>
      <w:tblPr>
        <w:tblW w:w="5950" w:type="dxa"/>
        <w:jc w:val="center"/>
        <w:tblInd w:w="0" w:type="dxa"/>
        <w:tblLayout w:type="fixed"/>
        <w:tblCellMar>
          <w:top w:w="28" w:type="dxa"/>
          <w:left w:w="28" w:type="dxa"/>
          <w:bottom w:w="28" w:type="dxa"/>
          <w:right w:w="28" w:type="dxa"/>
        </w:tblCellMar>
      </w:tblPr>
      <w:tblGrid>
        <w:gridCol w:w="1234"/>
        <w:gridCol w:w="1084"/>
        <w:gridCol w:w="1087"/>
        <w:gridCol w:w="196"/>
        <w:gridCol w:w="571"/>
        <w:gridCol w:w="109"/>
        <w:gridCol w:w="109"/>
        <w:gridCol w:w="109"/>
        <w:gridCol w:w="109"/>
        <w:gridCol w:w="196"/>
        <w:gridCol w:w="556"/>
        <w:gridCol w:w="109"/>
        <w:gridCol w:w="109"/>
        <w:gridCol w:w="109"/>
        <w:gridCol w:w="109"/>
        <w:gridCol w:w="154"/>
      </w:tblGrid>
      <w:tr>
        <w:trPr/>
        <w:tc>
          <w:tcPr>
            <w:tcW w:w="123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CAPEX BY SEGMENT</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United States</w:t>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Upstream</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2,190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Downstream</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United States</w:t>
            </w:r>
          </w:p>
        </w:tc>
        <w:tc>
          <w:tcPr>
            <w:tcW w:w="7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2,334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International</w:t>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Upstream</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1,675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Downstream</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International</w:t>
            </w:r>
          </w:p>
        </w:tc>
        <w:tc>
          <w:tcPr>
            <w:tcW w:w="7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1,729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CAPEX</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4,063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AFFILIATE CAPEX (not included above)</w:t>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Upstream</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Downstream</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AFFILIATE CAPEX</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286</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06705"/>
                <wp:effectExtent l="0" t="0" r="0" b="0"/>
                <wp:wrapNone/>
                <wp:docPr id="12" name="Frame11"/>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22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p>
                  </w:txbxContent>
                </v:textbox>
                <w10:wrap type="none"/>
              </v:rect>
            </w:pict>
          </mc:Fallback>
        </mc:AlternateContent>
      </w:r>
    </w:p>
    <w:tbl>
      <w:tblPr>
        <w:tblW w:w="7181" w:type="dxa"/>
        <w:jc w:val="center"/>
        <w:tblInd w:w="0" w:type="dxa"/>
        <w:tblLayout w:type="fixed"/>
        <w:tblCellMar>
          <w:top w:w="28" w:type="dxa"/>
          <w:left w:w="28" w:type="dxa"/>
          <w:bottom w:w="28" w:type="dxa"/>
          <w:right w:w="28" w:type="dxa"/>
        </w:tblCellMar>
      </w:tblPr>
      <w:tblGrid>
        <w:gridCol w:w="124"/>
        <w:gridCol w:w="109"/>
        <w:gridCol w:w="109"/>
        <w:gridCol w:w="618"/>
        <w:gridCol w:w="618"/>
        <w:gridCol w:w="618"/>
        <w:gridCol w:w="618"/>
        <w:gridCol w:w="618"/>
        <w:gridCol w:w="618"/>
        <w:gridCol w:w="618"/>
        <w:gridCol w:w="618"/>
        <w:gridCol w:w="621"/>
        <w:gridCol w:w="372"/>
        <w:gridCol w:w="372"/>
        <w:gridCol w:w="5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CHEVRON CORPORATION - FINANCIAL REVIEW</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Attachment 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(Millions of Dollars)</w:t>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1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2594"/>
        <w:gridCol w:w="2172"/>
        <w:gridCol w:w="2180"/>
        <w:gridCol w:w="211"/>
        <w:gridCol w:w="672"/>
        <w:gridCol w:w="109"/>
        <w:gridCol w:w="109"/>
        <w:gridCol w:w="109"/>
        <w:gridCol w:w="109"/>
        <w:gridCol w:w="211"/>
        <w:gridCol w:w="672"/>
        <w:gridCol w:w="109"/>
        <w:gridCol w:w="109"/>
        <w:gridCol w:w="109"/>
        <w:gridCol w:w="109"/>
        <w:gridCol w:w="109"/>
        <w:gridCol w:w="109"/>
        <w:gridCol w:w="403"/>
      </w:tblGrid>
      <w:tr>
        <w:trPr/>
        <w:tc>
          <w:tcPr>
            <w:tcW w:w="2594"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6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SUMMARIZED STATEMENT OF CASH FLOWS (Preliminary)</w:t>
            </w:r>
          </w:p>
        </w:tc>
        <w:tc>
          <w:tcPr>
            <w:tcW w:w="2311"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gridSpan w:val="2"/>
            <w:tcBorders/>
          </w:tcPr>
          <w:p>
            <w:pPr>
              <w:pStyle w:val="TableContents"/>
              <w:bidi w:val="0"/>
              <w:spacing w:before="0" w:after="283"/>
              <w:jc w:val="left"/>
              <w:rPr>
                <w:sz w:val="4"/>
                <w:szCs w:val="4"/>
              </w:rPr>
            </w:pPr>
            <w:r>
              <w:rPr>
                <w:sz w:val="4"/>
                <w:szCs w:val="4"/>
              </w:rPr>
            </w:r>
          </w:p>
        </w:tc>
      </w:tr>
      <w:tr>
        <w:trPr/>
        <w:tc>
          <w:tcPr>
            <w:tcW w:w="6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Pr>
          <w:p>
            <w:pPr>
              <w:pStyle w:val="TableContents"/>
              <w:bidi w:val="0"/>
              <w:spacing w:before="0" w:after="283"/>
              <w:jc w:val="left"/>
              <w:rPr>
                <w:sz w:val="4"/>
                <w:szCs w:val="4"/>
              </w:rPr>
            </w:pPr>
            <w:r>
              <w:rPr>
                <w:sz w:val="4"/>
                <w:szCs w:val="4"/>
              </w:rPr>
            </w:r>
          </w:p>
        </w:tc>
      </w:tr>
      <w:tr>
        <w:trPr/>
        <w:tc>
          <w:tcPr>
            <w:tcW w:w="6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6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6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6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and amortization</w:t>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5,808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6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more (less) than income from equity affiliates</w:t>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6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asset retirements and sales</w:t>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6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foreign currency effects</w:t>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6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provision</w:t>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6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operating working capital</w:t>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6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activity</w:t>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6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 (CFFO)</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2,514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6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6946"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6946"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ind w:left="0" w:right="0" w:firstLine="90"/>
              <w:jc w:val="left"/>
              <w:rPr>
                <w:sz w:val="4"/>
                <w:szCs w:val="4"/>
              </w:rPr>
            </w:pPr>
            <w:r>
              <w:rPr>
                <w:sz w:val="4"/>
                <w:szCs w:val="4"/>
              </w:rPr>
            </w:r>
          </w:p>
        </w:tc>
      </w:tr>
      <w:tr>
        <w:trPr/>
        <w:tc>
          <w:tcPr>
            <w:tcW w:w="6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businesses, net of cash acquired</w:t>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ind w:left="0" w:right="0" w:firstLine="90"/>
              <w:jc w:val="left"/>
              <w:rPr>
                <w:sz w:val="4"/>
                <w:szCs w:val="4"/>
              </w:rPr>
            </w:pPr>
            <w:r>
              <w:rPr>
                <w:sz w:val="4"/>
                <w:szCs w:val="4"/>
              </w:rPr>
            </w:r>
          </w:p>
        </w:tc>
      </w:tr>
      <w:tr>
        <w:trPr/>
        <w:tc>
          <w:tcPr>
            <w:tcW w:w="6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Hess Corporation common stock</w:t>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ind w:left="0" w:right="0" w:firstLine="90"/>
              <w:jc w:val="left"/>
              <w:rPr>
                <w:sz w:val="4"/>
                <w:szCs w:val="4"/>
              </w:rPr>
            </w:pPr>
            <w:r>
              <w:rPr>
                <w:sz w:val="4"/>
                <w:szCs w:val="4"/>
              </w:rPr>
            </w:r>
          </w:p>
        </w:tc>
      </w:tr>
      <w:tr>
        <w:trPr/>
        <w:tc>
          <w:tcPr>
            <w:tcW w:w="6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(Capex)</w:t>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ind w:left="0" w:right="0" w:firstLine="90"/>
              <w:jc w:val="left"/>
              <w:rPr>
                <w:sz w:val="4"/>
                <w:szCs w:val="4"/>
              </w:rPr>
            </w:pPr>
            <w:r>
              <w:rPr>
                <w:sz w:val="4"/>
                <w:szCs w:val="4"/>
              </w:rPr>
            </w:r>
          </w:p>
        </w:tc>
      </w:tr>
      <w:tr>
        <w:trPr/>
        <w:tc>
          <w:tcPr>
            <w:tcW w:w="6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and deposits related to asset sales and returns of investment</w:t>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ind w:left="0" w:right="0" w:firstLine="90"/>
              <w:jc w:val="left"/>
              <w:rPr>
                <w:sz w:val="4"/>
                <w:szCs w:val="4"/>
              </w:rPr>
            </w:pPr>
            <w:r>
              <w:rPr>
                <w:sz w:val="4"/>
                <w:szCs w:val="4"/>
              </w:rPr>
            </w:r>
          </w:p>
        </w:tc>
      </w:tr>
      <w:tr>
        <w:trPr/>
        <w:tc>
          <w:tcPr>
            <w:tcW w:w="6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repayment (borrowing) of loans by equity affiliates</w:t>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6946"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6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for) Investing Activities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(3,012)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6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ind w:left="0" w:right="0" w:firstLine="90"/>
              <w:jc w:val="left"/>
              <w:rPr>
                <w:sz w:val="4"/>
                <w:szCs w:val="4"/>
              </w:rPr>
            </w:pPr>
            <w:r>
              <w:rPr>
                <w:sz w:val="4"/>
                <w:szCs w:val="4"/>
              </w:rPr>
            </w:r>
          </w:p>
        </w:tc>
      </w:tr>
      <w:tr>
        <w:trPr/>
        <w:tc>
          <w:tcPr>
            <w:tcW w:w="6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debt</w:t>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4,642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ind w:left="0" w:right="0" w:firstLine="90"/>
              <w:jc w:val="left"/>
              <w:rPr>
                <w:sz w:val="4"/>
                <w:szCs w:val="4"/>
              </w:rPr>
            </w:pPr>
            <w:r>
              <w:rPr>
                <w:sz w:val="4"/>
                <w:szCs w:val="4"/>
              </w:rPr>
            </w:r>
          </w:p>
        </w:tc>
      </w:tr>
      <w:tr>
        <w:trPr/>
        <w:tc>
          <w:tcPr>
            <w:tcW w:w="6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 common stock</w:t>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ind w:left="0" w:right="0" w:firstLine="90"/>
              <w:jc w:val="left"/>
              <w:rPr>
                <w:sz w:val="4"/>
                <w:szCs w:val="4"/>
              </w:rPr>
            </w:pPr>
            <w:r>
              <w:rPr>
                <w:sz w:val="4"/>
                <w:szCs w:val="4"/>
              </w:rPr>
            </w:r>
          </w:p>
        </w:tc>
      </w:tr>
      <w:tr>
        <w:trPr/>
        <w:tc>
          <w:tcPr>
            <w:tcW w:w="6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for share-based compensation</w:t>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ind w:left="0" w:right="0" w:firstLine="90"/>
              <w:jc w:val="left"/>
              <w:rPr>
                <w:sz w:val="4"/>
                <w:szCs w:val="4"/>
              </w:rPr>
            </w:pPr>
            <w:r>
              <w:rPr>
                <w:sz w:val="4"/>
                <w:szCs w:val="4"/>
              </w:rPr>
            </w:r>
          </w:p>
        </w:tc>
      </w:tr>
      <w:tr>
        <w:trPr/>
        <w:tc>
          <w:tcPr>
            <w:tcW w:w="6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repurchased</w:t>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ind w:left="0" w:right="0" w:firstLine="90"/>
              <w:jc w:val="left"/>
              <w:rPr>
                <w:sz w:val="4"/>
                <w:szCs w:val="4"/>
              </w:rPr>
            </w:pPr>
            <w:r>
              <w:rPr>
                <w:sz w:val="4"/>
                <w:szCs w:val="4"/>
              </w:rPr>
            </w:r>
          </w:p>
        </w:tc>
      </w:tr>
      <w:tr>
        <w:trPr/>
        <w:tc>
          <w:tcPr>
            <w:tcW w:w="6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w:t>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6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for) Financing Activities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6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 OF EXCHANGE RATE CHANGES ON CASH, CASH EQUIVALENTS AND RESTRICTED CASH</w:t>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6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CHANGE IN CASH, CASH EQUIVALENTS AND RESTRICTED CASH</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6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6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RECONCILIATION OF NON-GAAP MEASURES</w:t>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6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2,514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6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decrease (increase) in operating working capital</w:t>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6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 from Operations Excluding Working Capital</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7,139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6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6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2,514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6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Capital expenditures</w:t>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4,063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6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Free Cash Flow</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(1,549)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6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decrease (increase) in operating working capital</w:t>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6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Proceeds and deposits related to asset sales and returns of capital</w:t>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6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Net repayment (borrowing) of loans by equity affiliates</w:t>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6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Free Cash Flow</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4,127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6946"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6946" w:type="dxa"/>
            <w:gridSpan w:val="3"/>
            <w:tcBorders/>
            <w:vAlign w:val="center"/>
          </w:tcPr>
          <w:p>
            <w:pPr>
              <w:pStyle w:val="TableContents"/>
              <w:bidi w:val="0"/>
              <w:spacing w:before="0" w:after="283"/>
              <w:jc w:val="left"/>
              <w:rPr>
                <w:sz w:val="4"/>
                <w:szCs w:val="4"/>
              </w:rPr>
            </w:pPr>
            <w:r>
              <w:rPr>
                <w:sz w:val="4"/>
                <w:szCs w:val="4"/>
              </w:rPr>
            </w:r>
          </w:p>
        </w:tc>
        <w:tc>
          <w:tcPr>
            <w:tcW w:w="3259" w:type="dxa"/>
            <w:gridSpan w:val="15"/>
            <w:tcBorders/>
          </w:tcPr>
          <w:p>
            <w:pPr>
              <w:pStyle w:val="TableContents"/>
              <w:bidi w:val="0"/>
              <w:spacing w:before="0" w:after="283"/>
              <w:jc w:val="left"/>
              <w:rPr>
                <w:sz w:val="4"/>
                <w:szCs w:val="4"/>
              </w:rPr>
            </w:pPr>
            <w:r>
              <w:rPr>
                <w:sz w:val="4"/>
                <w:szCs w:val="4"/>
              </w:rPr>
            </w:r>
          </w:p>
        </w:tc>
      </w:tr>
      <w:tr>
        <w:trPr/>
        <w:tc>
          <w:tcPr>
            <w:tcW w:w="6946"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06705"/>
                <wp:effectExtent l="0" t="0" r="0" b="0"/>
                <wp:wrapNone/>
                <wp:docPr id="13" name="Frame12"/>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218.8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p>
                  </w:txbxContent>
                </v:textbox>
                <w10:wrap type="none"/>
              </v:rect>
            </w:pict>
          </mc:Fallback>
        </mc:AlternateContent>
      </w:r>
    </w:p>
    <w:tbl>
      <w:tblPr>
        <w:tblW w:w="7181" w:type="dxa"/>
        <w:jc w:val="center"/>
        <w:tblInd w:w="0" w:type="dxa"/>
        <w:tblLayout w:type="fixed"/>
        <w:tblCellMar>
          <w:top w:w="28" w:type="dxa"/>
          <w:left w:w="28" w:type="dxa"/>
          <w:bottom w:w="28" w:type="dxa"/>
          <w:right w:w="28" w:type="dxa"/>
        </w:tblCellMar>
      </w:tblPr>
      <w:tblGrid>
        <w:gridCol w:w="124"/>
        <w:gridCol w:w="109"/>
        <w:gridCol w:w="109"/>
        <w:gridCol w:w="618"/>
        <w:gridCol w:w="618"/>
        <w:gridCol w:w="618"/>
        <w:gridCol w:w="618"/>
        <w:gridCol w:w="618"/>
        <w:gridCol w:w="618"/>
        <w:gridCol w:w="618"/>
        <w:gridCol w:w="618"/>
        <w:gridCol w:w="621"/>
        <w:gridCol w:w="372"/>
        <w:gridCol w:w="372"/>
        <w:gridCol w:w="5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CHEVRON CORPORATION - FINANCIAL REVIEW</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Attachment 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(Millions of Dollars)</w:t>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1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46"/>
        <w:gridCol w:w="303"/>
        <w:gridCol w:w="303"/>
        <w:gridCol w:w="862"/>
        <w:gridCol w:w="850"/>
        <w:gridCol w:w="824"/>
        <w:gridCol w:w="213"/>
        <w:gridCol w:w="525"/>
        <w:gridCol w:w="119"/>
        <w:gridCol w:w="261"/>
        <w:gridCol w:w="581"/>
        <w:gridCol w:w="144"/>
        <w:gridCol w:w="196"/>
        <w:gridCol w:w="571"/>
        <w:gridCol w:w="109"/>
        <w:gridCol w:w="109"/>
        <w:gridCol w:w="109"/>
        <w:gridCol w:w="109"/>
        <w:gridCol w:w="196"/>
        <w:gridCol w:w="478"/>
        <w:gridCol w:w="109"/>
        <w:gridCol w:w="244"/>
        <w:gridCol w:w="507"/>
        <w:gridCol w:w="136"/>
        <w:gridCol w:w="196"/>
        <w:gridCol w:w="556"/>
        <w:gridCol w:w="109"/>
        <w:gridCol w:w="109"/>
        <w:gridCol w:w="109"/>
        <w:gridCol w:w="109"/>
        <w:gridCol w:w="109"/>
        <w:gridCol w:w="109"/>
        <w:gridCol w:w="109"/>
        <w:gridCol w:w="109"/>
        <w:gridCol w:w="109"/>
        <w:gridCol w:w="109"/>
        <w:gridCol w:w="159"/>
      </w:tblGrid>
      <w:tr>
        <w:trPr/>
        <w:tc>
          <w:tcPr>
            <w:tcW w:w="3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392"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RECONCILIATION OF NON-GAAP MEASURES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gridSpan w:val="3"/>
            <w:tcBorders/>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gridSpan w:val="4"/>
            <w:tcBorders/>
          </w:tcPr>
          <w:p>
            <w:pPr>
              <w:pStyle w:val="TableContents"/>
              <w:bidi w:val="0"/>
              <w:spacing w:before="0" w:after="283"/>
              <w:jc w:val="left"/>
              <w:rPr>
                <w:sz w:val="4"/>
                <w:szCs w:val="4"/>
              </w:rPr>
            </w:pPr>
            <w:r>
              <w:rPr>
                <w:sz w:val="4"/>
                <w:szCs w:val="4"/>
              </w:rPr>
            </w:r>
          </w:p>
        </w:tc>
      </w:tr>
      <w:tr>
        <w:trPr/>
        <w:tc>
          <w:tcPr>
            <w:tcW w:w="34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REPORTED EARNINGS</w:t>
            </w:r>
          </w:p>
        </w:tc>
        <w:tc>
          <w:tcPr>
            <w:tcW w:w="8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Pre-Tax</w:t>
            </w:r>
          </w:p>
        </w:tc>
        <w:tc>
          <w:tcPr>
            <w:tcW w:w="9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 Tax</w:t>
            </w:r>
          </w:p>
        </w:tc>
        <w:tc>
          <w:tcPr>
            <w:tcW w:w="8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After-Tax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Pre-Tax</w:t>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 Tax</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After-Tax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07"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Upstream</w:t>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2,112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Int'l Upstream</w:t>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1,797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Downstream</w:t>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Int'l Downstream</w:t>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 Other</w:t>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33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(Loss) Attributable to Chevron Corporation</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2,210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SPECIAL ITEMS</w:t>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Upstream</w:t>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vAlign w:val="center"/>
          </w:tcPr>
          <w:p>
            <w:pPr>
              <w:pStyle w:val="TableContents"/>
              <w:bidi w:val="0"/>
              <w:spacing w:before="0" w:after="283"/>
              <w:jc w:val="left"/>
              <w:rPr>
                <w:sz w:val="4"/>
                <w:szCs w:val="4"/>
              </w:rPr>
            </w:pPr>
            <w:r>
              <w:rPr>
                <w:sz w:val="4"/>
                <w:szCs w:val="4"/>
              </w:rPr>
            </w:r>
          </w:p>
        </w:tc>
        <w:tc>
          <w:tcPr>
            <w:tcW w:w="253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vAlign w:val="center"/>
          </w:tcPr>
          <w:p>
            <w:pPr>
              <w:pStyle w:val="TableContents"/>
              <w:bidi w:val="0"/>
              <w:spacing w:before="0" w:after="283"/>
              <w:jc w:val="left"/>
              <w:rPr>
                <w:sz w:val="4"/>
                <w:szCs w:val="4"/>
              </w:rPr>
            </w:pPr>
            <w:r>
              <w:rPr>
                <w:sz w:val="4"/>
                <w:szCs w:val="4"/>
              </w:rPr>
            </w:r>
          </w:p>
        </w:tc>
        <w:tc>
          <w:tcPr>
            <w:tcW w:w="253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vAlign w:val="center"/>
          </w:tcPr>
          <w:p>
            <w:pPr>
              <w:pStyle w:val="TableContents"/>
              <w:bidi w:val="0"/>
              <w:spacing w:before="0" w:after="283"/>
              <w:jc w:val="left"/>
              <w:rPr>
                <w:sz w:val="4"/>
                <w:szCs w:val="4"/>
              </w:rPr>
            </w:pPr>
            <w:r>
              <w:rPr>
                <w:sz w:val="4"/>
                <w:szCs w:val="4"/>
              </w:rPr>
            </w:r>
          </w:p>
        </w:tc>
        <w:tc>
          <w:tcPr>
            <w:tcW w:w="253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vAlign w:val="center"/>
          </w:tcPr>
          <w:p>
            <w:pPr>
              <w:pStyle w:val="TableContents"/>
              <w:bidi w:val="0"/>
              <w:spacing w:before="0" w:after="283"/>
              <w:jc w:val="left"/>
              <w:rPr>
                <w:sz w:val="4"/>
                <w:szCs w:val="4"/>
              </w:rPr>
            </w:pPr>
            <w:r>
              <w:rPr>
                <w:sz w:val="4"/>
                <w:szCs w:val="4"/>
              </w:rPr>
            </w:r>
          </w:p>
        </w:tc>
        <w:tc>
          <w:tcPr>
            <w:tcW w:w="253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Legal reserves</w:t>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2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Int'l Upstream</w:t>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vAlign w:val="center"/>
          </w:tcPr>
          <w:p>
            <w:pPr>
              <w:pStyle w:val="TableContents"/>
              <w:bidi w:val="0"/>
              <w:spacing w:before="0" w:after="283"/>
              <w:jc w:val="left"/>
              <w:rPr>
                <w:sz w:val="4"/>
                <w:szCs w:val="4"/>
              </w:rPr>
            </w:pPr>
            <w:r>
              <w:rPr>
                <w:sz w:val="4"/>
                <w:szCs w:val="4"/>
              </w:rPr>
            </w:r>
          </w:p>
        </w:tc>
        <w:tc>
          <w:tcPr>
            <w:tcW w:w="253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vAlign w:val="center"/>
          </w:tcPr>
          <w:p>
            <w:pPr>
              <w:pStyle w:val="TableContents"/>
              <w:bidi w:val="0"/>
              <w:spacing w:before="0" w:after="283"/>
              <w:jc w:val="left"/>
              <w:rPr>
                <w:sz w:val="4"/>
                <w:szCs w:val="4"/>
              </w:rPr>
            </w:pPr>
            <w:r>
              <w:rPr>
                <w:sz w:val="4"/>
                <w:szCs w:val="4"/>
              </w:rPr>
            </w:r>
          </w:p>
        </w:tc>
        <w:tc>
          <w:tcPr>
            <w:tcW w:w="253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vAlign w:val="center"/>
          </w:tcPr>
          <w:p>
            <w:pPr>
              <w:pStyle w:val="TableContents"/>
              <w:bidi w:val="0"/>
              <w:spacing w:before="0" w:after="283"/>
              <w:jc w:val="left"/>
              <w:rPr>
                <w:sz w:val="4"/>
                <w:szCs w:val="4"/>
              </w:rPr>
            </w:pPr>
            <w:r>
              <w:rPr>
                <w:sz w:val="4"/>
                <w:szCs w:val="4"/>
              </w:rPr>
            </w:r>
          </w:p>
        </w:tc>
        <w:tc>
          <w:tcPr>
            <w:tcW w:w="253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vAlign w:val="center"/>
          </w:tcPr>
          <w:p>
            <w:pPr>
              <w:pStyle w:val="TableContents"/>
              <w:bidi w:val="0"/>
              <w:spacing w:before="0" w:after="283"/>
              <w:jc w:val="left"/>
              <w:rPr>
                <w:sz w:val="4"/>
                <w:szCs w:val="4"/>
              </w:rPr>
            </w:pPr>
            <w:r>
              <w:rPr>
                <w:sz w:val="4"/>
                <w:szCs w:val="4"/>
              </w:rPr>
            </w:r>
          </w:p>
        </w:tc>
        <w:tc>
          <w:tcPr>
            <w:tcW w:w="253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items</w:t>
            </w:r>
          </w:p>
        </w:tc>
        <w:tc>
          <w:tcPr>
            <w:tcW w:w="7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Downstream</w:t>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vAlign w:val="center"/>
          </w:tcPr>
          <w:p>
            <w:pPr>
              <w:pStyle w:val="TableContents"/>
              <w:bidi w:val="0"/>
              <w:spacing w:before="0" w:after="283"/>
              <w:jc w:val="left"/>
              <w:rPr>
                <w:sz w:val="4"/>
                <w:szCs w:val="4"/>
              </w:rPr>
            </w:pPr>
            <w:r>
              <w:rPr>
                <w:sz w:val="4"/>
                <w:szCs w:val="4"/>
              </w:rPr>
            </w:r>
          </w:p>
        </w:tc>
        <w:tc>
          <w:tcPr>
            <w:tcW w:w="253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vAlign w:val="center"/>
          </w:tcPr>
          <w:p>
            <w:pPr>
              <w:pStyle w:val="TableContents"/>
              <w:bidi w:val="0"/>
              <w:spacing w:before="0" w:after="283"/>
              <w:jc w:val="left"/>
              <w:rPr>
                <w:sz w:val="4"/>
                <w:szCs w:val="4"/>
              </w:rPr>
            </w:pPr>
            <w:r>
              <w:rPr>
                <w:sz w:val="4"/>
                <w:szCs w:val="4"/>
              </w:rPr>
            </w:r>
          </w:p>
        </w:tc>
        <w:tc>
          <w:tcPr>
            <w:tcW w:w="253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vAlign w:val="center"/>
          </w:tcPr>
          <w:p>
            <w:pPr>
              <w:pStyle w:val="TableContents"/>
              <w:bidi w:val="0"/>
              <w:spacing w:before="0" w:after="283"/>
              <w:jc w:val="left"/>
              <w:rPr>
                <w:sz w:val="4"/>
                <w:szCs w:val="4"/>
              </w:rPr>
            </w:pPr>
            <w:r>
              <w:rPr>
                <w:sz w:val="4"/>
                <w:szCs w:val="4"/>
              </w:rPr>
            </w:r>
          </w:p>
        </w:tc>
        <w:tc>
          <w:tcPr>
            <w:tcW w:w="253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Legal reserves</w:t>
            </w:r>
          </w:p>
        </w:tc>
        <w:tc>
          <w:tcPr>
            <w:tcW w:w="7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(470)</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110</w:t>
            </w: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vAlign w:val="center"/>
          </w:tcPr>
          <w:p>
            <w:pPr>
              <w:pStyle w:val="TableContents"/>
              <w:bidi w:val="0"/>
              <w:spacing w:before="0" w:after="283"/>
              <w:jc w:val="left"/>
              <w:rPr>
                <w:sz w:val="4"/>
                <w:szCs w:val="4"/>
              </w:rPr>
            </w:pPr>
            <w:r>
              <w:rPr>
                <w:sz w:val="4"/>
                <w:szCs w:val="4"/>
              </w:rPr>
            </w:r>
          </w:p>
        </w:tc>
        <w:tc>
          <w:tcPr>
            <w:tcW w:w="253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Int'l Downstream</w:t>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vAlign w:val="center"/>
          </w:tcPr>
          <w:p>
            <w:pPr>
              <w:pStyle w:val="TableContents"/>
              <w:bidi w:val="0"/>
              <w:spacing w:before="0" w:after="283"/>
              <w:jc w:val="left"/>
              <w:rPr>
                <w:sz w:val="4"/>
                <w:szCs w:val="4"/>
              </w:rPr>
            </w:pPr>
            <w:r>
              <w:rPr>
                <w:sz w:val="4"/>
                <w:szCs w:val="4"/>
              </w:rPr>
            </w:r>
          </w:p>
        </w:tc>
        <w:tc>
          <w:tcPr>
            <w:tcW w:w="253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vAlign w:val="center"/>
          </w:tcPr>
          <w:p>
            <w:pPr>
              <w:pStyle w:val="TableContents"/>
              <w:bidi w:val="0"/>
              <w:spacing w:before="0" w:after="283"/>
              <w:jc w:val="left"/>
              <w:rPr>
                <w:sz w:val="4"/>
                <w:szCs w:val="4"/>
              </w:rPr>
            </w:pPr>
            <w:r>
              <w:rPr>
                <w:sz w:val="4"/>
                <w:szCs w:val="4"/>
              </w:rPr>
            </w:r>
          </w:p>
        </w:tc>
        <w:tc>
          <w:tcPr>
            <w:tcW w:w="253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vAlign w:val="center"/>
          </w:tcPr>
          <w:p>
            <w:pPr>
              <w:pStyle w:val="TableContents"/>
              <w:bidi w:val="0"/>
              <w:spacing w:before="0" w:after="283"/>
              <w:jc w:val="left"/>
              <w:rPr>
                <w:sz w:val="4"/>
                <w:szCs w:val="4"/>
              </w:rPr>
            </w:pPr>
            <w:r>
              <w:rPr>
                <w:sz w:val="4"/>
                <w:szCs w:val="4"/>
              </w:rPr>
            </w:r>
          </w:p>
        </w:tc>
        <w:tc>
          <w:tcPr>
            <w:tcW w:w="253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vAlign w:val="center"/>
          </w:tcPr>
          <w:p>
            <w:pPr>
              <w:pStyle w:val="TableContents"/>
              <w:bidi w:val="0"/>
              <w:spacing w:before="0" w:after="283"/>
              <w:jc w:val="left"/>
              <w:rPr>
                <w:sz w:val="4"/>
                <w:szCs w:val="4"/>
              </w:rPr>
            </w:pPr>
            <w:r>
              <w:rPr>
                <w:sz w:val="4"/>
                <w:szCs w:val="4"/>
              </w:rPr>
            </w:r>
          </w:p>
        </w:tc>
        <w:tc>
          <w:tcPr>
            <w:tcW w:w="253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vAlign w:val="center"/>
          </w:tcPr>
          <w:p>
            <w:pPr>
              <w:pStyle w:val="TableContents"/>
              <w:bidi w:val="0"/>
              <w:spacing w:before="0" w:after="283"/>
              <w:jc w:val="left"/>
              <w:rPr>
                <w:sz w:val="4"/>
                <w:szCs w:val="4"/>
              </w:rPr>
            </w:pPr>
            <w:r>
              <w:rPr>
                <w:sz w:val="4"/>
                <w:szCs w:val="4"/>
              </w:rPr>
            </w:r>
          </w:p>
        </w:tc>
        <w:tc>
          <w:tcPr>
            <w:tcW w:w="253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 Other</w:t>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vAlign w:val="center"/>
          </w:tcPr>
          <w:p>
            <w:pPr>
              <w:pStyle w:val="TableContents"/>
              <w:bidi w:val="0"/>
              <w:spacing w:before="0" w:after="283"/>
              <w:jc w:val="left"/>
              <w:rPr>
                <w:sz w:val="4"/>
                <w:szCs w:val="4"/>
              </w:rPr>
            </w:pPr>
            <w:r>
              <w:rPr>
                <w:sz w:val="4"/>
                <w:szCs w:val="4"/>
              </w:rPr>
            </w:r>
          </w:p>
        </w:tc>
        <w:tc>
          <w:tcPr>
            <w:tcW w:w="253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vAlign w:val="center"/>
          </w:tcPr>
          <w:p>
            <w:pPr>
              <w:pStyle w:val="TableContents"/>
              <w:bidi w:val="0"/>
              <w:spacing w:before="0" w:after="283"/>
              <w:jc w:val="left"/>
              <w:rPr>
                <w:sz w:val="4"/>
                <w:szCs w:val="4"/>
              </w:rPr>
            </w:pPr>
            <w:r>
              <w:rPr>
                <w:sz w:val="4"/>
                <w:szCs w:val="4"/>
              </w:rPr>
            </w:r>
          </w:p>
        </w:tc>
        <w:tc>
          <w:tcPr>
            <w:tcW w:w="253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vAlign w:val="center"/>
          </w:tcPr>
          <w:p>
            <w:pPr>
              <w:pStyle w:val="TableContents"/>
              <w:bidi w:val="0"/>
              <w:spacing w:before="0" w:after="283"/>
              <w:jc w:val="left"/>
              <w:rPr>
                <w:sz w:val="4"/>
                <w:szCs w:val="4"/>
              </w:rPr>
            </w:pPr>
            <w:r>
              <w:rPr>
                <w:sz w:val="4"/>
                <w:szCs w:val="4"/>
              </w:rPr>
            </w:r>
          </w:p>
        </w:tc>
        <w:tc>
          <w:tcPr>
            <w:tcW w:w="253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vAlign w:val="center"/>
          </w:tcPr>
          <w:p>
            <w:pPr>
              <w:pStyle w:val="TableContents"/>
              <w:bidi w:val="0"/>
              <w:spacing w:before="0" w:after="283"/>
              <w:jc w:val="left"/>
              <w:rPr>
                <w:sz w:val="4"/>
                <w:szCs w:val="4"/>
              </w:rPr>
            </w:pPr>
            <w:r>
              <w:rPr>
                <w:sz w:val="4"/>
                <w:szCs w:val="4"/>
              </w:rPr>
            </w:r>
          </w:p>
        </w:tc>
        <w:tc>
          <w:tcPr>
            <w:tcW w:w="253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adjustment of Hess common stock</w:t>
            </w:r>
          </w:p>
        </w:tc>
        <w:tc>
          <w:tcPr>
            <w:tcW w:w="7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Special Items</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(470)</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110</w:t>
            </w:r>
            <w:r>
              <w:rPr>
                <w:color w:val="000000"/>
              </w:rPr>
              <w:t>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(360)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FOREIGN CURRENCY EFFECTS</w:t>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Int'l Upstream</w:t>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Int'l Downstream</w:t>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 Other</w:t>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Foreign Currency Effects</w:t>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(223)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88"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u w:val="single"/>
              </w:rPr>
              <w:t>ADJUSTED EARNINGS/(LOSS)</w:t>
            </w:r>
            <w:r>
              <w:rPr>
                <w:color w:val="000000"/>
              </w:rPr>
              <w:t xml:space="preserve"> </w:t>
            </w:r>
            <w:r>
              <w:rPr>
                <w:rFonts w:ascii="Times New Roman;serif" w:hAnsi="Times New Roman;serif"/>
                <w:b/>
                <w:color w:val="000000"/>
                <w:sz w:val="10"/>
              </w:rPr>
              <w:t>(1)</w:t>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Upstream</w:t>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2,112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Int'l Upstream</w:t>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2,030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Downstream</w:t>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556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Int'l Downstream</w:t>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 Other</w:t>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33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Adjusted Earnings/(Loss)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2,793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33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Adjusted Earnings/(Loss) per share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392" w:type="dxa"/>
            <w:gridSpan w:val="30"/>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9"/>
              </w:rPr>
              <w:t>(1)</w:t>
            </w:r>
            <w:r>
              <w:rPr>
                <w:color w:val="000000"/>
              </w:rPr>
              <w:t xml:space="preserve"> </w:t>
            </w:r>
            <w:r>
              <w:rPr>
                <w:rFonts w:ascii="Times New Roman;serif" w:hAnsi="Times New Roman;serif"/>
                <w:b w:val="false"/>
                <w:color w:val="000000"/>
                <w:sz w:val="14"/>
              </w:rPr>
              <w:t>Adjusted Earnings/(Loss) is defined as Net Income (loss) attributable to Chevron Corporation excluding special items and foreign currency effects.</w:t>
            </w:r>
          </w:p>
        </w:tc>
        <w:tc>
          <w:tcPr>
            <w:tcW w:w="813" w:type="dxa"/>
            <w:gridSpan w:val="7"/>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4829</Words>
  <Characters>26936</Characters>
  <CharactersWithSpaces>31128</CharactersWithSpaces>
  <Paragraphs>1012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