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937895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Form 10-Q</w:t>
      </w:r>
    </w:p>
    <w:p>
      <w:pPr>
        <w:spacing w:after="0" w:line="111" w:lineRule="exact"/>
        <w:rPr>
          <w:sz w:val="24"/>
          <w:szCs w:val="24"/>
          <w:color w:val="auto"/>
        </w:rPr>
      </w:pPr>
    </w:p>
    <w:p>
      <w:pPr>
        <w:ind w:left="3480" w:hanging="469"/>
        <w:spacing w:after="0"/>
        <w:tabs>
          <w:tab w:leader="none" w:pos="348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18"/>
          <w:szCs w:val="18"/>
          <w:b w:val="1"/>
          <w:bCs w:val="1"/>
          <w:color w:val="auto"/>
        </w:rPr>
        <w:t>QUARTERLY REPORT PURSUANT TO SECTION 13 OR 15(d)</w:t>
      </w:r>
    </w:p>
    <w:p>
      <w:pPr>
        <w:spacing w:after="0" w:line="29"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6" w:lineRule="exact"/>
        <w:rPr>
          <w:sz w:val="24"/>
          <w:szCs w:val="24"/>
          <w:color w:val="auto"/>
        </w:rPr>
      </w:pPr>
    </w:p>
    <w:p>
      <w:pPr>
        <w:ind w:left="3500" w:hanging="516"/>
        <w:spacing w:after="0"/>
        <w:tabs>
          <w:tab w:leader="none" w:pos="3500" w:val="left"/>
        </w:tabs>
        <w:numPr>
          <w:ilvl w:val="0"/>
          <w:numId w:val="2"/>
        </w:numPr>
        <w:rPr>
          <w:rFonts w:ascii="MS PGothic" w:cs="MS PGothic" w:eastAsia="MS PGothic" w:hAnsi="MS PGothic"/>
          <w:sz w:val="25"/>
          <w:szCs w:val="25"/>
          <w:color w:val="auto"/>
        </w:rPr>
      </w:pPr>
      <w:r>
        <w:rPr>
          <w:rFonts w:ascii="Times New Roman" w:cs="Times New Roman" w:eastAsia="Times New Roman" w:hAnsi="Times New Roman"/>
          <w:sz w:val="18"/>
          <w:szCs w:val="18"/>
          <w:b w:val="1"/>
          <w:bCs w:val="1"/>
          <w:color w:val="auto"/>
        </w:rPr>
        <w:t>TRANSITION REPORT PURSUANT TO SECTION 13 OR 15(d)</w:t>
      </w:r>
    </w:p>
    <w:p>
      <w:pPr>
        <w:spacing w:after="0" w:line="28" w:lineRule="exact"/>
        <w:rPr>
          <w:rFonts w:ascii="MS PGothic" w:cs="MS PGothic" w:eastAsia="MS PGothic" w:hAnsi="MS PGothic"/>
          <w:sz w:val="25"/>
          <w:szCs w:val="25"/>
          <w:color w:val="auto"/>
        </w:rPr>
      </w:pPr>
    </w:p>
    <w:p>
      <w:pPr>
        <w:ind w:left="4260" w:right="3440" w:hanging="491"/>
        <w:spacing w:after="0" w:line="265" w:lineRule="auto"/>
        <w:rPr>
          <w:rFonts w:ascii="MS PGothic" w:cs="MS PGothic" w:eastAsia="MS PGothic" w:hAnsi="MS PGothic"/>
          <w:sz w:val="25"/>
          <w:szCs w:val="25"/>
          <w:color w:val="auto"/>
        </w:rPr>
      </w:pPr>
      <w:r>
        <w:rPr>
          <w:rFonts w:ascii="Times New Roman" w:cs="Times New Roman" w:eastAsia="Times New Roman" w:hAnsi="Times New Roman"/>
          <w:sz w:val="18"/>
          <w:szCs w:val="18"/>
          <w:b w:val="1"/>
          <w:bCs w:val="1"/>
          <w:color w:val="auto"/>
        </w:rPr>
        <w:t>OF THE SECURITIES EXCHANGE ACT OF 1934 Commission file number 001-00368</w:t>
      </w:r>
    </w:p>
    <w:p>
      <w:pPr>
        <w:jc w:val="center"/>
        <w:spacing w:after="0"/>
        <w:rPr>
          <w:sz w:val="20"/>
          <w:szCs w:val="20"/>
          <w:color w:val="auto"/>
        </w:rPr>
      </w:pPr>
      <w:r>
        <w:rPr>
          <w:rFonts w:ascii="Times New Roman" w:cs="Times New Roman" w:eastAsia="Times New Roman" w:hAnsi="Times New Roman"/>
          <w:sz w:val="32"/>
          <w:szCs w:val="32"/>
          <w:b w:val="1"/>
          <w:bCs w:val="1"/>
          <w:color w:val="auto"/>
        </w:rPr>
        <w:t>Chevron Corporation</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20" w:type="dxa"/>
            <w:vAlign w:val="bottom"/>
            <w:gridSpan w:val="2"/>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1400 Smith Street</w:t>
            </w:r>
          </w:p>
        </w:tc>
      </w:tr>
      <w:tr>
        <w:trPr>
          <w:trHeight w:val="243"/>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0" w:type="dxa"/>
            <w:vAlign w:val="bottom"/>
          </w:tcPr>
          <w:p>
            <w:pPr>
              <w:spacing w:after="0"/>
              <w:rPr>
                <w:sz w:val="21"/>
                <w:szCs w:val="21"/>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94-0890210</w:t>
            </w:r>
          </w:p>
        </w:tc>
        <w:tc>
          <w:tcPr>
            <w:tcW w:w="360" w:type="dxa"/>
            <w:vAlign w:val="bottom"/>
          </w:tcPr>
          <w:p>
            <w:pPr>
              <w:spacing w:after="0"/>
              <w:rPr>
                <w:sz w:val="21"/>
                <w:szCs w:val="21"/>
                <w:color w:val="auto"/>
              </w:rPr>
            </w:pPr>
          </w:p>
        </w:tc>
        <w:tc>
          <w:tcPr>
            <w:tcW w:w="23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Houston, TX</w:t>
            </w:r>
          </w:p>
        </w:tc>
        <w:tc>
          <w:tcPr>
            <w:tcW w:w="26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77002-7327</w:t>
            </w:r>
          </w:p>
        </w:tc>
      </w:tr>
      <w:tr>
        <w:trPr>
          <w:trHeight w:val="144"/>
        </w:trPr>
        <w:tc>
          <w:tcPr>
            <w:tcW w:w="346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i w:val="1"/>
                <w:iCs w:val="1"/>
                <w:color w:val="auto"/>
              </w:rPr>
              <w:t>(State or other jurisdiction of</w:t>
            </w:r>
          </w:p>
        </w:tc>
        <w:tc>
          <w:tcPr>
            <w:tcW w:w="286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i w:val="1"/>
                <w:iCs w:val="1"/>
                <w:color w:val="auto"/>
              </w:rPr>
              <w:t>(I.R.S. Employer</w:t>
            </w:r>
          </w:p>
        </w:tc>
        <w:tc>
          <w:tcPr>
            <w:tcW w:w="4920" w:type="dxa"/>
            <w:vAlign w:val="bottom"/>
            <w:gridSpan w:val="2"/>
          </w:tcPr>
          <w:p>
            <w:pPr>
              <w:jc w:val="center"/>
              <w:ind w:right="110"/>
              <w:spacing w:after="0" w:line="145" w:lineRule="exact"/>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r>
      <w:tr>
        <w:trPr>
          <w:trHeight w:val="190"/>
        </w:trPr>
        <w:tc>
          <w:tcPr>
            <w:tcW w:w="3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2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i w:val="1"/>
                <w:iCs w:val="1"/>
                <w:color w:val="auto"/>
              </w:rPr>
              <w:t>Identification No.)</w:t>
            </w:r>
          </w:p>
        </w:tc>
        <w:tc>
          <w:tcPr>
            <w:tcW w:w="492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i w:val="1"/>
                <w:iCs w:val="1"/>
                <w:color w:val="auto"/>
              </w:rPr>
              <w:t>(Zip Code)</w:t>
            </w:r>
          </w:p>
        </w:tc>
      </w:tr>
    </w:tbl>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(832) 854-1000</w:t>
      </w:r>
    </w:p>
    <w:p>
      <w:pPr>
        <w:spacing w:after="0" w:line="2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351"/>
        </w:trPr>
        <w:tc>
          <w:tcPr>
            <w:tcW w:w="4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20" w:type="dxa"/>
            <w:vAlign w:val="bottom"/>
          </w:tcPr>
          <w:p>
            <w:pPr>
              <w:spacing w:after="0"/>
              <w:rPr>
                <w:sz w:val="24"/>
                <w:szCs w:val="24"/>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180" w:type="dxa"/>
            <w:vAlign w:val="bottom"/>
          </w:tcPr>
          <w:p>
            <w:pPr>
              <w:spacing w:after="0"/>
              <w:rPr>
                <w:sz w:val="24"/>
                <w:szCs w:val="24"/>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7"/>
        </w:trPr>
        <w:tc>
          <w:tcPr>
            <w:tcW w:w="4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 stock, par value $.75 per share</w:t>
            </w:r>
          </w:p>
        </w:tc>
        <w:tc>
          <w:tcPr>
            <w:tcW w:w="2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CVX</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76" w:lineRule="exact"/>
        <w:rPr>
          <w:sz w:val="24"/>
          <w:szCs w:val="24"/>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1" w:lineRule="exact"/>
        <w:rPr>
          <w:sz w:val="24"/>
          <w:szCs w:val="24"/>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14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7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6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ind w:left="760"/>
        <w:spacing w:after="0" w:line="230"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20"/>
          <w:szCs w:val="20"/>
          <w:color w:val="auto"/>
        </w:rPr>
        <w:t>☐</w:t>
      </w:r>
    </w:p>
    <w:p>
      <w:pPr>
        <w:spacing w:after="0" w:line="132"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20"/>
          <w:szCs w:val="20"/>
          <w:color w:val="auto"/>
        </w:rPr>
        <w:t>☐</w:t>
      </w:r>
    </w:p>
    <w:p>
      <w:pPr>
        <w:spacing w:after="0" w:line="54"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86" w:lineRule="exact"/>
        <w:rPr>
          <w:sz w:val="24"/>
          <w:szCs w:val="24"/>
          <w:color w:val="auto"/>
        </w:rPr>
      </w:pPr>
    </w:p>
    <w:p>
      <w:pPr>
        <w:sectPr>
          <w:pgSz w:w="11900" w:h="16838" w:orient="portrait"/>
          <w:cols w:equalWidth="0" w:num="3">
            <w:col w:w="2740" w:space="720"/>
            <w:col w:w="4280" w:space="720"/>
            <w:col w:w="2780"/>
          </w:cols>
          <w:pgMar w:left="320" w:top="1440" w:right="339" w:bottom="1440" w:gutter="0" w:footer="0" w:header="0"/>
          <w:type w:val="continuous"/>
        </w:sect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ind w:right="1480"/>
        <w:spacing w:after="0" w:line="28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There were 1,965,421,686 shares of the company’s common stock outstanding on September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751205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9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3"/>
        </w:trPr>
        <w:tc>
          <w:tcPr>
            <w:tcW w:w="900" w:type="dxa"/>
            <w:vAlign w:val="bottom"/>
          </w:tcPr>
          <w:p>
            <w:pPr>
              <w:spacing w:after="0"/>
              <w:rPr>
                <w:sz w:val="24"/>
                <w:szCs w:val="24"/>
                <w:color w:val="auto"/>
              </w:rPr>
            </w:pPr>
          </w:p>
        </w:tc>
        <w:tc>
          <w:tcPr>
            <w:tcW w:w="9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900" w:type="dxa"/>
            <w:vAlign w:val="bottom"/>
          </w:tcPr>
          <w:p>
            <w:pPr>
              <w:spacing w:after="0"/>
              <w:rPr>
                <w:sz w:val="2"/>
                <w:szCs w:val="2"/>
                <w:color w:val="auto"/>
              </w:rPr>
            </w:pPr>
          </w:p>
        </w:tc>
        <w:tc>
          <w:tcPr>
            <w:tcW w:w="94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0E32E1"/>
              </w:rPr>
              <w:t>Cautionary Statements Relevant to Forward-Looking Information for the Purpose of “Safe Harbor” Provisions of the Private</w:t>
            </w: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940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0E32E1"/>
              </w:rPr>
              <w:t>Securities Litigation Reform Act of 1995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E32E1"/>
              </w:rPr>
              <w:t>2</w:t>
            </w: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9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5"/>
              </w:rPr>
              <w:t>PART I</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00" w:type="dxa"/>
            <w:vAlign w:val="bottom"/>
          </w:tcPr>
          <w:p>
            <w:pPr>
              <w:spacing w:after="0"/>
              <w:rPr>
                <w:sz w:val="20"/>
                <w:szCs w:val="20"/>
                <w:color w:val="auto"/>
              </w:rPr>
            </w:pPr>
          </w:p>
        </w:tc>
        <w:tc>
          <w:tcPr>
            <w:tcW w:w="9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FINANCIAL INFORMATION</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0E32E1"/>
              </w:rPr>
              <w:t>Consolidated Financial Statements</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 xml:space="preserve">Consolidated Statement of Income for the </w:t>
            </w:r>
            <w:r>
              <w:rPr>
                <w:rFonts w:ascii="Times New Roman" w:cs="Times New Roman" w:eastAsia="Times New Roman" w:hAnsi="Times New Roman"/>
                <w:sz w:val="18"/>
                <w:szCs w:val="18"/>
                <w:color w:val="0E32E1"/>
              </w:rPr>
              <w:t>Three and Nine</w:t>
            </w:r>
            <w:r>
              <w:rPr>
                <w:rFonts w:ascii="Times New Roman" w:cs="Times New Roman" w:eastAsia="Times New Roman" w:hAnsi="Times New Roman"/>
                <w:sz w:val="18"/>
                <w:szCs w:val="18"/>
                <w:color w:val="0000FF"/>
              </w:rPr>
              <w:t xml:space="preserve"> Months Ended </w:t>
            </w:r>
            <w:r>
              <w:rPr>
                <w:rFonts w:ascii="Times New Roman" w:cs="Times New Roman" w:eastAsia="Times New Roman" w:hAnsi="Times New Roman"/>
                <w:sz w:val="18"/>
                <w:szCs w:val="18"/>
                <w:color w:val="0E32E1"/>
              </w:rPr>
              <w:t>September 30, 2026</w:t>
            </w:r>
            <w:r>
              <w:rPr>
                <w:rFonts w:ascii="Times New Roman" w:cs="Times New Roman" w:eastAsia="Times New Roman" w:hAnsi="Times New Roman"/>
                <w:sz w:val="18"/>
                <w:szCs w:val="18"/>
                <w:color w:val="0000FF"/>
              </w:rPr>
              <w:t xml:space="preserve"> and </w:t>
            </w:r>
            <w:r>
              <w:rPr>
                <w:rFonts w:ascii="Times New Roman" w:cs="Times New Roman" w:eastAsia="Times New Roman" w:hAnsi="Times New Roman"/>
                <w:sz w:val="18"/>
                <w:szCs w:val="18"/>
                <w:color w:val="0E32E1"/>
              </w:rPr>
              <w:t>2025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E32E1"/>
              </w:rPr>
              <w:t>3</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0E32E1"/>
              </w:rPr>
              <w:t>Consolidated Statement of Comprehensive Income for the Three and Nine Months Ended September 30, 2026 and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E32E1"/>
              </w:rPr>
              <w:t>4</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0E32E1"/>
              </w:rPr>
              <w:t>Consolidated Balance Sheet at September 30, 2026 and December 31,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E32E1"/>
              </w:rPr>
              <w:t>5</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0E32E1"/>
              </w:rPr>
              <w:t>Consolidated Statement of Cash Flows for the Nine Months Ended September 30, 2026 and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E32E1"/>
              </w:rPr>
              <w:t>6</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 xml:space="preserve">Consolidated Statement of Equity for the </w:t>
            </w:r>
            <w:r>
              <w:rPr>
                <w:rFonts w:ascii="Times New Roman" w:cs="Times New Roman" w:eastAsia="Times New Roman" w:hAnsi="Times New Roman"/>
                <w:sz w:val="18"/>
                <w:szCs w:val="18"/>
                <w:color w:val="0E32E1"/>
              </w:rPr>
              <w:t>Three and Nine</w:t>
            </w:r>
            <w:r>
              <w:rPr>
                <w:rFonts w:ascii="Times New Roman" w:cs="Times New Roman" w:eastAsia="Times New Roman" w:hAnsi="Times New Roman"/>
                <w:sz w:val="18"/>
                <w:szCs w:val="18"/>
                <w:color w:val="0000FF"/>
              </w:rPr>
              <w:t xml:space="preserve"> Months Ended </w:t>
            </w:r>
            <w:r>
              <w:rPr>
                <w:rFonts w:ascii="Times New Roman" w:cs="Times New Roman" w:eastAsia="Times New Roman" w:hAnsi="Times New Roman"/>
                <w:sz w:val="18"/>
                <w:szCs w:val="18"/>
                <w:color w:val="0E32E1"/>
              </w:rPr>
              <w:t>September 30, 2026</w:t>
            </w:r>
            <w:r>
              <w:rPr>
                <w:rFonts w:ascii="Times New Roman" w:cs="Times New Roman" w:eastAsia="Times New Roman" w:hAnsi="Times New Roman"/>
                <w:sz w:val="18"/>
                <w:szCs w:val="18"/>
                <w:color w:val="0000FF"/>
              </w:rPr>
              <w:t xml:space="preserve"> and </w:t>
            </w:r>
            <w:r>
              <w:rPr>
                <w:rFonts w:ascii="Times New Roman" w:cs="Times New Roman" w:eastAsia="Times New Roman" w:hAnsi="Times New Roman"/>
                <w:sz w:val="18"/>
                <w:szCs w:val="18"/>
                <w:color w:val="0E32E1"/>
              </w:rPr>
              <w:t>2025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E32E1"/>
              </w:rPr>
              <w:t>7</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0E32E1"/>
              </w:rPr>
              <w:t>Notes to Consolidated Financial Statements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E32E1"/>
              </w:rPr>
              <w:t>8</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0E32E1"/>
              </w:rPr>
              <w:t>Management’s Discussion and Analysis of Financial Condition and Results of 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E32E1"/>
              </w:rPr>
              <w:t>27</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0E32E1"/>
              </w:rPr>
              <w:t>Quantitative and Qualitative Disclosures About Market Risk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E32E1"/>
              </w:rPr>
              <w:t>45</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0E32E1"/>
              </w:rPr>
              <w:t>Controls and Procedures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E32E1"/>
              </w:rPr>
              <w:t>45</w:t>
            </w: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9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7"/>
              </w:rPr>
              <w:t>PART II</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00" w:type="dxa"/>
            <w:vAlign w:val="bottom"/>
          </w:tcPr>
          <w:p>
            <w:pPr>
              <w:spacing w:after="0"/>
              <w:rPr>
                <w:sz w:val="20"/>
                <w:szCs w:val="20"/>
                <w:color w:val="auto"/>
              </w:rPr>
            </w:pPr>
          </w:p>
        </w:tc>
        <w:tc>
          <w:tcPr>
            <w:tcW w:w="9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 INFORMATION</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0E32E1"/>
              </w:rPr>
              <w:t>Legal Proceedings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E32E1"/>
              </w:rPr>
              <w:t>45</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0E32E1"/>
              </w:rPr>
              <w:t>Risk Factors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E32E1"/>
              </w:rPr>
              <w:t>46</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0E32E1"/>
              </w:rPr>
              <w:t>Unregistered Sales of Equity Securities and Use of Proceeds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E32E1"/>
              </w:rPr>
              <w:t>46</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0E32E1"/>
              </w:rPr>
              <w:t>Other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E32E1"/>
              </w:rPr>
              <w:t>46</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0E32E1"/>
              </w:rPr>
              <w:t>Exhibits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E32E1"/>
              </w:rPr>
              <w:t>47</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9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E32E1"/>
              </w:rPr>
              <w:t>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STATEMENTS RELEVANT TO FORWARD-LOOKING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PURPOSE OF “SAFE HARBOR” PROVISIONS OF THE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PRIVATE SECURITIES LITIGATION REFORM ACT OF 1995</w:t>
      </w:r>
    </w:p>
    <w:p>
      <w:pPr>
        <w:spacing w:after="0" w:line="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This quarterly report on Form 10-Q of Chevron Corporation contains forward-looking statements relating to Chevron’s operations, assets, and strategy that are based on management’s current expectations, estimates and projections about the petroleum, chemicals and other energy-related industries. Words or phrases such as “anticipates,” “expects,” “intends,” “plans,” “targets,” “advances,” “commits,” “drives,” “aims,” “forecasts,” “projects,” “believes,” “approaches,” “seeks,” “schedules,” “estimates,” “positions,” “pursues,” “progress,” “design,” “enable,” “may,” “can,” “could,” “should,” “will,” “budgets,” “outlook,” “trends,” “guidance,” “focus,” “on track,” “trajectory,” “goals,” “objectives,” “strategies,” “opportunities,” “poised,” “potential,” “ambitions,” “future,” “aspires” and similar expressions, and variations or negatives of these words, are intended to identify such forward-looking statements, but not all forward-looking statements include such words. These statements are not guarantees of future performance and are subject to numerous risks, uncertainties and other factors, many of which are beyond the company’s control and are difficult to predict. Therefore, actual outcomes and results may differ materially from what is expressed or forecasted in such forward-looking statements. The reader should not place undue reliance on these forward-looking statements, which speak only as of the date of this report. Unless legally required, Chevron undertakes no obligation to update publicly any forward-looking statements, whether as a result of new information, future events or otherwise.</w:t>
      </w:r>
    </w:p>
    <w:p>
      <w:pPr>
        <w:spacing w:after="0" w:line="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Among the important factors that could cause actual results to differ materially from those in the forward-looking statements are: changing crude oil and natural gas prices and demand for the company’s products, and production curtailments due to market conditions; crude oil production quotas or other actions that might be imposed by the Organization of Petroleum Exporting Countries and other producing countries; technological advancements; changes to government policies in the countries in which the company operates; public health crises, such as pandemics and epidemics, and any related government policies and actions; disruptions in the company’s global supply chain, including supply chain constraints and escalation of the cost of goods and services; changing economic, regulatory and political environments in the various countries in which the company operates, including Venezuela; general domestic and international economic, market and political conditions, including the conflict between Russia and Ukraine, the ongoing conflict in the Middle East and the global response to these hostilities; changing refining, marketing and chemicals margins; the amount and timing of settlements on the company’s commodity derivative contracts; actions of competitors or regulators; timing of exploration expenses; changes in projected future cash flows; timing of crude oil liftings; uncertainties about the estimated quantities of crude oil, natural gas liquids and natural gas reserves; the competitiveness of alternate-energy sources or product substitutes; pace and scale of the development of large carbon capture and storage and offset markets; the results of operations and financial condition of the company’s suppliers, vendors, partners and equity affiliates; the inability or failure of the company’s joint-venture partners to fund their share of operations and development activities; the potential failure to achieve expected net production from existing and future crude oil and natural gas development projects; potential delays in the development, construction or start-up of planned projects; the potential disruption or interruption of the company’s operations due to war, accidents, political events, civil unrest, severe weather, cyber threats, terrorist acts, or other natural or human causes beyond the company’s control; the potential liability for remedial actions or assessments under existing or future environmental regulations and litigation; significant operational, investment or product changes undertaken or required by existing or future environmental statutes and regulations, including international agreements and national or regional legislation and regulatory measures related to greenhouse gas emissions and climate change; the potential liability resulting from pending or future litigation; the company’s ability to achieve the anticipated benefits from the acquisition of Hess Corporation; potential litigation relating to the transaction with Hess Midstream LP that could be instituted against the company or its respective directors; the possibility that any of the anticipated benefits of the transaction with Hess Midstream LP will not be realized or will not be realized within the expected time period; the company’s future acquisitions or dispositions of assets or shares or the delay or failure of such transactions to close based on required closing conditions; the potential for gains and losses from asset dispositions or impairments; government mandated sales, divestitures, recapitalizations, taxes and tax audits, tariffs, sanctions, changes in fiscal terms or restrictions on scope of company operations; foreign currency movements compared with the U.S. dollar; higher inflation and related impacts; material reductions in corporate liquidity and access to debt markets; changes to the company’s capital allocation strategies; the effects of changed accounting rules under generally accepted accounting principles promulgated by rule-setting bodies; the company’s ability to identify and mitigate the risks and hazards inherent in operating in the global energy industry; and the factors set forth under the heading “Risk Factors” on pages 21 through 27 of the company’s 2025 Annual Report on Form 10-K and in subsequent filings with the U.S. Securities and Exchange Commission. Other unpredictable or unknown factors not discussed in this report could also have material adverse effects on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36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Consolidated Financial Statements</w:t>
      </w:r>
    </w:p>
    <w:p>
      <w:pPr>
        <w:spacing w:after="0" w:line="33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CHEVRON CORPORATION AND SUBSIDIARIES</w:t>
      </w:r>
    </w:p>
    <w:p>
      <w:pPr>
        <w:spacing w:after="0" w:line="10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3"/>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6"/>
                <w:szCs w:val="16"/>
                <w:color w:val="auto"/>
              </w:rPr>
            </w:pPr>
          </w:p>
        </w:tc>
        <w:tc>
          <w:tcPr>
            <w:tcW w:w="2160" w:type="dxa"/>
            <w:vAlign w:val="bottom"/>
            <w:gridSpan w:val="3"/>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380" w:type="dxa"/>
            <w:vAlign w:val="bottom"/>
          </w:tcPr>
          <w:p>
            <w:pPr>
              <w:spacing w:after="0"/>
              <w:rPr>
                <w:sz w:val="18"/>
                <w:szCs w:val="18"/>
                <w:color w:val="auto"/>
              </w:rPr>
            </w:pPr>
          </w:p>
        </w:tc>
        <w:tc>
          <w:tcPr>
            <w:tcW w:w="220" w:type="dxa"/>
            <w:vAlign w:val="bottom"/>
            <w:tcBorders>
              <w:bottom w:val="single" w:sz="8" w:color="0077C0"/>
            </w:tcBorders>
          </w:tcPr>
          <w:p>
            <w:pPr>
              <w:spacing w:after="0"/>
              <w:rPr>
                <w:sz w:val="18"/>
                <w:szCs w:val="18"/>
                <w:color w:val="auto"/>
              </w:rPr>
            </w:pPr>
          </w:p>
        </w:tc>
        <w:tc>
          <w:tcPr>
            <w:tcW w:w="2180" w:type="dxa"/>
            <w:vAlign w:val="bottom"/>
            <w:tcBorders>
              <w:bottom w:val="single" w:sz="8" w:color="0077C0"/>
            </w:tcBorders>
            <w:gridSpan w:val="3"/>
          </w:tcPr>
          <w:p>
            <w:pPr>
              <w:jc w:val="right"/>
              <w:ind w:right="65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00" w:type="dxa"/>
            <w:vAlign w:val="bottom"/>
            <w:tcBorders>
              <w:bottom w:val="single" w:sz="8" w:color="0077C0"/>
            </w:tcBorders>
          </w:tcPr>
          <w:p>
            <w:pPr>
              <w:spacing w:after="0"/>
              <w:rPr>
                <w:sz w:val="18"/>
                <w:szCs w:val="18"/>
                <w:color w:val="auto"/>
              </w:rPr>
            </w:pPr>
          </w:p>
        </w:tc>
        <w:tc>
          <w:tcPr>
            <w:tcW w:w="2160" w:type="dxa"/>
            <w:vAlign w:val="bottom"/>
            <w:tcBorders>
              <w:bottom w:val="single" w:sz="8" w:color="0077C0"/>
            </w:tcBorders>
            <w:gridSpan w:val="3"/>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22"/>
        </w:trPr>
        <w:tc>
          <w:tcPr>
            <w:tcW w:w="6380" w:type="dxa"/>
            <w:vAlign w:val="bottom"/>
          </w:tcPr>
          <w:p>
            <w:pPr>
              <w:spacing w:after="0"/>
              <w:rPr>
                <w:sz w:val="19"/>
                <w:szCs w:val="19"/>
                <w:color w:val="auto"/>
              </w:rPr>
            </w:pPr>
          </w:p>
        </w:tc>
        <w:tc>
          <w:tcPr>
            <w:tcW w:w="220" w:type="dxa"/>
            <w:vAlign w:val="bottom"/>
            <w:tcBorders>
              <w:bottom w:val="single" w:sz="8" w:color="0077C0"/>
            </w:tcBorders>
          </w:tcPr>
          <w:p>
            <w:pPr>
              <w:spacing w:after="0"/>
              <w:rPr>
                <w:sz w:val="19"/>
                <w:szCs w:val="19"/>
                <w:color w:val="auto"/>
              </w:rPr>
            </w:pPr>
          </w:p>
        </w:tc>
        <w:tc>
          <w:tcPr>
            <w:tcW w:w="940" w:type="dxa"/>
            <w:vAlign w:val="bottom"/>
            <w:tcBorders>
              <w:bottom w:val="single" w:sz="8" w:color="0077C0"/>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300" w:type="dxa"/>
            <w:vAlign w:val="bottom"/>
            <w:tcBorders>
              <w:bottom w:val="single" w:sz="8" w:color="0077C0"/>
            </w:tcBorders>
          </w:tcPr>
          <w:p>
            <w:pPr>
              <w:spacing w:after="0"/>
              <w:rPr>
                <w:sz w:val="19"/>
                <w:szCs w:val="19"/>
                <w:color w:val="auto"/>
              </w:rPr>
            </w:pPr>
          </w:p>
        </w:tc>
        <w:tc>
          <w:tcPr>
            <w:tcW w:w="940" w:type="dxa"/>
            <w:vAlign w:val="bottom"/>
            <w:tcBorders>
              <w:bottom w:val="single" w:sz="8" w:color="0077C0"/>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0077C0"/>
            </w:tcBorders>
          </w:tcPr>
          <w:p>
            <w:pPr>
              <w:spacing w:after="0"/>
              <w:rPr>
                <w:sz w:val="19"/>
                <w:szCs w:val="19"/>
                <w:color w:val="auto"/>
              </w:rPr>
            </w:pPr>
          </w:p>
        </w:tc>
        <w:tc>
          <w:tcPr>
            <w:tcW w:w="940" w:type="dxa"/>
            <w:vAlign w:val="bottom"/>
            <w:tcBorders>
              <w:bottom w:val="single" w:sz="8" w:color="0077C0"/>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320" w:type="dxa"/>
            <w:vAlign w:val="bottom"/>
            <w:tcBorders>
              <w:bottom w:val="single" w:sz="8" w:color="0077C0"/>
            </w:tcBorders>
          </w:tcPr>
          <w:p>
            <w:pPr>
              <w:spacing w:after="0"/>
              <w:rPr>
                <w:sz w:val="19"/>
                <w:szCs w:val="19"/>
                <w:color w:val="auto"/>
              </w:rPr>
            </w:pPr>
          </w:p>
        </w:tc>
        <w:tc>
          <w:tcPr>
            <w:tcW w:w="900" w:type="dxa"/>
            <w:vAlign w:val="bottom"/>
            <w:tcBorders>
              <w:bottom w:val="single" w:sz="8" w:color="0077C0"/>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89"/>
        </w:trPr>
        <w:tc>
          <w:tcPr>
            <w:tcW w:w="6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40" w:type="dxa"/>
            <w:vAlign w:val="bottom"/>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(Millions of dollars, except per-share amounts)</w:t>
            </w:r>
          </w:p>
        </w:tc>
        <w:tc>
          <w:tcPr>
            <w:tcW w:w="900" w:type="dxa"/>
            <w:vAlign w:val="bottom"/>
          </w:tcPr>
          <w:p>
            <w:pPr>
              <w:spacing w:after="0"/>
              <w:rPr>
                <w:sz w:val="16"/>
                <w:szCs w:val="16"/>
                <w:color w:val="auto"/>
              </w:rPr>
            </w:pPr>
          </w:p>
        </w:tc>
      </w:tr>
      <w:tr>
        <w:trPr>
          <w:trHeight w:val="23"/>
        </w:trPr>
        <w:tc>
          <w:tcPr>
            <w:tcW w:w="63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r>
      <w:tr>
        <w:trPr>
          <w:trHeight w:val="237"/>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77C0"/>
              </w:rPr>
              <w:t>Revenues and Other Income</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other operating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65,237</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48,169</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179,992</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138,645</w:t>
            </w:r>
          </w:p>
        </w:tc>
      </w:tr>
      <w:tr>
        <w:trPr>
          <w:trHeight w:val="243"/>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from equity affiliates</w:t>
            </w:r>
          </w:p>
        </w:tc>
        <w:tc>
          <w:tcPr>
            <w:tcW w:w="2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2,097</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981</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4,967</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r>
      <w:tr>
        <w:trPr>
          <w:trHeight w:val="243"/>
        </w:trPr>
        <w:tc>
          <w:tcPr>
            <w:tcW w:w="6380" w:type="dxa"/>
            <w:vAlign w:val="bottom"/>
            <w:tcBorders>
              <w:bottom w:val="single" w:sz="8" w:color="0077C0"/>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(loss)</w:t>
            </w:r>
          </w:p>
        </w:tc>
        <w:tc>
          <w:tcPr>
            <w:tcW w:w="220" w:type="dxa"/>
            <w:vAlign w:val="bottom"/>
            <w:tcBorders>
              <w:bottom w:val="single" w:sz="8" w:color="0077C0"/>
            </w:tcBorders>
            <w:shd w:val="clear" w:color="auto" w:fill="CCEEFF"/>
          </w:tcPr>
          <w:p>
            <w:pPr>
              <w:spacing w:after="0"/>
              <w:rPr>
                <w:sz w:val="21"/>
                <w:szCs w:val="21"/>
                <w:color w:val="auto"/>
              </w:rPr>
            </w:pPr>
          </w:p>
        </w:tc>
        <w:tc>
          <w:tcPr>
            <w:tcW w:w="940" w:type="dxa"/>
            <w:vAlign w:val="bottom"/>
            <w:tcBorders>
              <w:bottom w:val="single" w:sz="8" w:color="0077C0"/>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464</w:t>
            </w:r>
          </w:p>
        </w:tc>
        <w:tc>
          <w:tcPr>
            <w:tcW w:w="300" w:type="dxa"/>
            <w:vAlign w:val="bottom"/>
            <w:tcBorders>
              <w:bottom w:val="single" w:sz="8" w:color="0077C0"/>
            </w:tcBorders>
            <w:shd w:val="clear" w:color="auto" w:fill="CCEEFF"/>
          </w:tcPr>
          <w:p>
            <w:pPr>
              <w:spacing w:after="0"/>
              <w:rPr>
                <w:sz w:val="21"/>
                <w:szCs w:val="21"/>
                <w:color w:val="auto"/>
              </w:rPr>
            </w:pPr>
          </w:p>
        </w:tc>
        <w:tc>
          <w:tcPr>
            <w:tcW w:w="940" w:type="dxa"/>
            <w:vAlign w:val="bottom"/>
            <w:tcBorders>
              <w:bottom w:val="single" w:sz="8" w:color="0077C0"/>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576</w:t>
            </w:r>
          </w:p>
        </w:tc>
        <w:tc>
          <w:tcPr>
            <w:tcW w:w="300" w:type="dxa"/>
            <w:vAlign w:val="bottom"/>
            <w:tcBorders>
              <w:bottom w:val="single" w:sz="8" w:color="0077C0"/>
            </w:tcBorders>
            <w:shd w:val="clear" w:color="auto" w:fill="CCEEFF"/>
          </w:tcPr>
          <w:p>
            <w:pPr>
              <w:spacing w:after="0"/>
              <w:rPr>
                <w:sz w:val="21"/>
                <w:szCs w:val="21"/>
                <w:color w:val="auto"/>
              </w:rPr>
            </w:pPr>
          </w:p>
        </w:tc>
        <w:tc>
          <w:tcPr>
            <w:tcW w:w="940" w:type="dxa"/>
            <w:vAlign w:val="bottom"/>
            <w:tcBorders>
              <w:bottom w:val="single" w:sz="8" w:color="0077C0"/>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1,501</w:t>
            </w:r>
          </w:p>
        </w:tc>
        <w:tc>
          <w:tcPr>
            <w:tcW w:w="320" w:type="dxa"/>
            <w:vAlign w:val="bottom"/>
            <w:tcBorders>
              <w:bottom w:val="single" w:sz="8" w:color="0077C0"/>
            </w:tcBorders>
            <w:shd w:val="clear" w:color="auto" w:fill="CCEEFF"/>
          </w:tcPr>
          <w:p>
            <w:pPr>
              <w:spacing w:after="0"/>
              <w:rPr>
                <w:sz w:val="21"/>
                <w:szCs w:val="21"/>
                <w:color w:val="auto"/>
              </w:rPr>
            </w:pPr>
          </w:p>
        </w:tc>
        <w:tc>
          <w:tcPr>
            <w:tcW w:w="9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r>
      <w:tr>
        <w:trPr>
          <w:trHeight w:val="237"/>
        </w:trPr>
        <w:tc>
          <w:tcPr>
            <w:tcW w:w="63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b w:val="1"/>
                <w:bCs w:val="1"/>
                <w:color w:val="0077C0"/>
              </w:rPr>
              <w:t>Total Revenues and Other Income</w:t>
            </w:r>
          </w:p>
        </w:tc>
        <w:tc>
          <w:tcPr>
            <w:tcW w:w="220" w:type="dxa"/>
            <w:vAlign w:val="bottom"/>
            <w:tcBorders>
              <w:bottom w:val="single" w:sz="8" w:color="0077C0"/>
            </w:tcBorders>
          </w:tcPr>
          <w:p>
            <w:pPr>
              <w:spacing w:after="0"/>
              <w:rPr>
                <w:sz w:val="20"/>
                <w:szCs w:val="20"/>
                <w:color w:val="auto"/>
              </w:rPr>
            </w:pPr>
          </w:p>
        </w:tc>
        <w:tc>
          <w:tcPr>
            <w:tcW w:w="940" w:type="dxa"/>
            <w:vAlign w:val="bottom"/>
            <w:tcBorders>
              <w:bottom w:val="single" w:sz="8" w:color="0077C0"/>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67,798</w:t>
            </w:r>
          </w:p>
        </w:tc>
        <w:tc>
          <w:tcPr>
            <w:tcW w:w="300" w:type="dxa"/>
            <w:vAlign w:val="bottom"/>
            <w:tcBorders>
              <w:bottom w:val="single" w:sz="8" w:color="0077C0"/>
            </w:tcBorders>
          </w:tcPr>
          <w:p>
            <w:pPr>
              <w:spacing w:after="0"/>
              <w:rPr>
                <w:sz w:val="20"/>
                <w:szCs w:val="20"/>
                <w:color w:val="auto"/>
              </w:rPr>
            </w:pPr>
          </w:p>
        </w:tc>
        <w:tc>
          <w:tcPr>
            <w:tcW w:w="940" w:type="dxa"/>
            <w:vAlign w:val="bottom"/>
            <w:tcBorders>
              <w:bottom w:val="single" w:sz="8" w:color="0077C0"/>
            </w:tcBorders>
          </w:tcPr>
          <w:p>
            <w:pPr>
              <w:jc w:val="right"/>
              <w:ind w:right="10"/>
              <w:spacing w:after="0"/>
              <w:rPr>
                <w:sz w:val="20"/>
                <w:szCs w:val="20"/>
                <w:color w:val="auto"/>
              </w:rPr>
            </w:pPr>
            <w:r>
              <w:rPr>
                <w:rFonts w:ascii="Times New Roman" w:cs="Times New Roman" w:eastAsia="Times New Roman" w:hAnsi="Times New Roman"/>
                <w:sz w:val="18"/>
                <w:szCs w:val="18"/>
                <w:color w:val="auto"/>
              </w:rPr>
              <w:t>49,726</w:t>
            </w:r>
          </w:p>
        </w:tc>
        <w:tc>
          <w:tcPr>
            <w:tcW w:w="300" w:type="dxa"/>
            <w:vAlign w:val="bottom"/>
            <w:tcBorders>
              <w:bottom w:val="single" w:sz="8" w:color="0077C0"/>
            </w:tcBorders>
          </w:tcPr>
          <w:p>
            <w:pPr>
              <w:spacing w:after="0"/>
              <w:rPr>
                <w:sz w:val="20"/>
                <w:szCs w:val="20"/>
                <w:color w:val="auto"/>
              </w:rPr>
            </w:pPr>
          </w:p>
        </w:tc>
        <w:tc>
          <w:tcPr>
            <w:tcW w:w="940" w:type="dxa"/>
            <w:vAlign w:val="bottom"/>
            <w:tcBorders>
              <w:bottom w:val="single" w:sz="8" w:color="0077C0"/>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186,460</w:t>
            </w:r>
          </w:p>
        </w:tc>
        <w:tc>
          <w:tcPr>
            <w:tcW w:w="320" w:type="dxa"/>
            <w:vAlign w:val="bottom"/>
            <w:tcBorders>
              <w:bottom w:val="single" w:sz="8" w:color="0077C0"/>
            </w:tcBorders>
          </w:tcPr>
          <w:p>
            <w:pPr>
              <w:spacing w:after="0"/>
              <w:rPr>
                <w:sz w:val="20"/>
                <w:szCs w:val="20"/>
                <w:color w:val="auto"/>
              </w:rPr>
            </w:pP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142,158</w:t>
            </w:r>
          </w:p>
        </w:tc>
      </w:tr>
      <w:tr>
        <w:trPr>
          <w:trHeight w:val="23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077C0"/>
              </w:rPr>
              <w:t>Costs and Other Deductions</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43"/>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Purchased crude oil and products</w:t>
            </w:r>
          </w:p>
        </w:tc>
        <w:tc>
          <w:tcPr>
            <w:tcW w:w="2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36,534</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27,398</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101,406</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82,866</w:t>
            </w:r>
          </w:p>
        </w:tc>
      </w:tr>
      <w:tr>
        <w:trPr>
          <w:trHeight w:val="24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8,250</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7,534</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23,377</w:t>
            </w: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20,616</w:t>
            </w:r>
          </w:p>
        </w:tc>
      </w:tr>
      <w:tr>
        <w:trPr>
          <w:trHeight w:val="243"/>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1,227</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1,524</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3,607</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w:t>
            </w:r>
          </w:p>
        </w:tc>
      </w:tr>
      <w:tr>
        <w:trPr>
          <w:trHeight w:val="24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Exploration expenses</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259</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720</w:t>
            </w: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43"/>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6,272</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5,781</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18,162</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14,248</w:t>
            </w:r>
          </w:p>
        </w:tc>
      </w:tr>
      <w:tr>
        <w:trPr>
          <w:trHeight w:val="24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1,310</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1,347</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3,837</w:t>
            </w: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r>
      <w:tr>
        <w:trPr>
          <w:trHeight w:val="243"/>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debt expense</w:t>
            </w:r>
          </w:p>
        </w:tc>
        <w:tc>
          <w:tcPr>
            <w:tcW w:w="2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304</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1,001</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43"/>
        </w:trPr>
        <w:tc>
          <w:tcPr>
            <w:tcW w:w="6380" w:type="dxa"/>
            <w:vAlign w:val="bottom"/>
            <w:tcBorders>
              <w:bottom w:val="single" w:sz="8" w:color="0077C0"/>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components of net periodic benefit costs</w:t>
            </w:r>
          </w:p>
        </w:tc>
        <w:tc>
          <w:tcPr>
            <w:tcW w:w="220" w:type="dxa"/>
            <w:vAlign w:val="bottom"/>
            <w:tcBorders>
              <w:bottom w:val="single" w:sz="8" w:color="0077C0"/>
            </w:tcBorders>
            <w:shd w:val="clear" w:color="auto" w:fill="CCEEFF"/>
          </w:tcPr>
          <w:p>
            <w:pPr>
              <w:spacing w:after="0"/>
              <w:rPr>
                <w:sz w:val="21"/>
                <w:szCs w:val="21"/>
                <w:color w:val="auto"/>
              </w:rPr>
            </w:pPr>
          </w:p>
        </w:tc>
        <w:tc>
          <w:tcPr>
            <w:tcW w:w="940" w:type="dxa"/>
            <w:vAlign w:val="bottom"/>
            <w:tcBorders>
              <w:bottom w:val="single" w:sz="8" w:color="0077C0"/>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17</w:t>
            </w:r>
          </w:p>
        </w:tc>
        <w:tc>
          <w:tcPr>
            <w:tcW w:w="300" w:type="dxa"/>
            <w:vAlign w:val="bottom"/>
            <w:tcBorders>
              <w:bottom w:val="single" w:sz="8" w:color="0077C0"/>
            </w:tcBorders>
            <w:shd w:val="clear" w:color="auto" w:fill="CCEEFF"/>
          </w:tcPr>
          <w:p>
            <w:pPr>
              <w:spacing w:after="0"/>
              <w:rPr>
                <w:sz w:val="21"/>
                <w:szCs w:val="21"/>
                <w:color w:val="auto"/>
              </w:rPr>
            </w:pPr>
          </w:p>
        </w:tc>
        <w:tc>
          <w:tcPr>
            <w:tcW w:w="940" w:type="dxa"/>
            <w:vAlign w:val="bottom"/>
            <w:tcBorders>
              <w:bottom w:val="single" w:sz="8" w:color="0077C0"/>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tcBorders>
              <w:bottom w:val="single" w:sz="8" w:color="0077C0"/>
            </w:tcBorders>
            <w:shd w:val="clear" w:color="auto" w:fill="CCEEFF"/>
          </w:tcPr>
          <w:p>
            <w:pPr>
              <w:spacing w:after="0"/>
              <w:rPr>
                <w:sz w:val="21"/>
                <w:szCs w:val="21"/>
                <w:color w:val="auto"/>
              </w:rPr>
            </w:pPr>
          </w:p>
        </w:tc>
        <w:tc>
          <w:tcPr>
            <w:tcW w:w="940" w:type="dxa"/>
            <w:vAlign w:val="bottom"/>
            <w:tcBorders>
              <w:bottom w:val="single" w:sz="8" w:color="0077C0"/>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95</w:t>
            </w:r>
          </w:p>
        </w:tc>
        <w:tc>
          <w:tcPr>
            <w:tcW w:w="320" w:type="dxa"/>
            <w:vAlign w:val="bottom"/>
            <w:tcBorders>
              <w:bottom w:val="single" w:sz="8" w:color="0077C0"/>
            </w:tcBorders>
            <w:shd w:val="clear" w:color="auto" w:fill="CCEEFF"/>
          </w:tcPr>
          <w:p>
            <w:pPr>
              <w:spacing w:after="0"/>
              <w:rPr>
                <w:sz w:val="21"/>
                <w:szCs w:val="21"/>
                <w:color w:val="auto"/>
              </w:rPr>
            </w:pPr>
          </w:p>
        </w:tc>
        <w:tc>
          <w:tcPr>
            <w:tcW w:w="9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7"/>
        </w:trPr>
        <w:tc>
          <w:tcPr>
            <w:tcW w:w="63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b w:val="1"/>
                <w:bCs w:val="1"/>
                <w:color w:val="0077C0"/>
              </w:rPr>
              <w:t>Total Costs and Other Deductions</w:t>
            </w:r>
          </w:p>
        </w:tc>
        <w:tc>
          <w:tcPr>
            <w:tcW w:w="220" w:type="dxa"/>
            <w:vAlign w:val="bottom"/>
            <w:tcBorders>
              <w:bottom w:val="single" w:sz="8" w:color="0077C0"/>
            </w:tcBorders>
          </w:tcPr>
          <w:p>
            <w:pPr>
              <w:spacing w:after="0"/>
              <w:rPr>
                <w:sz w:val="20"/>
                <w:szCs w:val="20"/>
                <w:color w:val="auto"/>
              </w:rPr>
            </w:pPr>
          </w:p>
        </w:tc>
        <w:tc>
          <w:tcPr>
            <w:tcW w:w="940" w:type="dxa"/>
            <w:vAlign w:val="bottom"/>
            <w:tcBorders>
              <w:bottom w:val="single" w:sz="8" w:color="0077C0"/>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54,173</w:t>
            </w:r>
          </w:p>
        </w:tc>
        <w:tc>
          <w:tcPr>
            <w:tcW w:w="300" w:type="dxa"/>
            <w:vAlign w:val="bottom"/>
            <w:tcBorders>
              <w:bottom w:val="single" w:sz="8" w:color="0077C0"/>
            </w:tcBorders>
          </w:tcPr>
          <w:p>
            <w:pPr>
              <w:spacing w:after="0"/>
              <w:rPr>
                <w:sz w:val="20"/>
                <w:szCs w:val="20"/>
                <w:color w:val="auto"/>
              </w:rPr>
            </w:pPr>
          </w:p>
        </w:tc>
        <w:tc>
          <w:tcPr>
            <w:tcW w:w="940" w:type="dxa"/>
            <w:vAlign w:val="bottom"/>
            <w:tcBorders>
              <w:bottom w:val="single" w:sz="8" w:color="0077C0"/>
            </w:tcBorders>
          </w:tcPr>
          <w:p>
            <w:pPr>
              <w:jc w:val="right"/>
              <w:ind w:right="10"/>
              <w:spacing w:after="0"/>
              <w:rPr>
                <w:sz w:val="20"/>
                <w:szCs w:val="20"/>
                <w:color w:val="auto"/>
              </w:rPr>
            </w:pPr>
            <w:r>
              <w:rPr>
                <w:rFonts w:ascii="Times New Roman" w:cs="Times New Roman" w:eastAsia="Times New Roman" w:hAnsi="Times New Roman"/>
                <w:sz w:val="18"/>
                <w:szCs w:val="18"/>
                <w:color w:val="auto"/>
              </w:rPr>
              <w:t>44,312</w:t>
            </w:r>
          </w:p>
        </w:tc>
        <w:tc>
          <w:tcPr>
            <w:tcW w:w="300" w:type="dxa"/>
            <w:vAlign w:val="bottom"/>
            <w:tcBorders>
              <w:bottom w:val="single" w:sz="8" w:color="0077C0"/>
            </w:tcBorders>
          </w:tcPr>
          <w:p>
            <w:pPr>
              <w:spacing w:after="0"/>
              <w:rPr>
                <w:sz w:val="20"/>
                <w:szCs w:val="20"/>
                <w:color w:val="auto"/>
              </w:rPr>
            </w:pPr>
          </w:p>
        </w:tc>
        <w:tc>
          <w:tcPr>
            <w:tcW w:w="940" w:type="dxa"/>
            <w:vAlign w:val="bottom"/>
            <w:tcBorders>
              <w:bottom w:val="single" w:sz="8" w:color="0077C0"/>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152,205</w:t>
            </w:r>
          </w:p>
        </w:tc>
        <w:tc>
          <w:tcPr>
            <w:tcW w:w="320" w:type="dxa"/>
            <w:vAlign w:val="bottom"/>
            <w:tcBorders>
              <w:bottom w:val="single" w:sz="8" w:color="0077C0"/>
            </w:tcBorders>
          </w:tcPr>
          <w:p>
            <w:pPr>
              <w:spacing w:after="0"/>
              <w:rPr>
                <w:sz w:val="20"/>
                <w:szCs w:val="20"/>
                <w:color w:val="auto"/>
              </w:rPr>
            </w:pP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127,014</w:t>
            </w:r>
          </w:p>
        </w:tc>
      </w:tr>
      <w:tr>
        <w:trPr>
          <w:trHeight w:val="23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077C0"/>
              </w:rPr>
              <w:t>Income (Loss) Before Income Tax Expense</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13,625</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5,414</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34,255</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15,144</w:t>
            </w:r>
          </w:p>
        </w:tc>
      </w:tr>
      <w:tr>
        <w:trPr>
          <w:trHeight w:val="243"/>
        </w:trPr>
        <w:tc>
          <w:tcPr>
            <w:tcW w:w="63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b w:val="1"/>
                <w:bCs w:val="1"/>
                <w:color w:val="0077C0"/>
              </w:rPr>
              <w:t>Income Tax Expense (Benefit)</w:t>
            </w:r>
          </w:p>
        </w:tc>
        <w:tc>
          <w:tcPr>
            <w:tcW w:w="220" w:type="dxa"/>
            <w:vAlign w:val="bottom"/>
            <w:tcBorders>
              <w:bottom w:val="single" w:sz="8" w:color="0077C0"/>
            </w:tcBorders>
          </w:tcPr>
          <w:p>
            <w:pPr>
              <w:spacing w:after="0"/>
              <w:rPr>
                <w:sz w:val="21"/>
                <w:szCs w:val="21"/>
                <w:color w:val="auto"/>
              </w:rPr>
            </w:pPr>
          </w:p>
        </w:tc>
        <w:tc>
          <w:tcPr>
            <w:tcW w:w="940" w:type="dxa"/>
            <w:vAlign w:val="bottom"/>
            <w:tcBorders>
              <w:bottom w:val="single" w:sz="8" w:color="0077C0"/>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3,577</w:t>
            </w:r>
          </w:p>
        </w:tc>
        <w:tc>
          <w:tcPr>
            <w:tcW w:w="300" w:type="dxa"/>
            <w:vAlign w:val="bottom"/>
            <w:tcBorders>
              <w:bottom w:val="single" w:sz="8" w:color="0077C0"/>
            </w:tcBorders>
          </w:tcPr>
          <w:p>
            <w:pPr>
              <w:spacing w:after="0"/>
              <w:rPr>
                <w:sz w:val="21"/>
                <w:szCs w:val="21"/>
                <w:color w:val="auto"/>
              </w:rPr>
            </w:pPr>
          </w:p>
        </w:tc>
        <w:tc>
          <w:tcPr>
            <w:tcW w:w="940" w:type="dxa"/>
            <w:vAlign w:val="bottom"/>
            <w:tcBorders>
              <w:bottom w:val="single" w:sz="8" w:color="0077C0"/>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1,801</w:t>
            </w:r>
          </w:p>
        </w:tc>
        <w:tc>
          <w:tcPr>
            <w:tcW w:w="300" w:type="dxa"/>
            <w:vAlign w:val="bottom"/>
            <w:tcBorders>
              <w:bottom w:val="single" w:sz="8" w:color="0077C0"/>
            </w:tcBorders>
          </w:tcPr>
          <w:p>
            <w:pPr>
              <w:spacing w:after="0"/>
              <w:rPr>
                <w:sz w:val="21"/>
                <w:szCs w:val="21"/>
                <w:color w:val="auto"/>
              </w:rPr>
            </w:pPr>
          </w:p>
        </w:tc>
        <w:tc>
          <w:tcPr>
            <w:tcW w:w="940" w:type="dxa"/>
            <w:vAlign w:val="bottom"/>
            <w:tcBorders>
              <w:bottom w:val="single" w:sz="8" w:color="0077C0"/>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9,700</w:t>
            </w:r>
          </w:p>
        </w:tc>
        <w:tc>
          <w:tcPr>
            <w:tcW w:w="320" w:type="dxa"/>
            <w:vAlign w:val="bottom"/>
            <w:tcBorders>
              <w:bottom w:val="single" w:sz="8" w:color="0077C0"/>
            </w:tcBorders>
          </w:tcPr>
          <w:p>
            <w:pPr>
              <w:spacing w:after="0"/>
              <w:rPr>
                <w:sz w:val="21"/>
                <w:szCs w:val="21"/>
                <w:color w:val="auto"/>
              </w:rPr>
            </w:pP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5,504</w:t>
            </w:r>
          </w:p>
        </w:tc>
      </w:tr>
      <w:tr>
        <w:trPr>
          <w:trHeight w:val="23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077C0"/>
              </w:rPr>
              <w:t>Net Income (Loss)</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10,048</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3,613</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24,555</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w:t>
            </w:r>
          </w:p>
        </w:tc>
      </w:tr>
      <w:tr>
        <w:trPr>
          <w:trHeight w:val="243"/>
        </w:trPr>
        <w:tc>
          <w:tcPr>
            <w:tcW w:w="6380" w:type="dxa"/>
            <w:vAlign w:val="bottom"/>
            <w:tcBorders>
              <w:bottom w:val="single" w:sz="8" w:color="0077C0"/>
            </w:tcBorders>
          </w:tcPr>
          <w:p>
            <w:pPr>
              <w:ind w:left="1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20" w:type="dxa"/>
            <w:vAlign w:val="bottom"/>
            <w:tcBorders>
              <w:bottom w:val="single" w:sz="8" w:color="0077C0"/>
            </w:tcBorders>
          </w:tcPr>
          <w:p>
            <w:pPr>
              <w:spacing w:after="0"/>
              <w:rPr>
                <w:sz w:val="21"/>
                <w:szCs w:val="21"/>
                <w:color w:val="auto"/>
              </w:rPr>
            </w:pPr>
          </w:p>
        </w:tc>
        <w:tc>
          <w:tcPr>
            <w:tcW w:w="940" w:type="dxa"/>
            <w:vAlign w:val="bottom"/>
            <w:tcBorders>
              <w:bottom w:val="single" w:sz="8" w:color="0077C0"/>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124</w:t>
            </w:r>
          </w:p>
        </w:tc>
        <w:tc>
          <w:tcPr>
            <w:tcW w:w="300" w:type="dxa"/>
            <w:vAlign w:val="bottom"/>
            <w:tcBorders>
              <w:bottom w:val="single" w:sz="8" w:color="0077C0"/>
            </w:tcBorders>
          </w:tcPr>
          <w:p>
            <w:pPr>
              <w:spacing w:after="0"/>
              <w:rPr>
                <w:sz w:val="21"/>
                <w:szCs w:val="21"/>
                <w:color w:val="auto"/>
              </w:rPr>
            </w:pPr>
          </w:p>
        </w:tc>
        <w:tc>
          <w:tcPr>
            <w:tcW w:w="940" w:type="dxa"/>
            <w:vAlign w:val="bottom"/>
            <w:tcBorders>
              <w:bottom w:val="single" w:sz="8" w:color="0077C0"/>
            </w:tcBorders>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Borders>
              <w:bottom w:val="single" w:sz="8" w:color="0077C0"/>
            </w:tcBorders>
          </w:tcPr>
          <w:p>
            <w:pPr>
              <w:spacing w:after="0"/>
              <w:rPr>
                <w:sz w:val="21"/>
                <w:szCs w:val="21"/>
                <w:color w:val="auto"/>
              </w:rPr>
            </w:pPr>
          </w:p>
        </w:tc>
        <w:tc>
          <w:tcPr>
            <w:tcW w:w="940" w:type="dxa"/>
            <w:vAlign w:val="bottom"/>
            <w:tcBorders>
              <w:bottom w:val="single" w:sz="8" w:color="0077C0"/>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349</w:t>
            </w:r>
          </w:p>
        </w:tc>
        <w:tc>
          <w:tcPr>
            <w:tcW w:w="320" w:type="dxa"/>
            <w:vAlign w:val="bottom"/>
            <w:tcBorders>
              <w:bottom w:val="single" w:sz="8" w:color="0077C0"/>
            </w:tcBorders>
          </w:tcPr>
          <w:p>
            <w:pPr>
              <w:spacing w:after="0"/>
              <w:rPr>
                <w:sz w:val="21"/>
                <w:szCs w:val="21"/>
                <w:color w:val="auto"/>
              </w:rPr>
            </w:pP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7"/>
        </w:trPr>
        <w:tc>
          <w:tcPr>
            <w:tcW w:w="638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077C0"/>
              </w:rPr>
              <w:t>Net Income (Loss) Attributable to Chevron Corporation</w:t>
            </w:r>
          </w:p>
        </w:tc>
        <w:tc>
          <w:tcPr>
            <w:tcW w:w="220" w:type="dxa"/>
            <w:vAlign w:val="bottom"/>
            <w:tcBorders>
              <w:bottom w:val="single" w:sz="8" w:color="0077C0"/>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0077C0"/>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9,924</w:t>
            </w:r>
          </w:p>
        </w:tc>
        <w:tc>
          <w:tcPr>
            <w:tcW w:w="300" w:type="dxa"/>
            <w:vAlign w:val="bottom"/>
            <w:tcBorders>
              <w:bottom w:val="single" w:sz="8" w:color="0077C0"/>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077C0"/>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3,539</w:t>
            </w:r>
          </w:p>
        </w:tc>
        <w:tc>
          <w:tcPr>
            <w:tcW w:w="300" w:type="dxa"/>
            <w:vAlign w:val="bottom"/>
            <w:tcBorders>
              <w:bottom w:val="single" w:sz="8" w:color="0077C0"/>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0077C0"/>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24,206</w:t>
            </w:r>
          </w:p>
        </w:tc>
        <w:tc>
          <w:tcPr>
            <w:tcW w:w="320" w:type="dxa"/>
            <w:vAlign w:val="bottom"/>
            <w:tcBorders>
              <w:bottom w:val="single" w:sz="8" w:color="0077C0"/>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w:t>
            </w:r>
          </w:p>
        </w:tc>
      </w:tr>
      <w:tr>
        <w:trPr>
          <w:trHeight w:val="23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77C0"/>
              </w:rPr>
              <w:t>Per Share of Common Stock</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0077C0"/>
              </w:rPr>
              <w:t>Net Income (Loss) Attributable to Chevron Corporation</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3"/>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0077C0"/>
              </w:rPr>
              <w:t>- 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5.07</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12.29</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43"/>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0077C0"/>
              </w:rPr>
              <w:t>- 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5.06</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12.26</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43"/>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0077C0"/>
              </w:rPr>
              <w:t>Weighted Average Number of Shares Outstanding (000s)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3"/>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0077C0"/>
              </w:rPr>
              <w:t>- Basic</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1,956,743</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1,938,922</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1,968,833</w:t>
            </w: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1,801,623</w:t>
            </w:r>
          </w:p>
        </w:tc>
      </w:tr>
      <w:tr>
        <w:trPr>
          <w:trHeight w:val="243"/>
        </w:trPr>
        <w:tc>
          <w:tcPr>
            <w:tcW w:w="6380" w:type="dxa"/>
            <w:vAlign w:val="bottom"/>
            <w:tcBorders>
              <w:bottom w:val="single" w:sz="8" w:color="0077C0"/>
            </w:tcBorders>
          </w:tcPr>
          <w:p>
            <w:pPr>
              <w:ind w:left="220"/>
              <w:spacing w:after="0"/>
              <w:rPr>
                <w:sz w:val="20"/>
                <w:szCs w:val="20"/>
                <w:color w:val="auto"/>
              </w:rPr>
            </w:pPr>
            <w:r>
              <w:rPr>
                <w:rFonts w:ascii="Times New Roman" w:cs="Times New Roman" w:eastAsia="Times New Roman" w:hAnsi="Times New Roman"/>
                <w:sz w:val="18"/>
                <w:szCs w:val="18"/>
                <w:b w:val="1"/>
                <w:bCs w:val="1"/>
                <w:color w:val="0077C0"/>
              </w:rPr>
              <w:t>- Diluted</w:t>
            </w:r>
          </w:p>
        </w:tc>
        <w:tc>
          <w:tcPr>
            <w:tcW w:w="220" w:type="dxa"/>
            <w:vAlign w:val="bottom"/>
            <w:tcBorders>
              <w:bottom w:val="single" w:sz="8" w:color="0077C0"/>
            </w:tcBorders>
          </w:tcPr>
          <w:p>
            <w:pPr>
              <w:spacing w:after="0"/>
              <w:rPr>
                <w:sz w:val="21"/>
                <w:szCs w:val="21"/>
                <w:color w:val="auto"/>
              </w:rPr>
            </w:pPr>
          </w:p>
        </w:tc>
        <w:tc>
          <w:tcPr>
            <w:tcW w:w="940" w:type="dxa"/>
            <w:vAlign w:val="bottom"/>
            <w:tcBorders>
              <w:bottom w:val="single" w:sz="8" w:color="0077C0"/>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1,962,905</w:t>
            </w:r>
          </w:p>
        </w:tc>
        <w:tc>
          <w:tcPr>
            <w:tcW w:w="300" w:type="dxa"/>
            <w:vAlign w:val="bottom"/>
            <w:tcBorders>
              <w:bottom w:val="single" w:sz="8" w:color="0077C0"/>
            </w:tcBorders>
          </w:tcPr>
          <w:p>
            <w:pPr>
              <w:spacing w:after="0"/>
              <w:rPr>
                <w:sz w:val="21"/>
                <w:szCs w:val="21"/>
                <w:color w:val="auto"/>
              </w:rPr>
            </w:pPr>
          </w:p>
        </w:tc>
        <w:tc>
          <w:tcPr>
            <w:tcW w:w="940" w:type="dxa"/>
            <w:vAlign w:val="bottom"/>
            <w:tcBorders>
              <w:bottom w:val="single" w:sz="8" w:color="0077C0"/>
            </w:tcBorders>
          </w:tcPr>
          <w:p>
            <w:pPr>
              <w:jc w:val="right"/>
              <w:ind w:right="10"/>
              <w:spacing w:after="0"/>
              <w:rPr>
                <w:sz w:val="20"/>
                <w:szCs w:val="20"/>
                <w:color w:val="auto"/>
              </w:rPr>
            </w:pPr>
            <w:r>
              <w:rPr>
                <w:rFonts w:ascii="Times New Roman" w:cs="Times New Roman" w:eastAsia="Times New Roman" w:hAnsi="Times New Roman"/>
                <w:sz w:val="18"/>
                <w:szCs w:val="18"/>
                <w:color w:val="auto"/>
              </w:rPr>
              <w:t>1,946,035</w:t>
            </w:r>
          </w:p>
        </w:tc>
        <w:tc>
          <w:tcPr>
            <w:tcW w:w="300" w:type="dxa"/>
            <w:vAlign w:val="bottom"/>
            <w:tcBorders>
              <w:bottom w:val="single" w:sz="8" w:color="0077C0"/>
            </w:tcBorders>
          </w:tcPr>
          <w:p>
            <w:pPr>
              <w:spacing w:after="0"/>
              <w:rPr>
                <w:sz w:val="21"/>
                <w:szCs w:val="21"/>
                <w:color w:val="auto"/>
              </w:rPr>
            </w:pPr>
          </w:p>
        </w:tc>
        <w:tc>
          <w:tcPr>
            <w:tcW w:w="940" w:type="dxa"/>
            <w:vAlign w:val="bottom"/>
            <w:tcBorders>
              <w:bottom w:val="single" w:sz="8" w:color="0077C0"/>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1,974,547</w:t>
            </w:r>
          </w:p>
        </w:tc>
        <w:tc>
          <w:tcPr>
            <w:tcW w:w="320" w:type="dxa"/>
            <w:vAlign w:val="bottom"/>
            <w:tcBorders>
              <w:bottom w:val="single" w:sz="8" w:color="0077C0"/>
            </w:tcBorders>
          </w:tcPr>
          <w:p>
            <w:pPr>
              <w:spacing w:after="0"/>
              <w:rPr>
                <w:sz w:val="21"/>
                <w:szCs w:val="21"/>
                <w:color w:val="auto"/>
              </w:rPr>
            </w:pP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1,808,004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CHEVRON CORPORATION AND SUBSIDIARIES</w:t>
      </w:r>
    </w:p>
    <w:p>
      <w:pPr>
        <w:spacing w:after="0" w:line="10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1960" w:type="dxa"/>
            <w:vAlign w:val="bottom"/>
            <w:gridSpan w:val="3"/>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780" w:type="dxa"/>
            <w:vAlign w:val="bottom"/>
          </w:tcPr>
          <w:p>
            <w:pPr>
              <w:spacing w:after="0"/>
              <w:rPr>
                <w:sz w:val="18"/>
                <w:szCs w:val="18"/>
                <w:color w:val="auto"/>
              </w:rPr>
            </w:pPr>
          </w:p>
        </w:tc>
        <w:tc>
          <w:tcPr>
            <w:tcW w:w="240" w:type="dxa"/>
            <w:vAlign w:val="bottom"/>
            <w:tcBorders>
              <w:bottom w:val="single" w:sz="8" w:color="0077C0"/>
            </w:tcBorders>
          </w:tcPr>
          <w:p>
            <w:pPr>
              <w:spacing w:after="0"/>
              <w:rPr>
                <w:sz w:val="18"/>
                <w:szCs w:val="18"/>
                <w:color w:val="auto"/>
              </w:rPr>
            </w:pPr>
          </w:p>
        </w:tc>
        <w:tc>
          <w:tcPr>
            <w:tcW w:w="1980" w:type="dxa"/>
            <w:vAlign w:val="bottom"/>
            <w:tcBorders>
              <w:bottom w:val="single" w:sz="8" w:color="0077C0"/>
            </w:tcBorders>
            <w:gridSpan w:val="3"/>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Borders>
              <w:bottom w:val="single" w:sz="8" w:color="0077C0"/>
            </w:tcBorders>
          </w:tcPr>
          <w:p>
            <w:pPr>
              <w:spacing w:after="0"/>
              <w:rPr>
                <w:sz w:val="18"/>
                <w:szCs w:val="18"/>
                <w:color w:val="auto"/>
              </w:rPr>
            </w:pPr>
          </w:p>
        </w:tc>
        <w:tc>
          <w:tcPr>
            <w:tcW w:w="1960" w:type="dxa"/>
            <w:vAlign w:val="bottom"/>
            <w:tcBorders>
              <w:bottom w:val="single" w:sz="8" w:color="0077C0"/>
            </w:tcBorders>
            <w:gridSpan w:val="3"/>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22"/>
        </w:trPr>
        <w:tc>
          <w:tcPr>
            <w:tcW w:w="6780" w:type="dxa"/>
            <w:vAlign w:val="bottom"/>
          </w:tcPr>
          <w:p>
            <w:pPr>
              <w:spacing w:after="0"/>
              <w:rPr>
                <w:sz w:val="19"/>
                <w:szCs w:val="19"/>
                <w:color w:val="auto"/>
              </w:rPr>
            </w:pPr>
          </w:p>
        </w:tc>
        <w:tc>
          <w:tcPr>
            <w:tcW w:w="240" w:type="dxa"/>
            <w:vAlign w:val="bottom"/>
            <w:tcBorders>
              <w:bottom w:val="single" w:sz="8" w:color="0077C0"/>
            </w:tcBorders>
          </w:tcPr>
          <w:p>
            <w:pPr>
              <w:spacing w:after="0"/>
              <w:rPr>
                <w:sz w:val="19"/>
                <w:szCs w:val="19"/>
                <w:color w:val="auto"/>
              </w:rPr>
            </w:pPr>
          </w:p>
        </w:tc>
        <w:tc>
          <w:tcPr>
            <w:tcW w:w="820" w:type="dxa"/>
            <w:vAlign w:val="bottom"/>
            <w:tcBorders>
              <w:bottom w:val="single" w:sz="8" w:color="0077C0"/>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300" w:type="dxa"/>
            <w:vAlign w:val="bottom"/>
            <w:tcBorders>
              <w:bottom w:val="single" w:sz="8" w:color="0077C0"/>
            </w:tcBorders>
          </w:tcPr>
          <w:p>
            <w:pPr>
              <w:spacing w:after="0"/>
              <w:rPr>
                <w:sz w:val="19"/>
                <w:szCs w:val="19"/>
                <w:color w:val="auto"/>
              </w:rPr>
            </w:pPr>
          </w:p>
        </w:tc>
        <w:tc>
          <w:tcPr>
            <w:tcW w:w="860" w:type="dxa"/>
            <w:vAlign w:val="bottom"/>
            <w:tcBorders>
              <w:bottom w:val="single" w:sz="8" w:color="0077C0"/>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bottom w:val="single" w:sz="8" w:color="0077C0"/>
            </w:tcBorders>
          </w:tcPr>
          <w:p>
            <w:pPr>
              <w:spacing w:after="0"/>
              <w:rPr>
                <w:sz w:val="19"/>
                <w:szCs w:val="19"/>
                <w:color w:val="auto"/>
              </w:rPr>
            </w:pPr>
          </w:p>
        </w:tc>
        <w:tc>
          <w:tcPr>
            <w:tcW w:w="860" w:type="dxa"/>
            <w:vAlign w:val="bottom"/>
            <w:tcBorders>
              <w:bottom w:val="single" w:sz="8" w:color="0077C0"/>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300" w:type="dxa"/>
            <w:vAlign w:val="bottom"/>
            <w:tcBorders>
              <w:bottom w:val="single" w:sz="8" w:color="0077C0"/>
            </w:tcBorders>
          </w:tcPr>
          <w:p>
            <w:pPr>
              <w:spacing w:after="0"/>
              <w:rPr>
                <w:sz w:val="19"/>
                <w:szCs w:val="19"/>
                <w:color w:val="auto"/>
              </w:rPr>
            </w:pPr>
          </w:p>
        </w:tc>
        <w:tc>
          <w:tcPr>
            <w:tcW w:w="800" w:type="dxa"/>
            <w:vAlign w:val="bottom"/>
            <w:tcBorders>
              <w:bottom w:val="single" w:sz="8" w:color="0077C0"/>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89"/>
        </w:trPr>
        <w:tc>
          <w:tcPr>
            <w:tcW w:w="6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3"/>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
        </w:trPr>
        <w:tc>
          <w:tcPr>
            <w:tcW w:w="678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82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800" w:type="dxa"/>
            <w:vAlign w:val="bottom"/>
            <w:tcBorders>
              <w:bottom w:val="single" w:sz="8" w:color="0077C0"/>
            </w:tcBorders>
          </w:tcPr>
          <w:p>
            <w:pPr>
              <w:spacing w:after="0"/>
              <w:rPr>
                <w:sz w:val="2"/>
                <w:szCs w:val="2"/>
                <w:color w:val="auto"/>
              </w:rPr>
            </w:pPr>
          </w:p>
        </w:tc>
      </w:tr>
      <w:tr>
        <w:trPr>
          <w:trHeight w:val="237"/>
        </w:trPr>
        <w:tc>
          <w:tcPr>
            <w:tcW w:w="678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077C0"/>
              </w:rPr>
              <w:t>Net Income (Loss)</w:t>
            </w:r>
          </w:p>
        </w:tc>
        <w:tc>
          <w:tcPr>
            <w:tcW w:w="240" w:type="dxa"/>
            <w:vAlign w:val="bottom"/>
            <w:tcBorders>
              <w:bottom w:val="single" w:sz="8" w:color="0077C0"/>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0077C0"/>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10,048</w:t>
            </w:r>
          </w:p>
        </w:tc>
        <w:tc>
          <w:tcPr>
            <w:tcW w:w="300" w:type="dxa"/>
            <w:vAlign w:val="bottom"/>
            <w:tcBorders>
              <w:bottom w:val="single" w:sz="8" w:color="0077C0"/>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0077C0"/>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3,613</w:t>
            </w:r>
          </w:p>
        </w:tc>
        <w:tc>
          <w:tcPr>
            <w:tcW w:w="280" w:type="dxa"/>
            <w:vAlign w:val="bottom"/>
            <w:tcBorders>
              <w:bottom w:val="single" w:sz="8" w:color="0077C0"/>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0077C0"/>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24,555</w:t>
            </w:r>
          </w:p>
        </w:tc>
        <w:tc>
          <w:tcPr>
            <w:tcW w:w="300" w:type="dxa"/>
            <w:vAlign w:val="bottom"/>
            <w:tcBorders>
              <w:bottom w:val="single" w:sz="8" w:color="0077C0"/>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w:t>
            </w:r>
          </w:p>
        </w:tc>
      </w:tr>
      <w:tr>
        <w:trPr>
          <w:trHeight w:val="237"/>
        </w:trPr>
        <w:tc>
          <w:tcPr>
            <w:tcW w:w="67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240" w:type="dxa"/>
            <w:vAlign w:val="bottom"/>
            <w:tcBorders>
              <w:bottom w:val="single" w:sz="8" w:color="0077C0"/>
            </w:tcBorders>
          </w:tcPr>
          <w:p>
            <w:pPr>
              <w:spacing w:after="0"/>
              <w:rPr>
                <w:sz w:val="20"/>
                <w:szCs w:val="20"/>
                <w:color w:val="auto"/>
              </w:rPr>
            </w:pPr>
          </w:p>
        </w:tc>
        <w:tc>
          <w:tcPr>
            <w:tcW w:w="820" w:type="dxa"/>
            <w:vAlign w:val="bottom"/>
            <w:tcBorders>
              <w:bottom w:val="single" w:sz="8" w:color="0077C0"/>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29</w:t>
            </w:r>
          </w:p>
        </w:tc>
        <w:tc>
          <w:tcPr>
            <w:tcW w:w="300" w:type="dxa"/>
            <w:vAlign w:val="bottom"/>
            <w:tcBorders>
              <w:bottom w:val="single" w:sz="8" w:color="0077C0"/>
            </w:tcBorders>
          </w:tcPr>
          <w:p>
            <w:pPr>
              <w:spacing w:after="0"/>
              <w:rPr>
                <w:sz w:val="20"/>
                <w:szCs w:val="20"/>
                <w:color w:val="auto"/>
              </w:rPr>
            </w:pPr>
          </w:p>
        </w:tc>
        <w:tc>
          <w:tcPr>
            <w:tcW w:w="8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bottom w:val="single" w:sz="8" w:color="0077C0"/>
            </w:tcBorders>
          </w:tcPr>
          <w:p>
            <w:pPr>
              <w:spacing w:after="0"/>
              <w:rPr>
                <w:sz w:val="20"/>
                <w:szCs w:val="20"/>
                <w:color w:val="auto"/>
              </w:rPr>
            </w:pPr>
          </w:p>
        </w:tc>
        <w:tc>
          <w:tcPr>
            <w:tcW w:w="8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300" w:type="dxa"/>
            <w:vAlign w:val="bottom"/>
            <w:tcBorders>
              <w:bottom w:val="single" w:sz="8" w:color="0077C0"/>
            </w:tcBorders>
          </w:tcPr>
          <w:p>
            <w:pPr>
              <w:spacing w:after="0"/>
              <w:rPr>
                <w:sz w:val="20"/>
                <w:szCs w:val="20"/>
                <w:color w:val="auto"/>
              </w:rPr>
            </w:pPr>
          </w:p>
        </w:tc>
        <w:tc>
          <w:tcPr>
            <w:tcW w:w="8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7"/>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holding gain (loss) on securities</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43"/>
        </w:trPr>
        <w:tc>
          <w:tcPr>
            <w:tcW w:w="6780" w:type="dxa"/>
            <w:vAlign w:val="bottom"/>
            <w:tcBorders>
              <w:bottom w:val="single" w:sz="8" w:color="0077C0"/>
            </w:tcBorders>
          </w:tcPr>
          <w:p>
            <w:pPr>
              <w:ind w:left="140"/>
              <w:spacing w:after="0"/>
              <w:rPr>
                <w:sz w:val="20"/>
                <w:szCs w:val="20"/>
                <w:color w:val="auto"/>
              </w:rPr>
            </w:pPr>
            <w:r>
              <w:rPr>
                <w:rFonts w:ascii="Times New Roman" w:cs="Times New Roman" w:eastAsia="Times New Roman" w:hAnsi="Times New Roman"/>
                <w:sz w:val="18"/>
                <w:szCs w:val="18"/>
                <w:color w:val="auto"/>
              </w:rPr>
              <w:t>Net gain (loss) arising during period</w:t>
            </w:r>
          </w:p>
        </w:tc>
        <w:tc>
          <w:tcPr>
            <w:tcW w:w="240" w:type="dxa"/>
            <w:vAlign w:val="bottom"/>
            <w:tcBorders>
              <w:bottom w:val="single" w:sz="8" w:color="0077C0"/>
            </w:tcBorders>
          </w:tcPr>
          <w:p>
            <w:pPr>
              <w:spacing w:after="0"/>
              <w:rPr>
                <w:sz w:val="21"/>
                <w:szCs w:val="21"/>
                <w:color w:val="auto"/>
              </w:rPr>
            </w:pPr>
          </w:p>
        </w:tc>
        <w:tc>
          <w:tcPr>
            <w:tcW w:w="820" w:type="dxa"/>
            <w:vAlign w:val="bottom"/>
            <w:tcBorders>
              <w:bottom w:val="single" w:sz="8" w:color="0077C0"/>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0077C0"/>
            </w:tcBorders>
          </w:tcPr>
          <w:p>
            <w:pPr>
              <w:spacing w:after="0"/>
              <w:rPr>
                <w:sz w:val="21"/>
                <w:szCs w:val="21"/>
                <w:color w:val="auto"/>
              </w:rPr>
            </w:pPr>
          </w:p>
        </w:tc>
        <w:tc>
          <w:tcPr>
            <w:tcW w:w="8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0077C0"/>
            </w:tcBorders>
          </w:tcPr>
          <w:p>
            <w:pPr>
              <w:spacing w:after="0"/>
              <w:rPr>
                <w:sz w:val="21"/>
                <w:szCs w:val="21"/>
                <w:color w:val="auto"/>
              </w:rPr>
            </w:pPr>
          </w:p>
        </w:tc>
        <w:tc>
          <w:tcPr>
            <w:tcW w:w="860" w:type="dxa"/>
            <w:vAlign w:val="bottom"/>
            <w:tcBorders>
              <w:bottom w:val="single" w:sz="8" w:color="0077C0"/>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w:t>
            </w:r>
          </w:p>
        </w:tc>
        <w:tc>
          <w:tcPr>
            <w:tcW w:w="300" w:type="dxa"/>
            <w:vAlign w:val="bottom"/>
            <w:tcBorders>
              <w:bottom w:val="single" w:sz="8" w:color="0077C0"/>
            </w:tcBorders>
          </w:tcPr>
          <w:p>
            <w:pPr>
              <w:spacing w:after="0"/>
              <w:rPr>
                <w:sz w:val="21"/>
                <w:szCs w:val="21"/>
                <w:color w:val="auto"/>
              </w:rPr>
            </w:pPr>
          </w:p>
        </w:tc>
        <w:tc>
          <w:tcPr>
            <w:tcW w:w="8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7"/>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43"/>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derivatives gain (loss) on hedge transactions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3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net income</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w:t>
            </w: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on derivatives transactions</w:t>
            </w:r>
          </w:p>
        </w:tc>
        <w:tc>
          <w:tcPr>
            <w:tcW w:w="2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40</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6780" w:type="dxa"/>
            <w:vAlign w:val="bottom"/>
            <w:tcBorders>
              <w:bottom w:val="single" w:sz="8" w:color="0077C0"/>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0077C0"/>
              </w:rPr>
              <w:t>Total</w:t>
            </w:r>
          </w:p>
        </w:tc>
        <w:tc>
          <w:tcPr>
            <w:tcW w:w="240" w:type="dxa"/>
            <w:vAlign w:val="bottom"/>
            <w:tcBorders>
              <w:bottom w:val="single" w:sz="8" w:color="0077C0"/>
            </w:tcBorders>
            <w:shd w:val="clear" w:color="auto" w:fill="CCEEFF"/>
          </w:tcPr>
          <w:p>
            <w:pPr>
              <w:spacing w:after="0"/>
              <w:rPr>
                <w:sz w:val="21"/>
                <w:szCs w:val="21"/>
                <w:color w:val="auto"/>
              </w:rPr>
            </w:pPr>
          </w:p>
        </w:tc>
        <w:tc>
          <w:tcPr>
            <w:tcW w:w="82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300" w:type="dxa"/>
            <w:vAlign w:val="bottom"/>
            <w:tcBorders>
              <w:bottom w:val="single" w:sz="8" w:color="0077C0"/>
            </w:tcBorders>
            <w:shd w:val="clear" w:color="auto" w:fill="CCEEFF"/>
          </w:tcPr>
          <w:p>
            <w:pPr>
              <w:spacing w:after="0"/>
              <w:rPr>
                <w:sz w:val="21"/>
                <w:szCs w:val="21"/>
                <w:color w:val="auto"/>
              </w:rPr>
            </w:pPr>
          </w:p>
        </w:tc>
        <w:tc>
          <w:tcPr>
            <w:tcW w:w="860" w:type="dxa"/>
            <w:vAlign w:val="bottom"/>
            <w:tcBorders>
              <w:bottom w:val="single" w:sz="8" w:color="0077C0"/>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0077C0"/>
            </w:tcBorders>
            <w:shd w:val="clear" w:color="auto" w:fill="CCEEFF"/>
          </w:tcPr>
          <w:p>
            <w:pPr>
              <w:spacing w:after="0"/>
              <w:rPr>
                <w:sz w:val="21"/>
                <w:szCs w:val="21"/>
                <w:color w:val="auto"/>
              </w:rPr>
            </w:pPr>
          </w:p>
        </w:tc>
        <w:tc>
          <w:tcPr>
            <w:tcW w:w="86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300" w:type="dxa"/>
            <w:vAlign w:val="bottom"/>
            <w:tcBorders>
              <w:bottom w:val="single" w:sz="8" w:color="0077C0"/>
            </w:tcBorders>
            <w:shd w:val="clear" w:color="auto" w:fill="CCEEFF"/>
          </w:tcPr>
          <w:p>
            <w:pPr>
              <w:spacing w:after="0"/>
              <w:rPr>
                <w:sz w:val="21"/>
                <w:szCs w:val="21"/>
                <w:color w:val="auto"/>
              </w:rPr>
            </w:pPr>
          </w:p>
        </w:tc>
        <w:tc>
          <w:tcPr>
            <w:tcW w:w="8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benefit plans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3"/>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Actuarial gain (loss)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43"/>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to net income of net actuarial loss and settlements</w:t>
            </w:r>
          </w:p>
        </w:tc>
        <w:tc>
          <w:tcPr>
            <w:tcW w:w="2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63</w:t>
            </w:r>
          </w:p>
        </w:tc>
        <w:tc>
          <w:tcPr>
            <w:tcW w:w="3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249</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43"/>
        </w:trPr>
        <w:tc>
          <w:tcPr>
            <w:tcW w:w="6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Actuarial gain (loss) arising during period</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242</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525</w:t>
            </w: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service credits (cost)</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6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to net income of net prior service costs and curtailments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Prior service (costs) credits arising during period</w:t>
            </w:r>
          </w:p>
        </w:tc>
        <w:tc>
          <w:tcPr>
            <w:tcW w:w="2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Defined benefit plans sponsored by equity affiliates - benefit (cost)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w:t>
            </w: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benefit on defined benefit plans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3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6780" w:type="dxa"/>
            <w:vAlign w:val="bottom"/>
            <w:tcBorders>
              <w:bottom w:val="single" w:sz="8" w:color="0077C0"/>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0077C0"/>
              </w:rPr>
              <w:t>Total</w:t>
            </w:r>
          </w:p>
        </w:tc>
        <w:tc>
          <w:tcPr>
            <w:tcW w:w="240" w:type="dxa"/>
            <w:vAlign w:val="bottom"/>
            <w:tcBorders>
              <w:bottom w:val="single" w:sz="8" w:color="0077C0"/>
            </w:tcBorders>
            <w:shd w:val="clear" w:color="auto" w:fill="CCEEFF"/>
          </w:tcPr>
          <w:p>
            <w:pPr>
              <w:spacing w:after="0"/>
              <w:rPr>
                <w:sz w:val="21"/>
                <w:szCs w:val="21"/>
                <w:color w:val="auto"/>
              </w:rPr>
            </w:pPr>
          </w:p>
        </w:tc>
        <w:tc>
          <w:tcPr>
            <w:tcW w:w="820" w:type="dxa"/>
            <w:vAlign w:val="bottom"/>
            <w:tcBorders>
              <w:bottom w:val="single" w:sz="8" w:color="0077C0"/>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236</w:t>
            </w:r>
          </w:p>
        </w:tc>
        <w:tc>
          <w:tcPr>
            <w:tcW w:w="300" w:type="dxa"/>
            <w:vAlign w:val="bottom"/>
            <w:tcBorders>
              <w:bottom w:val="single" w:sz="8" w:color="0077C0"/>
            </w:tcBorders>
            <w:shd w:val="clear" w:color="auto" w:fill="CCEEFF"/>
          </w:tcPr>
          <w:p>
            <w:pPr>
              <w:spacing w:after="0"/>
              <w:rPr>
                <w:sz w:val="21"/>
                <w:szCs w:val="21"/>
                <w:color w:val="auto"/>
              </w:rPr>
            </w:pPr>
          </w:p>
        </w:tc>
        <w:tc>
          <w:tcPr>
            <w:tcW w:w="86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bottom w:val="single" w:sz="8" w:color="0077C0"/>
            </w:tcBorders>
            <w:shd w:val="clear" w:color="auto" w:fill="CCEEFF"/>
          </w:tcPr>
          <w:p>
            <w:pPr>
              <w:spacing w:after="0"/>
              <w:rPr>
                <w:sz w:val="21"/>
                <w:szCs w:val="21"/>
                <w:color w:val="auto"/>
              </w:rPr>
            </w:pPr>
          </w:p>
        </w:tc>
        <w:tc>
          <w:tcPr>
            <w:tcW w:w="860" w:type="dxa"/>
            <w:vAlign w:val="bottom"/>
            <w:tcBorders>
              <w:bottom w:val="single" w:sz="8" w:color="0077C0"/>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586</w:t>
            </w:r>
          </w:p>
        </w:tc>
        <w:tc>
          <w:tcPr>
            <w:tcW w:w="300" w:type="dxa"/>
            <w:vAlign w:val="bottom"/>
            <w:tcBorders>
              <w:bottom w:val="single" w:sz="8" w:color="0077C0"/>
            </w:tcBorders>
            <w:shd w:val="clear" w:color="auto" w:fill="CCEEFF"/>
          </w:tcPr>
          <w:p>
            <w:pPr>
              <w:spacing w:after="0"/>
              <w:rPr>
                <w:sz w:val="21"/>
                <w:szCs w:val="21"/>
                <w:color w:val="auto"/>
              </w:rPr>
            </w:pPr>
          </w:p>
        </w:tc>
        <w:tc>
          <w:tcPr>
            <w:tcW w:w="8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6"/>
        </w:trPr>
        <w:tc>
          <w:tcPr>
            <w:tcW w:w="67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b w:val="1"/>
                <w:bCs w:val="1"/>
                <w:color w:val="0077C0"/>
              </w:rPr>
              <w:t>Other Comprehensive Gain (Loss), Net of Tax</w:t>
            </w:r>
          </w:p>
        </w:tc>
        <w:tc>
          <w:tcPr>
            <w:tcW w:w="240" w:type="dxa"/>
            <w:vAlign w:val="bottom"/>
            <w:tcBorders>
              <w:bottom w:val="single" w:sz="8" w:color="0077C0"/>
            </w:tcBorders>
          </w:tcPr>
          <w:p>
            <w:pPr>
              <w:spacing w:after="0"/>
              <w:rPr>
                <w:sz w:val="20"/>
                <w:szCs w:val="20"/>
                <w:color w:val="auto"/>
              </w:rPr>
            </w:pPr>
          </w:p>
        </w:tc>
        <w:tc>
          <w:tcPr>
            <w:tcW w:w="820" w:type="dxa"/>
            <w:vAlign w:val="bottom"/>
            <w:tcBorders>
              <w:bottom w:val="single" w:sz="8" w:color="0077C0"/>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129</w:t>
            </w:r>
          </w:p>
        </w:tc>
        <w:tc>
          <w:tcPr>
            <w:tcW w:w="300" w:type="dxa"/>
            <w:vAlign w:val="bottom"/>
            <w:tcBorders>
              <w:bottom w:val="single" w:sz="8" w:color="0077C0"/>
            </w:tcBorders>
          </w:tcPr>
          <w:p>
            <w:pPr>
              <w:spacing w:after="0"/>
              <w:rPr>
                <w:sz w:val="20"/>
                <w:szCs w:val="20"/>
                <w:color w:val="auto"/>
              </w:rPr>
            </w:pPr>
          </w:p>
        </w:tc>
        <w:tc>
          <w:tcPr>
            <w:tcW w:w="8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Borders>
              <w:bottom w:val="single" w:sz="8" w:color="0077C0"/>
            </w:tcBorders>
          </w:tcPr>
          <w:p>
            <w:pPr>
              <w:spacing w:after="0"/>
              <w:rPr>
                <w:sz w:val="20"/>
                <w:szCs w:val="20"/>
                <w:color w:val="auto"/>
              </w:rPr>
            </w:pPr>
          </w:p>
        </w:tc>
        <w:tc>
          <w:tcPr>
            <w:tcW w:w="860" w:type="dxa"/>
            <w:vAlign w:val="bottom"/>
            <w:tcBorders>
              <w:bottom w:val="single" w:sz="8" w:color="0077C0"/>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480</w:t>
            </w:r>
          </w:p>
        </w:tc>
        <w:tc>
          <w:tcPr>
            <w:tcW w:w="300" w:type="dxa"/>
            <w:vAlign w:val="bottom"/>
            <w:tcBorders>
              <w:bottom w:val="single" w:sz="8" w:color="0077C0"/>
            </w:tcBorders>
          </w:tcPr>
          <w:p>
            <w:pPr>
              <w:spacing w:after="0"/>
              <w:rPr>
                <w:sz w:val="20"/>
                <w:szCs w:val="20"/>
                <w:color w:val="auto"/>
              </w:rPr>
            </w:pPr>
          </w:p>
        </w:tc>
        <w:tc>
          <w:tcPr>
            <w:tcW w:w="8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7"/>
        </w:trPr>
        <w:tc>
          <w:tcPr>
            <w:tcW w:w="678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077C0"/>
              </w:rPr>
              <w:t>Comprehensive Income (Loss)</w:t>
            </w:r>
          </w:p>
        </w:tc>
        <w:tc>
          <w:tcPr>
            <w:tcW w:w="240" w:type="dxa"/>
            <w:vAlign w:val="bottom"/>
            <w:tcBorders>
              <w:bottom w:val="single" w:sz="8" w:color="0077C0"/>
            </w:tcBorders>
            <w:shd w:val="clear" w:color="auto" w:fill="CCEEFF"/>
          </w:tcPr>
          <w:p>
            <w:pPr>
              <w:spacing w:after="0"/>
              <w:rPr>
                <w:sz w:val="20"/>
                <w:szCs w:val="20"/>
                <w:color w:val="auto"/>
              </w:rPr>
            </w:pPr>
          </w:p>
        </w:tc>
        <w:tc>
          <w:tcPr>
            <w:tcW w:w="820" w:type="dxa"/>
            <w:vAlign w:val="bottom"/>
            <w:tcBorders>
              <w:bottom w:val="single" w:sz="8" w:color="0077C0"/>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10,177</w:t>
            </w:r>
          </w:p>
        </w:tc>
        <w:tc>
          <w:tcPr>
            <w:tcW w:w="300" w:type="dxa"/>
            <w:vAlign w:val="bottom"/>
            <w:tcBorders>
              <w:bottom w:val="single" w:sz="8" w:color="0077C0"/>
            </w:tcBorders>
            <w:shd w:val="clear" w:color="auto" w:fill="CCEEFF"/>
          </w:tcPr>
          <w:p>
            <w:pPr>
              <w:spacing w:after="0"/>
              <w:rPr>
                <w:sz w:val="20"/>
                <w:szCs w:val="20"/>
                <w:color w:val="auto"/>
              </w:rPr>
            </w:pPr>
          </w:p>
        </w:tc>
        <w:tc>
          <w:tcPr>
            <w:tcW w:w="860" w:type="dxa"/>
            <w:vAlign w:val="bottom"/>
            <w:tcBorders>
              <w:bottom w:val="single" w:sz="8" w:color="0077C0"/>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3,589</w:t>
            </w:r>
          </w:p>
        </w:tc>
        <w:tc>
          <w:tcPr>
            <w:tcW w:w="280" w:type="dxa"/>
            <w:vAlign w:val="bottom"/>
            <w:tcBorders>
              <w:bottom w:val="single" w:sz="8" w:color="0077C0"/>
            </w:tcBorders>
            <w:shd w:val="clear" w:color="auto" w:fill="CCEEFF"/>
          </w:tcPr>
          <w:p>
            <w:pPr>
              <w:spacing w:after="0"/>
              <w:rPr>
                <w:sz w:val="20"/>
                <w:szCs w:val="20"/>
                <w:color w:val="auto"/>
              </w:rPr>
            </w:pPr>
          </w:p>
        </w:tc>
        <w:tc>
          <w:tcPr>
            <w:tcW w:w="860" w:type="dxa"/>
            <w:vAlign w:val="bottom"/>
            <w:tcBorders>
              <w:bottom w:val="single" w:sz="8" w:color="0077C0"/>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25,035</w:t>
            </w:r>
          </w:p>
        </w:tc>
        <w:tc>
          <w:tcPr>
            <w:tcW w:w="300" w:type="dxa"/>
            <w:vAlign w:val="bottom"/>
            <w:tcBorders>
              <w:bottom w:val="single" w:sz="8" w:color="0077C0"/>
            </w:tcBorders>
            <w:shd w:val="clear" w:color="auto" w:fill="CCEEFF"/>
          </w:tcPr>
          <w:p>
            <w:pPr>
              <w:spacing w:after="0"/>
              <w:rPr>
                <w:sz w:val="20"/>
                <w:szCs w:val="20"/>
                <w:color w:val="auto"/>
              </w:rPr>
            </w:pPr>
          </w:p>
        </w:tc>
        <w:tc>
          <w:tcPr>
            <w:tcW w:w="8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9,809</w:t>
            </w:r>
          </w:p>
        </w:tc>
      </w:tr>
      <w:tr>
        <w:trPr>
          <w:trHeight w:val="236"/>
        </w:trPr>
        <w:tc>
          <w:tcPr>
            <w:tcW w:w="67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noncontrolling interests</w:t>
            </w:r>
          </w:p>
        </w:tc>
        <w:tc>
          <w:tcPr>
            <w:tcW w:w="240" w:type="dxa"/>
            <w:vAlign w:val="bottom"/>
            <w:tcBorders>
              <w:bottom w:val="single" w:sz="8" w:color="0077C0"/>
            </w:tcBorders>
          </w:tcPr>
          <w:p>
            <w:pPr>
              <w:spacing w:after="0"/>
              <w:rPr>
                <w:sz w:val="20"/>
                <w:szCs w:val="20"/>
                <w:color w:val="auto"/>
              </w:rPr>
            </w:pPr>
          </w:p>
        </w:tc>
        <w:tc>
          <w:tcPr>
            <w:tcW w:w="8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300" w:type="dxa"/>
            <w:vAlign w:val="bottom"/>
            <w:tcBorders>
              <w:bottom w:val="single" w:sz="8" w:color="0077C0"/>
            </w:tcBorders>
          </w:tcPr>
          <w:p>
            <w:pPr>
              <w:spacing w:after="0"/>
              <w:rPr>
                <w:sz w:val="20"/>
                <w:szCs w:val="20"/>
                <w:color w:val="auto"/>
              </w:rPr>
            </w:pPr>
          </w:p>
        </w:tc>
        <w:tc>
          <w:tcPr>
            <w:tcW w:w="8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tcBorders>
              <w:bottom w:val="single" w:sz="8" w:color="0077C0"/>
            </w:tcBorders>
          </w:tcPr>
          <w:p>
            <w:pPr>
              <w:spacing w:after="0"/>
              <w:rPr>
                <w:sz w:val="20"/>
                <w:szCs w:val="20"/>
                <w:color w:val="auto"/>
              </w:rPr>
            </w:pPr>
          </w:p>
        </w:tc>
        <w:tc>
          <w:tcPr>
            <w:tcW w:w="8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w:t>
            </w:r>
          </w:p>
        </w:tc>
        <w:tc>
          <w:tcPr>
            <w:tcW w:w="300" w:type="dxa"/>
            <w:vAlign w:val="bottom"/>
            <w:tcBorders>
              <w:bottom w:val="single" w:sz="8" w:color="0077C0"/>
            </w:tcBorders>
          </w:tcPr>
          <w:p>
            <w:pPr>
              <w:spacing w:after="0"/>
              <w:rPr>
                <w:sz w:val="20"/>
                <w:szCs w:val="20"/>
                <w:color w:val="auto"/>
              </w:rPr>
            </w:pPr>
          </w:p>
        </w:tc>
        <w:tc>
          <w:tcPr>
            <w:tcW w:w="8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7"/>
        </w:trPr>
        <w:tc>
          <w:tcPr>
            <w:tcW w:w="678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077C0"/>
              </w:rPr>
              <w:t>Comprehensive Income (Loss) Attributable to Chevron Corporation</w:t>
            </w:r>
          </w:p>
        </w:tc>
        <w:tc>
          <w:tcPr>
            <w:tcW w:w="240" w:type="dxa"/>
            <w:vAlign w:val="bottom"/>
            <w:tcBorders>
              <w:bottom w:val="single" w:sz="8" w:color="0077C0"/>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0077C0"/>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10,053</w:t>
            </w:r>
          </w:p>
        </w:tc>
        <w:tc>
          <w:tcPr>
            <w:tcW w:w="300" w:type="dxa"/>
            <w:vAlign w:val="bottom"/>
            <w:tcBorders>
              <w:bottom w:val="single" w:sz="8" w:color="0077C0"/>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0077C0"/>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3,515</w:t>
            </w:r>
          </w:p>
        </w:tc>
        <w:tc>
          <w:tcPr>
            <w:tcW w:w="280" w:type="dxa"/>
            <w:vAlign w:val="bottom"/>
            <w:tcBorders>
              <w:bottom w:val="single" w:sz="8" w:color="0077C0"/>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0077C0"/>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24,686</w:t>
            </w:r>
          </w:p>
        </w:tc>
        <w:tc>
          <w:tcPr>
            <w:tcW w:w="300" w:type="dxa"/>
            <w:vAlign w:val="bottom"/>
            <w:tcBorders>
              <w:bottom w:val="single" w:sz="8" w:color="0077C0"/>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CHEVRON CORPORATION AND SUBSIDIARIES</w:t>
      </w:r>
    </w:p>
    <w:p>
      <w:pPr>
        <w:spacing w:after="0" w:line="10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At September 30,</w:t>
            </w:r>
          </w:p>
        </w:tc>
        <w:tc>
          <w:tcPr>
            <w:tcW w:w="220" w:type="dxa"/>
            <w:vAlign w:val="bottom"/>
          </w:tcPr>
          <w:p>
            <w:pPr>
              <w:spacing w:after="0"/>
              <w:rPr>
                <w:sz w:val="16"/>
                <w:szCs w:val="16"/>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At December 31,</w:t>
            </w:r>
          </w:p>
        </w:tc>
        <w:tc>
          <w:tcPr>
            <w:tcW w:w="0" w:type="dxa"/>
            <w:vAlign w:val="bottom"/>
          </w:tcPr>
          <w:p>
            <w:pPr>
              <w:spacing w:after="0"/>
              <w:rPr>
                <w:sz w:val="1"/>
                <w:szCs w:val="1"/>
                <w:color w:val="auto"/>
              </w:rPr>
            </w:pPr>
          </w:p>
        </w:tc>
      </w:tr>
      <w:tr>
        <w:trPr>
          <w:trHeight w:val="214"/>
        </w:trPr>
        <w:tc>
          <w:tcPr>
            <w:tcW w:w="7820" w:type="dxa"/>
            <w:vAlign w:val="bottom"/>
          </w:tcPr>
          <w:p>
            <w:pPr>
              <w:spacing w:after="0"/>
              <w:rPr>
                <w:sz w:val="18"/>
                <w:szCs w:val="18"/>
                <w:color w:val="auto"/>
              </w:rPr>
            </w:pPr>
          </w:p>
        </w:tc>
        <w:tc>
          <w:tcPr>
            <w:tcW w:w="100" w:type="dxa"/>
            <w:vAlign w:val="bottom"/>
            <w:tcBorders>
              <w:bottom w:val="single" w:sz="8" w:color="0077C0"/>
            </w:tcBorders>
          </w:tcPr>
          <w:p>
            <w:pPr>
              <w:spacing w:after="0"/>
              <w:rPr>
                <w:sz w:val="18"/>
                <w:szCs w:val="18"/>
                <w:color w:val="auto"/>
              </w:rPr>
            </w:pPr>
          </w:p>
        </w:tc>
        <w:tc>
          <w:tcPr>
            <w:tcW w:w="160" w:type="dxa"/>
            <w:vAlign w:val="bottom"/>
            <w:tcBorders>
              <w:bottom w:val="single" w:sz="8" w:color="0077C0"/>
            </w:tcBorders>
          </w:tcPr>
          <w:p>
            <w:pPr>
              <w:spacing w:after="0"/>
              <w:rPr>
                <w:sz w:val="18"/>
                <w:szCs w:val="18"/>
                <w:color w:val="auto"/>
              </w:rPr>
            </w:pPr>
          </w:p>
        </w:tc>
        <w:tc>
          <w:tcPr>
            <w:tcW w:w="1520" w:type="dxa"/>
            <w:vAlign w:val="bottom"/>
            <w:tcBorders>
              <w:bottom w:val="single" w:sz="8" w:color="0077C0"/>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Borders>
              <w:bottom w:val="single" w:sz="8" w:color="0077C0"/>
            </w:tcBorders>
          </w:tcPr>
          <w:p>
            <w:pPr>
              <w:spacing w:after="0"/>
              <w:rPr>
                <w:sz w:val="18"/>
                <w:szCs w:val="18"/>
                <w:color w:val="auto"/>
              </w:rPr>
            </w:pPr>
          </w:p>
        </w:tc>
        <w:tc>
          <w:tcPr>
            <w:tcW w:w="1420" w:type="dxa"/>
            <w:vAlign w:val="bottom"/>
            <w:tcBorders>
              <w:bottom w:val="single" w:sz="8" w:color="0077C0"/>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2"/>
        </w:trPr>
        <w:tc>
          <w:tcPr>
            <w:tcW w:w="7820" w:type="dxa"/>
            <w:vAlign w:val="bottom"/>
            <w:tcBorders>
              <w:bottom w:val="single" w:sz="8" w:color="0077C0"/>
            </w:tcBorders>
          </w:tcPr>
          <w:p>
            <w:pPr>
              <w:spacing w:after="0"/>
              <w:rPr>
                <w:sz w:val="19"/>
                <w:szCs w:val="19"/>
                <w:color w:val="auto"/>
              </w:rPr>
            </w:pPr>
          </w:p>
        </w:tc>
        <w:tc>
          <w:tcPr>
            <w:tcW w:w="100" w:type="dxa"/>
            <w:vAlign w:val="bottom"/>
            <w:tcBorders>
              <w:bottom w:val="single" w:sz="8" w:color="0077C0"/>
            </w:tcBorders>
          </w:tcPr>
          <w:p>
            <w:pPr>
              <w:spacing w:after="0"/>
              <w:rPr>
                <w:sz w:val="19"/>
                <w:szCs w:val="19"/>
                <w:color w:val="auto"/>
              </w:rPr>
            </w:pPr>
          </w:p>
        </w:tc>
        <w:tc>
          <w:tcPr>
            <w:tcW w:w="160" w:type="dxa"/>
            <w:vAlign w:val="bottom"/>
            <w:tcBorders>
              <w:bottom w:val="single" w:sz="8" w:color="0077C0"/>
            </w:tcBorders>
          </w:tcPr>
          <w:p>
            <w:pPr>
              <w:spacing w:after="0"/>
              <w:rPr>
                <w:sz w:val="19"/>
                <w:szCs w:val="19"/>
                <w:color w:val="auto"/>
              </w:rPr>
            </w:pPr>
          </w:p>
        </w:tc>
        <w:tc>
          <w:tcPr>
            <w:tcW w:w="3160" w:type="dxa"/>
            <w:vAlign w:val="bottom"/>
            <w:tcBorders>
              <w:bottom w:val="single" w:sz="8" w:color="0077C0"/>
            </w:tcBorders>
            <w:gridSpan w:val="3"/>
          </w:tcPr>
          <w:p>
            <w:pPr>
              <w:jc w:val="right"/>
              <w:ind w:right="890"/>
              <w:spacing w:after="0"/>
              <w:rPr>
                <w:sz w:val="20"/>
                <w:szCs w:val="20"/>
                <w:color w:val="auto"/>
              </w:rPr>
            </w:pPr>
            <w:r>
              <w:rPr>
                <w:rFonts w:ascii="Times New Roman" w:cs="Times New Roman" w:eastAsia="Times New Roman" w:hAnsi="Times New Roman"/>
                <w:sz w:val="16"/>
                <w:szCs w:val="16"/>
                <w:b w:val="1"/>
                <w:bCs w:val="1"/>
                <w:color w:val="auto"/>
              </w:rPr>
              <w:t>(Millions of dollars)</w:t>
            </w:r>
          </w:p>
        </w:tc>
        <w:tc>
          <w:tcPr>
            <w:tcW w:w="0" w:type="dxa"/>
            <w:vAlign w:val="bottom"/>
          </w:tcPr>
          <w:p>
            <w:pPr>
              <w:spacing w:after="0"/>
              <w:rPr>
                <w:sz w:val="1"/>
                <w:szCs w:val="1"/>
                <w:color w:val="auto"/>
              </w:rPr>
            </w:pPr>
          </w:p>
        </w:tc>
      </w:tr>
      <w:tr>
        <w:trPr>
          <w:trHeight w:val="239"/>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0077C0"/>
              </w:rPr>
              <w:t>Assets</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12,804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0" w:type="dxa"/>
            <w:vAlign w:val="bottom"/>
          </w:tcPr>
          <w:p>
            <w:pPr>
              <w:spacing w:after="0"/>
              <w:rPr>
                <w:sz w:val="1"/>
                <w:szCs w:val="1"/>
                <w:color w:val="auto"/>
              </w:rPr>
            </w:pPr>
          </w:p>
        </w:tc>
      </w:tr>
      <w:tr>
        <w:trPr>
          <w:trHeight w:val="243"/>
        </w:trPr>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and notes receivable (less allowance: 2026 - $184; 2025 - $176)</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26,104</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0" w:type="dxa"/>
            <w:vAlign w:val="bottom"/>
          </w:tcPr>
          <w:p>
            <w:pPr>
              <w:spacing w:after="0"/>
              <w:rPr>
                <w:sz w:val="1"/>
                <w:szCs w:val="1"/>
                <w:color w:val="auto"/>
              </w:rPr>
            </w:pPr>
          </w:p>
        </w:tc>
      </w:tr>
      <w:tr>
        <w:trPr>
          <w:trHeight w:val="243"/>
        </w:trPr>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Crude oil and products</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7,593</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0" w:type="dxa"/>
            <w:vAlign w:val="bottom"/>
          </w:tcPr>
          <w:p>
            <w:pPr>
              <w:spacing w:after="0"/>
              <w:rPr>
                <w:sz w:val="1"/>
                <w:szCs w:val="1"/>
                <w:color w:val="auto"/>
              </w:rPr>
            </w:pPr>
          </w:p>
        </w:tc>
      </w:tr>
      <w:tr>
        <w:trPr>
          <w:trHeight w:val="243"/>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Chemicals</w:t>
            </w:r>
          </w:p>
        </w:tc>
        <w:tc>
          <w:tcPr>
            <w:tcW w:w="16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713</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43"/>
        </w:trPr>
        <w:tc>
          <w:tcPr>
            <w:tcW w:w="7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Materials, supplies and other</w:t>
            </w:r>
          </w:p>
        </w:tc>
        <w:tc>
          <w:tcPr>
            <w:tcW w:w="160" w:type="dxa"/>
            <w:vAlign w:val="bottom"/>
            <w:tcBorders>
              <w:bottom w:val="single" w:sz="8" w:color="0077C0"/>
            </w:tcBorders>
            <w:shd w:val="clear" w:color="auto" w:fill="CCEEFF"/>
          </w:tcPr>
          <w:p>
            <w:pPr>
              <w:spacing w:after="0"/>
              <w:rPr>
                <w:sz w:val="21"/>
                <w:szCs w:val="21"/>
                <w:color w:val="auto"/>
              </w:rPr>
            </w:pPr>
          </w:p>
        </w:tc>
        <w:tc>
          <w:tcPr>
            <w:tcW w:w="1520" w:type="dxa"/>
            <w:vAlign w:val="bottom"/>
            <w:tcBorders>
              <w:bottom w:val="single" w:sz="8" w:color="0077C0"/>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3,087</w:t>
            </w:r>
          </w:p>
        </w:tc>
        <w:tc>
          <w:tcPr>
            <w:tcW w:w="220" w:type="dxa"/>
            <w:vAlign w:val="bottom"/>
            <w:tcBorders>
              <w:bottom w:val="single" w:sz="8" w:color="0077C0"/>
            </w:tcBorders>
            <w:shd w:val="clear" w:color="auto" w:fill="CCEEFF"/>
          </w:tcPr>
          <w:p>
            <w:pPr>
              <w:spacing w:after="0"/>
              <w:rPr>
                <w:sz w:val="21"/>
                <w:szCs w:val="21"/>
                <w:color w:val="auto"/>
              </w:rPr>
            </w:pPr>
          </w:p>
        </w:tc>
        <w:tc>
          <w:tcPr>
            <w:tcW w:w="142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37"/>
        </w:trPr>
        <w:tc>
          <w:tcPr>
            <w:tcW w:w="7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11,393</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9,711</w:t>
            </w:r>
          </w:p>
        </w:tc>
        <w:tc>
          <w:tcPr>
            <w:tcW w:w="0" w:type="dxa"/>
            <w:vAlign w:val="bottom"/>
          </w:tcPr>
          <w:p>
            <w:pPr>
              <w:spacing w:after="0"/>
              <w:rPr>
                <w:sz w:val="1"/>
                <w:szCs w:val="1"/>
                <w:color w:val="auto"/>
              </w:rPr>
            </w:pPr>
          </w:p>
        </w:tc>
      </w:tr>
      <w:tr>
        <w:trPr>
          <w:trHeight w:val="243"/>
        </w:trPr>
        <w:tc>
          <w:tcPr>
            <w:tcW w:w="7920" w:type="dxa"/>
            <w:vAlign w:val="bottom"/>
            <w:tcBorders>
              <w:bottom w:val="single" w:sz="8" w:color="0077C0"/>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0077C0"/>
            </w:tcBorders>
            <w:shd w:val="clear" w:color="auto" w:fill="CCEEFF"/>
          </w:tcPr>
          <w:p>
            <w:pPr>
              <w:spacing w:after="0"/>
              <w:rPr>
                <w:sz w:val="21"/>
                <w:szCs w:val="21"/>
                <w:color w:val="auto"/>
              </w:rPr>
            </w:pPr>
          </w:p>
        </w:tc>
        <w:tc>
          <w:tcPr>
            <w:tcW w:w="1520" w:type="dxa"/>
            <w:vAlign w:val="bottom"/>
            <w:tcBorders>
              <w:bottom w:val="single" w:sz="8" w:color="0077C0"/>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5,828</w:t>
            </w:r>
          </w:p>
        </w:tc>
        <w:tc>
          <w:tcPr>
            <w:tcW w:w="220" w:type="dxa"/>
            <w:vAlign w:val="bottom"/>
            <w:tcBorders>
              <w:bottom w:val="single" w:sz="8" w:color="0077C0"/>
            </w:tcBorders>
            <w:shd w:val="clear" w:color="auto" w:fill="CCEEFF"/>
          </w:tcPr>
          <w:p>
            <w:pPr>
              <w:spacing w:after="0"/>
              <w:rPr>
                <w:sz w:val="21"/>
                <w:szCs w:val="21"/>
                <w:color w:val="auto"/>
              </w:rPr>
            </w:pPr>
          </w:p>
        </w:tc>
        <w:tc>
          <w:tcPr>
            <w:tcW w:w="142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0" w:type="dxa"/>
            <w:vAlign w:val="bottom"/>
          </w:tcPr>
          <w:p>
            <w:pPr>
              <w:spacing w:after="0"/>
              <w:rPr>
                <w:sz w:val="1"/>
                <w:szCs w:val="1"/>
                <w:color w:val="auto"/>
              </w:rPr>
            </w:pPr>
          </w:p>
        </w:tc>
      </w:tr>
      <w:tr>
        <w:trPr>
          <w:trHeight w:val="237"/>
        </w:trPr>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0077C0"/>
              </w:rPr>
              <w:t>Total Current Assets</w:t>
            </w:r>
          </w:p>
        </w:tc>
        <w:tc>
          <w:tcPr>
            <w:tcW w:w="16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56,129</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38,552</w:t>
            </w:r>
          </w:p>
        </w:tc>
        <w:tc>
          <w:tcPr>
            <w:tcW w:w="0" w:type="dxa"/>
            <w:vAlign w:val="bottom"/>
          </w:tcPr>
          <w:p>
            <w:pPr>
              <w:spacing w:after="0"/>
              <w:rPr>
                <w:sz w:val="1"/>
                <w:szCs w:val="1"/>
                <w:color w:val="auto"/>
              </w:rPr>
            </w:pPr>
          </w:p>
        </w:tc>
      </w:tr>
      <w:tr>
        <w:trPr>
          <w:trHeight w:val="243"/>
        </w:trPr>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receivables (less allowance: 2026 - $216; 2025 - $216)</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892</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43"/>
        </w:trPr>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Investments and advances</w:t>
            </w:r>
          </w:p>
        </w:tc>
        <w:tc>
          <w:tcPr>
            <w:tcW w:w="16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42,265</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43,867</w:t>
            </w:r>
          </w:p>
        </w:tc>
        <w:tc>
          <w:tcPr>
            <w:tcW w:w="0" w:type="dxa"/>
            <w:vAlign w:val="bottom"/>
          </w:tcPr>
          <w:p>
            <w:pPr>
              <w:spacing w:after="0"/>
              <w:rPr>
                <w:sz w:val="1"/>
                <w:szCs w:val="1"/>
                <w:color w:val="auto"/>
              </w:rPr>
            </w:pPr>
          </w:p>
        </w:tc>
      </w:tr>
      <w:tr>
        <w:trPr>
          <w:trHeight w:val="243"/>
        </w:trPr>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Properties, plant and equipment, at cost</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435,874</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434,955</w:t>
            </w:r>
          </w:p>
        </w:tc>
        <w:tc>
          <w:tcPr>
            <w:tcW w:w="0" w:type="dxa"/>
            <w:vAlign w:val="bottom"/>
          </w:tcPr>
          <w:p>
            <w:pPr>
              <w:spacing w:after="0"/>
              <w:rPr>
                <w:sz w:val="1"/>
                <w:szCs w:val="1"/>
                <w:color w:val="auto"/>
              </w:rPr>
            </w:pPr>
          </w:p>
        </w:tc>
      </w:tr>
      <w:tr>
        <w:trPr>
          <w:trHeight w:val="243"/>
        </w:trPr>
        <w:tc>
          <w:tcPr>
            <w:tcW w:w="79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 depletion and amortization</w:t>
            </w:r>
          </w:p>
        </w:tc>
        <w:tc>
          <w:tcPr>
            <w:tcW w:w="160" w:type="dxa"/>
            <w:vAlign w:val="bottom"/>
            <w:tcBorders>
              <w:bottom w:val="single" w:sz="8" w:color="0077C0"/>
            </w:tcBorders>
          </w:tcPr>
          <w:p>
            <w:pPr>
              <w:spacing w:after="0"/>
              <w:rPr>
                <w:sz w:val="21"/>
                <w:szCs w:val="21"/>
                <w:color w:val="auto"/>
              </w:rPr>
            </w:pPr>
          </w:p>
        </w:tc>
        <w:tc>
          <w:tcPr>
            <w:tcW w:w="1520" w:type="dxa"/>
            <w:vAlign w:val="bottom"/>
            <w:tcBorders>
              <w:bottom w:val="single" w:sz="8" w:color="0077C0"/>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224,177</w:t>
            </w:r>
          </w:p>
        </w:tc>
        <w:tc>
          <w:tcPr>
            <w:tcW w:w="220" w:type="dxa"/>
            <w:vAlign w:val="bottom"/>
            <w:tcBorders>
              <w:bottom w:val="single" w:sz="8" w:color="0077C0"/>
            </w:tcBorders>
          </w:tcPr>
          <w:p>
            <w:pPr>
              <w:spacing w:after="0"/>
              <w:rPr>
                <w:sz w:val="21"/>
                <w:szCs w:val="21"/>
                <w:color w:val="auto"/>
              </w:rPr>
            </w:pPr>
          </w:p>
        </w:tc>
        <w:tc>
          <w:tcPr>
            <w:tcW w:w="14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215,226</w:t>
            </w:r>
          </w:p>
        </w:tc>
        <w:tc>
          <w:tcPr>
            <w:tcW w:w="0" w:type="dxa"/>
            <w:vAlign w:val="bottom"/>
          </w:tcPr>
          <w:p>
            <w:pPr>
              <w:spacing w:after="0"/>
              <w:rPr>
                <w:sz w:val="1"/>
                <w:szCs w:val="1"/>
                <w:color w:val="auto"/>
              </w:rPr>
            </w:pPr>
          </w:p>
        </w:tc>
      </w:tr>
      <w:tr>
        <w:trPr>
          <w:trHeight w:val="236"/>
        </w:trPr>
        <w:tc>
          <w:tcPr>
            <w:tcW w:w="7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Properties, plant and equipment, net</w:t>
            </w: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211,697</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219,729</w:t>
            </w:r>
          </w:p>
        </w:tc>
        <w:tc>
          <w:tcPr>
            <w:tcW w:w="0" w:type="dxa"/>
            <w:vAlign w:val="bottom"/>
          </w:tcPr>
          <w:p>
            <w:pPr>
              <w:spacing w:after="0"/>
              <w:rPr>
                <w:sz w:val="1"/>
                <w:szCs w:val="1"/>
                <w:color w:val="auto"/>
              </w:rPr>
            </w:pPr>
          </w:p>
        </w:tc>
      </w:tr>
      <w:tr>
        <w:trPr>
          <w:trHeight w:val="243"/>
        </w:trPr>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16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17,321</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0" w:type="dxa"/>
            <w:vAlign w:val="bottom"/>
          </w:tcPr>
          <w:p>
            <w:pPr>
              <w:spacing w:after="0"/>
              <w:rPr>
                <w:sz w:val="1"/>
                <w:szCs w:val="1"/>
                <w:color w:val="auto"/>
              </w:rPr>
            </w:pPr>
          </w:p>
        </w:tc>
      </w:tr>
      <w:tr>
        <w:trPr>
          <w:trHeight w:val="243"/>
        </w:trPr>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4,568</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0" w:type="dxa"/>
            <w:vAlign w:val="bottom"/>
          </w:tcPr>
          <w:p>
            <w:pPr>
              <w:spacing w:after="0"/>
              <w:rPr>
                <w:sz w:val="1"/>
                <w:szCs w:val="1"/>
                <w:color w:val="auto"/>
              </w:rPr>
            </w:pPr>
          </w:p>
        </w:tc>
      </w:tr>
      <w:tr>
        <w:trPr>
          <w:trHeight w:val="243"/>
        </w:trPr>
        <w:tc>
          <w:tcPr>
            <w:tcW w:w="7920" w:type="dxa"/>
            <w:vAlign w:val="bottom"/>
            <w:tcBorders>
              <w:bottom w:val="single" w:sz="8" w:color="0077C0"/>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160" w:type="dxa"/>
            <w:vAlign w:val="bottom"/>
            <w:tcBorders>
              <w:bottom w:val="single" w:sz="8" w:color="0077C0"/>
            </w:tcBorders>
          </w:tcPr>
          <w:p>
            <w:pPr>
              <w:spacing w:after="0"/>
              <w:rPr>
                <w:sz w:val="21"/>
                <w:szCs w:val="21"/>
                <w:color w:val="auto"/>
              </w:rPr>
            </w:pPr>
          </w:p>
        </w:tc>
        <w:tc>
          <w:tcPr>
            <w:tcW w:w="1520" w:type="dxa"/>
            <w:vAlign w:val="bottom"/>
            <w:tcBorders>
              <w:bottom w:val="single" w:sz="8" w:color="0077C0"/>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914</w:t>
            </w:r>
          </w:p>
        </w:tc>
        <w:tc>
          <w:tcPr>
            <w:tcW w:w="220" w:type="dxa"/>
            <w:vAlign w:val="bottom"/>
            <w:tcBorders>
              <w:bottom w:val="single" w:sz="8" w:color="0077C0"/>
            </w:tcBorders>
          </w:tcPr>
          <w:p>
            <w:pPr>
              <w:spacing w:after="0"/>
              <w:rPr>
                <w:sz w:val="21"/>
                <w:szCs w:val="21"/>
                <w:color w:val="auto"/>
              </w:rPr>
            </w:pPr>
          </w:p>
        </w:tc>
        <w:tc>
          <w:tcPr>
            <w:tcW w:w="14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7"/>
        </w:trPr>
        <w:tc>
          <w:tcPr>
            <w:tcW w:w="7920" w:type="dxa"/>
            <w:vAlign w:val="bottom"/>
            <w:tcBorders>
              <w:bottom w:val="single" w:sz="8" w:color="0077C0"/>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077C0"/>
              </w:rPr>
              <w:t>Total Assets</w:t>
            </w:r>
          </w:p>
        </w:tc>
        <w:tc>
          <w:tcPr>
            <w:tcW w:w="16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0077C0"/>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333,786</w:t>
            </w:r>
          </w:p>
        </w:tc>
        <w:tc>
          <w:tcPr>
            <w:tcW w:w="22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324,012</w:t>
            </w:r>
          </w:p>
        </w:tc>
        <w:tc>
          <w:tcPr>
            <w:tcW w:w="0" w:type="dxa"/>
            <w:vAlign w:val="bottom"/>
          </w:tcPr>
          <w:p>
            <w:pPr>
              <w:spacing w:after="0"/>
              <w:rPr>
                <w:sz w:val="1"/>
                <w:szCs w:val="1"/>
                <w:color w:val="auto"/>
              </w:rPr>
            </w:pPr>
          </w:p>
        </w:tc>
      </w:tr>
      <w:tr>
        <w:trPr>
          <w:trHeight w:val="236"/>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0077C0"/>
              </w:rPr>
              <w:t>Liabilities and Equity</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731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43"/>
        </w:trPr>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26,862</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19,280</w:t>
            </w:r>
          </w:p>
        </w:tc>
        <w:tc>
          <w:tcPr>
            <w:tcW w:w="0" w:type="dxa"/>
            <w:vAlign w:val="bottom"/>
          </w:tcPr>
          <w:p>
            <w:pPr>
              <w:spacing w:after="0"/>
              <w:rPr>
                <w:sz w:val="1"/>
                <w:szCs w:val="1"/>
                <w:color w:val="auto"/>
              </w:rPr>
            </w:pPr>
          </w:p>
        </w:tc>
      </w:tr>
      <w:tr>
        <w:trPr>
          <w:trHeight w:val="243"/>
        </w:trPr>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10,480</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10,763</w:t>
            </w:r>
          </w:p>
        </w:tc>
        <w:tc>
          <w:tcPr>
            <w:tcW w:w="0" w:type="dxa"/>
            <w:vAlign w:val="bottom"/>
          </w:tcPr>
          <w:p>
            <w:pPr>
              <w:spacing w:after="0"/>
              <w:rPr>
                <w:sz w:val="1"/>
                <w:szCs w:val="1"/>
                <w:color w:val="auto"/>
              </w:rPr>
            </w:pPr>
          </w:p>
        </w:tc>
      </w:tr>
      <w:tr>
        <w:trPr>
          <w:trHeight w:val="243"/>
        </w:trPr>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Federal and other taxes on income</w:t>
            </w:r>
          </w:p>
        </w:tc>
        <w:tc>
          <w:tcPr>
            <w:tcW w:w="16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2,237</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43"/>
        </w:trPr>
        <w:tc>
          <w:tcPr>
            <w:tcW w:w="7920" w:type="dxa"/>
            <w:vAlign w:val="bottom"/>
            <w:tcBorders>
              <w:bottom w:val="single" w:sz="8" w:color="0077C0"/>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taxes payable</w:t>
            </w:r>
          </w:p>
        </w:tc>
        <w:tc>
          <w:tcPr>
            <w:tcW w:w="160" w:type="dxa"/>
            <w:vAlign w:val="bottom"/>
            <w:tcBorders>
              <w:bottom w:val="single" w:sz="8" w:color="0077C0"/>
            </w:tcBorders>
            <w:shd w:val="clear" w:color="auto" w:fill="CCEEFF"/>
          </w:tcPr>
          <w:p>
            <w:pPr>
              <w:spacing w:after="0"/>
              <w:rPr>
                <w:sz w:val="21"/>
                <w:szCs w:val="21"/>
                <w:color w:val="auto"/>
              </w:rPr>
            </w:pPr>
          </w:p>
        </w:tc>
        <w:tc>
          <w:tcPr>
            <w:tcW w:w="1520" w:type="dxa"/>
            <w:vAlign w:val="bottom"/>
            <w:tcBorders>
              <w:bottom w:val="single" w:sz="8" w:color="0077C0"/>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1,517</w:t>
            </w:r>
          </w:p>
        </w:tc>
        <w:tc>
          <w:tcPr>
            <w:tcW w:w="220" w:type="dxa"/>
            <w:vAlign w:val="bottom"/>
            <w:tcBorders>
              <w:bottom w:val="single" w:sz="8" w:color="0077C0"/>
            </w:tcBorders>
            <w:shd w:val="clear" w:color="auto" w:fill="CCEEFF"/>
          </w:tcPr>
          <w:p>
            <w:pPr>
              <w:spacing w:after="0"/>
              <w:rPr>
                <w:sz w:val="21"/>
                <w:szCs w:val="21"/>
                <w:color w:val="auto"/>
              </w:rPr>
            </w:pPr>
          </w:p>
        </w:tc>
        <w:tc>
          <w:tcPr>
            <w:tcW w:w="142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236"/>
        </w:trPr>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0077C0"/>
              </w:rPr>
              <w:t>Total Current Liabilities</w:t>
            </w:r>
          </w:p>
        </w:tc>
        <w:tc>
          <w:tcPr>
            <w:tcW w:w="16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41,827</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33,387</w:t>
            </w:r>
          </w:p>
        </w:tc>
        <w:tc>
          <w:tcPr>
            <w:tcW w:w="0" w:type="dxa"/>
            <w:vAlign w:val="bottom"/>
          </w:tcPr>
          <w:p>
            <w:pPr>
              <w:spacing w:after="0"/>
              <w:rPr>
                <w:sz w:val="1"/>
                <w:szCs w:val="1"/>
                <w:color w:val="auto"/>
              </w:rPr>
            </w:pPr>
          </w:p>
        </w:tc>
      </w:tr>
      <w:tr>
        <w:trPr>
          <w:trHeight w:val="243"/>
        </w:trPr>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32,803</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39,781</w:t>
            </w:r>
          </w:p>
        </w:tc>
        <w:tc>
          <w:tcPr>
            <w:tcW w:w="0" w:type="dxa"/>
            <w:vAlign w:val="bottom"/>
          </w:tcPr>
          <w:p>
            <w:pPr>
              <w:spacing w:after="0"/>
              <w:rPr>
                <w:sz w:val="1"/>
                <w:szCs w:val="1"/>
                <w:color w:val="auto"/>
              </w:rPr>
            </w:pPr>
          </w:p>
        </w:tc>
      </w:tr>
      <w:tr>
        <w:trPr>
          <w:trHeight w:val="243"/>
        </w:trPr>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credits and other noncurrent obligations</w:t>
            </w:r>
          </w:p>
        </w:tc>
        <w:tc>
          <w:tcPr>
            <w:tcW w:w="16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24,668</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24,543</w:t>
            </w:r>
          </w:p>
        </w:tc>
        <w:tc>
          <w:tcPr>
            <w:tcW w:w="0" w:type="dxa"/>
            <w:vAlign w:val="bottom"/>
          </w:tcPr>
          <w:p>
            <w:pPr>
              <w:spacing w:after="0"/>
              <w:rPr>
                <w:sz w:val="1"/>
                <w:szCs w:val="1"/>
                <w:color w:val="auto"/>
              </w:rPr>
            </w:pPr>
          </w:p>
        </w:tc>
      </w:tr>
      <w:tr>
        <w:trPr>
          <w:trHeight w:val="243"/>
        </w:trPr>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deferred income taxes</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30,693</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30,014</w:t>
            </w:r>
          </w:p>
        </w:tc>
        <w:tc>
          <w:tcPr>
            <w:tcW w:w="0" w:type="dxa"/>
            <w:vAlign w:val="bottom"/>
          </w:tcPr>
          <w:p>
            <w:pPr>
              <w:spacing w:after="0"/>
              <w:rPr>
                <w:sz w:val="1"/>
                <w:szCs w:val="1"/>
                <w:color w:val="auto"/>
              </w:rPr>
            </w:pPr>
          </w:p>
        </w:tc>
      </w:tr>
      <w:tr>
        <w:trPr>
          <w:trHeight w:val="243"/>
        </w:trPr>
        <w:tc>
          <w:tcPr>
            <w:tcW w:w="7920" w:type="dxa"/>
            <w:vAlign w:val="bottom"/>
            <w:tcBorders>
              <w:bottom w:val="single" w:sz="8" w:color="0077C0"/>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Noncurrent employee benefit plans</w:t>
            </w:r>
          </w:p>
        </w:tc>
        <w:tc>
          <w:tcPr>
            <w:tcW w:w="160" w:type="dxa"/>
            <w:vAlign w:val="bottom"/>
            <w:tcBorders>
              <w:bottom w:val="single" w:sz="8" w:color="0077C0"/>
            </w:tcBorders>
          </w:tcPr>
          <w:p>
            <w:pPr>
              <w:spacing w:after="0"/>
              <w:rPr>
                <w:sz w:val="21"/>
                <w:szCs w:val="21"/>
                <w:color w:val="auto"/>
              </w:rPr>
            </w:pPr>
          </w:p>
        </w:tc>
        <w:tc>
          <w:tcPr>
            <w:tcW w:w="1520" w:type="dxa"/>
            <w:vAlign w:val="bottom"/>
            <w:tcBorders>
              <w:bottom w:val="single" w:sz="8" w:color="0077C0"/>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3,818</w:t>
            </w:r>
          </w:p>
        </w:tc>
        <w:tc>
          <w:tcPr>
            <w:tcW w:w="220" w:type="dxa"/>
            <w:vAlign w:val="bottom"/>
            <w:tcBorders>
              <w:bottom w:val="single" w:sz="8" w:color="0077C0"/>
            </w:tcBorders>
          </w:tcPr>
          <w:p>
            <w:pPr>
              <w:spacing w:after="0"/>
              <w:rPr>
                <w:sz w:val="21"/>
                <w:szCs w:val="21"/>
                <w:color w:val="auto"/>
              </w:rPr>
            </w:pPr>
          </w:p>
        </w:tc>
        <w:tc>
          <w:tcPr>
            <w:tcW w:w="14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0" w:type="dxa"/>
            <w:vAlign w:val="bottom"/>
          </w:tcPr>
          <w:p>
            <w:pPr>
              <w:spacing w:after="0"/>
              <w:rPr>
                <w:sz w:val="1"/>
                <w:szCs w:val="1"/>
                <w:color w:val="auto"/>
              </w:rPr>
            </w:pPr>
          </w:p>
        </w:tc>
      </w:tr>
      <w:tr>
        <w:trPr>
          <w:trHeight w:val="237"/>
        </w:trPr>
        <w:tc>
          <w:tcPr>
            <w:tcW w:w="7920" w:type="dxa"/>
            <w:vAlign w:val="bottom"/>
            <w:tcBorders>
              <w:bottom w:val="single" w:sz="8" w:color="0077C0"/>
            </w:tcBorders>
            <w:gridSpan w:val="2"/>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0077C0"/>
              </w:rPr>
              <w:t>Total Liabilities</w:t>
            </w:r>
            <w:r>
              <w:rPr>
                <w:rFonts w:ascii="Times New Roman" w:cs="Times New Roman" w:eastAsia="Times New Roman" w:hAnsi="Times New Roman"/>
                <w:sz w:val="23"/>
                <w:szCs w:val="23"/>
                <w:b w:val="1"/>
                <w:bCs w:val="1"/>
                <w:color w:val="0077C0"/>
                <w:vertAlign w:val="superscript"/>
              </w:rPr>
              <w:t>*</w:t>
            </w:r>
          </w:p>
        </w:tc>
        <w:tc>
          <w:tcPr>
            <w:tcW w:w="16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0077C0"/>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133,809</w:t>
            </w:r>
          </w:p>
        </w:tc>
        <w:tc>
          <w:tcPr>
            <w:tcW w:w="22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131,836</w:t>
            </w:r>
          </w:p>
        </w:tc>
        <w:tc>
          <w:tcPr>
            <w:tcW w:w="0" w:type="dxa"/>
            <w:vAlign w:val="bottom"/>
          </w:tcPr>
          <w:p>
            <w:pPr>
              <w:spacing w:after="0"/>
              <w:rPr>
                <w:sz w:val="1"/>
                <w:szCs w:val="1"/>
                <w:color w:val="auto"/>
              </w:rPr>
            </w:pPr>
          </w:p>
        </w:tc>
      </w:tr>
      <w:tr>
        <w:trPr>
          <w:trHeight w:val="236"/>
        </w:trPr>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Preferred stock (authorized 100,000,000 shares; $1.00 par value; none issued)</w:t>
            </w:r>
          </w:p>
        </w:tc>
        <w:tc>
          <w:tcPr>
            <w:tcW w:w="16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92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(authorized 6,000,000,000 shares, $0.75 par value; 2,442,676,580 shares issued at</w:t>
            </w:r>
          </w:p>
        </w:tc>
        <w:tc>
          <w:tcPr>
            <w:tcW w:w="16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1,832</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September 30, 2026 and December 31, 2025)</w:t>
            </w:r>
          </w:p>
        </w:tc>
        <w:tc>
          <w:tcPr>
            <w:tcW w:w="160" w:type="dxa"/>
            <w:vAlign w:val="bottom"/>
            <w:shd w:val="clear" w:color="auto" w:fill="CCEEFF"/>
          </w:tcPr>
          <w:p>
            <w:pPr>
              <w:spacing w:after="0"/>
              <w:rPr>
                <w:sz w:val="20"/>
                <w:szCs w:val="20"/>
                <w:color w:val="auto"/>
              </w:rPr>
            </w:pPr>
          </w:p>
        </w:tc>
        <w:tc>
          <w:tcPr>
            <w:tcW w:w="152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0" w:type="dxa"/>
            <w:vAlign w:val="bottom"/>
          </w:tcPr>
          <w:p>
            <w:pPr>
              <w:spacing w:after="0"/>
              <w:rPr>
                <w:sz w:val="1"/>
                <w:szCs w:val="1"/>
                <w:color w:val="auto"/>
              </w:rPr>
            </w:pPr>
          </w:p>
        </w:tc>
      </w:tr>
      <w:tr>
        <w:trPr>
          <w:trHeight w:val="243"/>
        </w:trPr>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6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34,100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33,886</w:t>
            </w:r>
          </w:p>
        </w:tc>
        <w:tc>
          <w:tcPr>
            <w:tcW w:w="0" w:type="dxa"/>
            <w:vAlign w:val="bottom"/>
          </w:tcPr>
          <w:p>
            <w:pPr>
              <w:spacing w:after="0"/>
              <w:rPr>
                <w:sz w:val="1"/>
                <w:szCs w:val="1"/>
                <w:color w:val="auto"/>
              </w:rPr>
            </w:pPr>
          </w:p>
        </w:tc>
      </w:tr>
      <w:tr>
        <w:trPr>
          <w:trHeight w:val="243"/>
        </w:trPr>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219,027</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205,365</w:t>
            </w:r>
          </w:p>
        </w:tc>
        <w:tc>
          <w:tcPr>
            <w:tcW w:w="0" w:type="dxa"/>
            <w:vAlign w:val="bottom"/>
          </w:tcPr>
          <w:p>
            <w:pPr>
              <w:spacing w:after="0"/>
              <w:rPr>
                <w:sz w:val="1"/>
                <w:szCs w:val="1"/>
                <w:color w:val="auto"/>
              </w:rPr>
            </w:pPr>
          </w:p>
        </w:tc>
      </w:tr>
      <w:tr>
        <w:trPr>
          <w:trHeight w:val="243"/>
        </w:trPr>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losses</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(1,984)</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0" w:type="dxa"/>
            <w:vAlign w:val="bottom"/>
          </w:tcPr>
          <w:p>
            <w:pPr>
              <w:spacing w:after="0"/>
              <w:rPr>
                <w:sz w:val="1"/>
                <w:szCs w:val="1"/>
                <w:color w:val="auto"/>
              </w:rPr>
            </w:pPr>
          </w:p>
        </w:tc>
      </w:tr>
      <w:tr>
        <w:trPr>
          <w:trHeight w:val="243"/>
        </w:trPr>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compensation and benefit plan trust</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198"/>
        </w:trPr>
        <w:tc>
          <w:tcPr>
            <w:tcW w:w="792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Treasury stock, at cost (477,254,894 and 448,260,458 shares at September 30, 2026 and December 31,</w:t>
            </w:r>
          </w:p>
        </w:tc>
        <w:tc>
          <w:tcPr>
            <w:tcW w:w="160" w:type="dxa"/>
            <w:vAlign w:val="bottom"/>
          </w:tcPr>
          <w:p>
            <w:pPr>
              <w:spacing w:after="0"/>
              <w:rPr>
                <w:sz w:val="17"/>
                <w:szCs w:val="17"/>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(58,408)</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20" w:type="dxa"/>
            <w:vAlign w:val="bottom"/>
            <w:tcBorders>
              <w:bottom w:val="single" w:sz="8" w:color="0077C0"/>
            </w:tcBorders>
            <w:gridSpan w:val="2"/>
          </w:tcPr>
          <w:p>
            <w:pPr>
              <w:ind w:left="300"/>
              <w:spacing w:after="0"/>
              <w:rPr>
                <w:sz w:val="20"/>
                <w:szCs w:val="20"/>
                <w:color w:val="auto"/>
              </w:rPr>
            </w:pPr>
            <w:r>
              <w:rPr>
                <w:rFonts w:ascii="Times New Roman" w:cs="Times New Roman" w:eastAsia="Times New Roman" w:hAnsi="Times New Roman"/>
                <w:sz w:val="18"/>
                <w:szCs w:val="18"/>
                <w:color w:val="auto"/>
              </w:rPr>
              <w:t>2025, respectively)</w:t>
            </w:r>
          </w:p>
        </w:tc>
        <w:tc>
          <w:tcPr>
            <w:tcW w:w="160" w:type="dxa"/>
            <w:vAlign w:val="bottom"/>
            <w:tcBorders>
              <w:bottom w:val="single" w:sz="8" w:color="0077C0"/>
            </w:tcBorders>
          </w:tcPr>
          <w:p>
            <w:pPr>
              <w:spacing w:after="0"/>
              <w:rPr>
                <w:sz w:val="20"/>
                <w:szCs w:val="20"/>
                <w:color w:val="auto"/>
              </w:rPr>
            </w:pPr>
          </w:p>
        </w:tc>
        <w:tc>
          <w:tcPr>
            <w:tcW w:w="1520" w:type="dxa"/>
            <w:vAlign w:val="bottom"/>
            <w:tcBorders>
              <w:bottom w:val="single" w:sz="8" w:color="0077C0"/>
            </w:tcBorders>
            <w:vMerge w:val="continue"/>
          </w:tcPr>
          <w:p>
            <w:pPr>
              <w:spacing w:after="0"/>
              <w:rPr>
                <w:sz w:val="20"/>
                <w:szCs w:val="20"/>
                <w:color w:val="auto"/>
              </w:rPr>
            </w:pPr>
          </w:p>
        </w:tc>
        <w:tc>
          <w:tcPr>
            <w:tcW w:w="220" w:type="dxa"/>
            <w:vAlign w:val="bottom"/>
            <w:tcBorders>
              <w:bottom w:val="single" w:sz="8" w:color="0077C0"/>
            </w:tcBorders>
          </w:tcPr>
          <w:p>
            <w:pPr>
              <w:spacing w:after="0"/>
              <w:rPr>
                <w:sz w:val="20"/>
                <w:szCs w:val="20"/>
                <w:color w:val="auto"/>
              </w:rPr>
            </w:pPr>
          </w:p>
        </w:tc>
        <w:tc>
          <w:tcPr>
            <w:tcW w:w="14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(51,929)</w:t>
            </w:r>
          </w:p>
        </w:tc>
        <w:tc>
          <w:tcPr>
            <w:tcW w:w="0" w:type="dxa"/>
            <w:vAlign w:val="bottom"/>
          </w:tcPr>
          <w:p>
            <w:pPr>
              <w:spacing w:after="0"/>
              <w:rPr>
                <w:sz w:val="1"/>
                <w:szCs w:val="1"/>
                <w:color w:val="auto"/>
              </w:rPr>
            </w:pPr>
          </w:p>
        </w:tc>
      </w:tr>
      <w:tr>
        <w:trPr>
          <w:trHeight w:val="237"/>
        </w:trPr>
        <w:tc>
          <w:tcPr>
            <w:tcW w:w="7920" w:type="dxa"/>
            <w:vAlign w:val="bottom"/>
            <w:tcBorders>
              <w:bottom w:val="single" w:sz="8" w:color="0077C0"/>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0077C0"/>
              </w:rPr>
              <w:t>Total Chevron Corporation Stockholders’ Equity</w:t>
            </w:r>
          </w:p>
        </w:tc>
        <w:tc>
          <w:tcPr>
            <w:tcW w:w="160" w:type="dxa"/>
            <w:vAlign w:val="bottom"/>
            <w:tcBorders>
              <w:bottom w:val="single" w:sz="8" w:color="0077C0"/>
            </w:tcBorders>
            <w:shd w:val="clear" w:color="auto" w:fill="CCEEFF"/>
          </w:tcPr>
          <w:p>
            <w:pPr>
              <w:spacing w:after="0"/>
              <w:rPr>
                <w:sz w:val="20"/>
                <w:szCs w:val="20"/>
                <w:color w:val="auto"/>
              </w:rPr>
            </w:pPr>
          </w:p>
        </w:tc>
        <w:tc>
          <w:tcPr>
            <w:tcW w:w="1520" w:type="dxa"/>
            <w:vAlign w:val="bottom"/>
            <w:tcBorders>
              <w:bottom w:val="single" w:sz="8" w:color="0077C0"/>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194,327</w:t>
            </w:r>
          </w:p>
        </w:tc>
        <w:tc>
          <w:tcPr>
            <w:tcW w:w="220" w:type="dxa"/>
            <w:vAlign w:val="bottom"/>
            <w:tcBorders>
              <w:bottom w:val="single" w:sz="8" w:color="0077C0"/>
            </w:tcBorders>
            <w:shd w:val="clear" w:color="auto" w:fill="CCEEFF"/>
          </w:tcPr>
          <w:p>
            <w:pPr>
              <w:spacing w:after="0"/>
              <w:rPr>
                <w:sz w:val="20"/>
                <w:szCs w:val="20"/>
                <w:color w:val="auto"/>
              </w:rPr>
            </w:pPr>
          </w:p>
        </w:tc>
        <w:tc>
          <w:tcPr>
            <w:tcW w:w="142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186,450</w:t>
            </w:r>
          </w:p>
        </w:tc>
        <w:tc>
          <w:tcPr>
            <w:tcW w:w="0" w:type="dxa"/>
            <w:vAlign w:val="bottom"/>
          </w:tcPr>
          <w:p>
            <w:pPr>
              <w:spacing w:after="0"/>
              <w:rPr>
                <w:sz w:val="1"/>
                <w:szCs w:val="1"/>
                <w:color w:val="auto"/>
              </w:rPr>
            </w:pPr>
          </w:p>
        </w:tc>
      </w:tr>
      <w:tr>
        <w:trPr>
          <w:trHeight w:val="236"/>
        </w:trPr>
        <w:tc>
          <w:tcPr>
            <w:tcW w:w="7920" w:type="dxa"/>
            <w:vAlign w:val="bottom"/>
            <w:tcBorders>
              <w:bottom w:val="single" w:sz="8" w:color="0077C0"/>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0077C0"/>
            </w:tcBorders>
          </w:tcPr>
          <w:p>
            <w:pPr>
              <w:spacing w:after="0"/>
              <w:rPr>
                <w:sz w:val="20"/>
                <w:szCs w:val="20"/>
                <w:color w:val="auto"/>
              </w:rPr>
            </w:pPr>
          </w:p>
        </w:tc>
        <w:tc>
          <w:tcPr>
            <w:tcW w:w="1520" w:type="dxa"/>
            <w:vAlign w:val="bottom"/>
            <w:tcBorders>
              <w:bottom w:val="single" w:sz="8" w:color="0077C0"/>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5,650</w:t>
            </w:r>
          </w:p>
        </w:tc>
        <w:tc>
          <w:tcPr>
            <w:tcW w:w="220" w:type="dxa"/>
            <w:vAlign w:val="bottom"/>
            <w:tcBorders>
              <w:bottom w:val="single" w:sz="8" w:color="0077C0"/>
            </w:tcBorders>
          </w:tcPr>
          <w:p>
            <w:pPr>
              <w:spacing w:after="0"/>
              <w:rPr>
                <w:sz w:val="20"/>
                <w:szCs w:val="20"/>
                <w:color w:val="auto"/>
              </w:rPr>
            </w:pPr>
          </w:p>
        </w:tc>
        <w:tc>
          <w:tcPr>
            <w:tcW w:w="14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0" w:type="dxa"/>
            <w:vAlign w:val="bottom"/>
          </w:tcPr>
          <w:p>
            <w:pPr>
              <w:spacing w:after="0"/>
              <w:rPr>
                <w:sz w:val="1"/>
                <w:szCs w:val="1"/>
                <w:color w:val="auto"/>
              </w:rPr>
            </w:pPr>
          </w:p>
        </w:tc>
      </w:tr>
      <w:tr>
        <w:trPr>
          <w:trHeight w:val="236"/>
        </w:trPr>
        <w:tc>
          <w:tcPr>
            <w:tcW w:w="7920" w:type="dxa"/>
            <w:vAlign w:val="bottom"/>
            <w:tcBorders>
              <w:bottom w:val="single" w:sz="8" w:color="0077C0"/>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0077C0"/>
              </w:rPr>
              <w:t>Total Equity</w:t>
            </w:r>
          </w:p>
        </w:tc>
        <w:tc>
          <w:tcPr>
            <w:tcW w:w="160" w:type="dxa"/>
            <w:vAlign w:val="bottom"/>
            <w:tcBorders>
              <w:bottom w:val="single" w:sz="8" w:color="0077C0"/>
            </w:tcBorders>
            <w:shd w:val="clear" w:color="auto" w:fill="CCEEFF"/>
          </w:tcPr>
          <w:p>
            <w:pPr>
              <w:spacing w:after="0"/>
              <w:rPr>
                <w:sz w:val="20"/>
                <w:szCs w:val="20"/>
                <w:color w:val="auto"/>
              </w:rPr>
            </w:pPr>
          </w:p>
        </w:tc>
        <w:tc>
          <w:tcPr>
            <w:tcW w:w="1520" w:type="dxa"/>
            <w:vAlign w:val="bottom"/>
            <w:tcBorders>
              <w:bottom w:val="single" w:sz="8" w:color="0077C0"/>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199,977</w:t>
            </w:r>
          </w:p>
        </w:tc>
        <w:tc>
          <w:tcPr>
            <w:tcW w:w="220" w:type="dxa"/>
            <w:vAlign w:val="bottom"/>
            <w:tcBorders>
              <w:bottom w:val="single" w:sz="8" w:color="0077C0"/>
            </w:tcBorders>
            <w:shd w:val="clear" w:color="auto" w:fill="CCEEFF"/>
          </w:tcPr>
          <w:p>
            <w:pPr>
              <w:spacing w:after="0"/>
              <w:rPr>
                <w:sz w:val="20"/>
                <w:szCs w:val="20"/>
                <w:color w:val="auto"/>
              </w:rPr>
            </w:pPr>
          </w:p>
        </w:tc>
        <w:tc>
          <w:tcPr>
            <w:tcW w:w="142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192,176</w:t>
            </w:r>
          </w:p>
        </w:tc>
        <w:tc>
          <w:tcPr>
            <w:tcW w:w="0" w:type="dxa"/>
            <w:vAlign w:val="bottom"/>
          </w:tcPr>
          <w:p>
            <w:pPr>
              <w:spacing w:after="0"/>
              <w:rPr>
                <w:sz w:val="1"/>
                <w:szCs w:val="1"/>
                <w:color w:val="auto"/>
              </w:rPr>
            </w:pPr>
          </w:p>
        </w:tc>
      </w:tr>
      <w:tr>
        <w:trPr>
          <w:trHeight w:val="236"/>
        </w:trPr>
        <w:tc>
          <w:tcPr>
            <w:tcW w:w="7920" w:type="dxa"/>
            <w:vAlign w:val="bottom"/>
            <w:tcBorders>
              <w:bottom w:val="single" w:sz="8" w:color="0077C0"/>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0077C0"/>
              </w:rPr>
              <w:t>Total Liabilities and Equity</w:t>
            </w:r>
          </w:p>
        </w:tc>
        <w:tc>
          <w:tcPr>
            <w:tcW w:w="1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0077C0"/>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333,786</w:t>
            </w:r>
          </w:p>
        </w:tc>
        <w:tc>
          <w:tcPr>
            <w:tcW w:w="2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324,012</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40" w:hanging="114"/>
        <w:spacing w:after="0"/>
        <w:tabs>
          <w:tab w:leader="none" w:pos="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w:t>
      </w:r>
      <w:r>
        <w:rPr>
          <w:rFonts w:ascii="Times New Roman" w:cs="Times New Roman" w:eastAsia="Times New Roman" w:hAnsi="Times New Roman"/>
          <w:sz w:val="14"/>
          <w:szCs w:val="14"/>
          <w:u w:val="single" w:color="auto"/>
          <w:color w:val="0000FF"/>
        </w:rPr>
        <w:t>Note 12 Other Contingencies and Commitments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CHEVRON CORPORATION AND SUBSIDIARIES</w:t>
      </w:r>
    </w:p>
    <w:p>
      <w:pPr>
        <w:spacing w:after="0" w:line="1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5"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778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8890</wp:posOffset>
            </wp:positionV>
            <wp:extent cx="2185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0" w:type="dxa"/>
            <w:vAlign w:val="bottom"/>
          </w:tcPr>
          <w:p>
            <w:pPr>
              <w:spacing w:after="0"/>
              <w:rPr>
                <w:sz w:val="18"/>
                <w:szCs w:val="18"/>
                <w:color w:val="auto"/>
              </w:rPr>
            </w:pPr>
          </w:p>
        </w:tc>
        <w:tc>
          <w:tcPr>
            <w:tcW w:w="9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40" w:type="dxa"/>
            <w:vAlign w:val="bottom"/>
            <w:tcBorders>
              <w:bottom w:val="single" w:sz="8" w:color="0077C0"/>
            </w:tcBorders>
          </w:tcPr>
          <w:p>
            <w:pPr>
              <w:spacing w:after="0"/>
              <w:rPr>
                <w:sz w:val="18"/>
                <w:szCs w:val="18"/>
                <w:color w:val="auto"/>
              </w:rPr>
            </w:pPr>
          </w:p>
        </w:tc>
        <w:tc>
          <w:tcPr>
            <w:tcW w:w="720" w:type="dxa"/>
            <w:vAlign w:val="bottom"/>
            <w:tcBorders>
              <w:bottom w:val="single" w:sz="8" w:color="0077C0"/>
            </w:tcBorders>
          </w:tcPr>
          <w:p>
            <w:pPr>
              <w:spacing w:after="0"/>
              <w:rPr>
                <w:sz w:val="18"/>
                <w:szCs w:val="18"/>
                <w:color w:val="auto"/>
              </w:rPr>
            </w:pPr>
          </w:p>
        </w:tc>
        <w:tc>
          <w:tcPr>
            <w:tcW w:w="1000" w:type="dxa"/>
            <w:vAlign w:val="bottom"/>
            <w:tcBorders>
              <w:bottom w:val="single" w:sz="8" w:color="0077C0"/>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23"/>
        </w:trPr>
        <w:tc>
          <w:tcPr>
            <w:tcW w:w="7800" w:type="dxa"/>
            <w:vAlign w:val="bottom"/>
            <w:tcBorders>
              <w:bottom w:val="single" w:sz="8" w:color="0077C0"/>
            </w:tcBorders>
          </w:tcPr>
          <w:p>
            <w:pPr>
              <w:spacing w:after="0"/>
              <w:rPr>
                <w:sz w:val="19"/>
                <w:szCs w:val="19"/>
                <w:color w:val="auto"/>
              </w:rPr>
            </w:pPr>
          </w:p>
        </w:tc>
        <w:tc>
          <w:tcPr>
            <w:tcW w:w="980" w:type="dxa"/>
            <w:vAlign w:val="bottom"/>
            <w:tcBorders>
              <w:bottom w:val="single" w:sz="8" w:color="0077C0"/>
            </w:tcBorders>
          </w:tcPr>
          <w:p>
            <w:pPr>
              <w:spacing w:after="0"/>
              <w:rPr>
                <w:sz w:val="19"/>
                <w:szCs w:val="19"/>
                <w:color w:val="auto"/>
              </w:rPr>
            </w:pPr>
          </w:p>
        </w:tc>
        <w:tc>
          <w:tcPr>
            <w:tcW w:w="1460" w:type="dxa"/>
            <w:vAlign w:val="bottom"/>
            <w:tcBorders>
              <w:bottom w:val="single" w:sz="8" w:color="0077C0"/>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(Millions of dollars)</w:t>
            </w:r>
          </w:p>
        </w:tc>
        <w:tc>
          <w:tcPr>
            <w:tcW w:w="1000" w:type="dxa"/>
            <w:vAlign w:val="bottom"/>
            <w:tcBorders>
              <w:bottom w:val="single" w:sz="8" w:color="0077C0"/>
            </w:tcBorders>
          </w:tcPr>
          <w:p>
            <w:pPr>
              <w:spacing w:after="0"/>
              <w:rPr>
                <w:sz w:val="19"/>
                <w:szCs w:val="19"/>
                <w:color w:val="auto"/>
              </w:rPr>
            </w:pPr>
          </w:p>
        </w:tc>
      </w:tr>
      <w:tr>
        <w:trPr>
          <w:trHeight w:val="23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77C0"/>
              </w:rPr>
              <w:t>Operating Activities</w:t>
            </w: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24,555</w:t>
            </w:r>
          </w:p>
        </w:tc>
        <w:tc>
          <w:tcPr>
            <w:tcW w:w="7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w:t>
            </w:r>
          </w:p>
        </w:tc>
      </w:tr>
      <w:tr>
        <w:trPr>
          <w:trHeight w:val="24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w:t>
            </w:r>
          </w:p>
        </w:tc>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3"/>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9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18,162</w:t>
            </w:r>
          </w:p>
        </w:tc>
        <w:tc>
          <w:tcPr>
            <w:tcW w:w="7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14,248</w:t>
            </w:r>
          </w:p>
        </w:tc>
      </w:tr>
      <w:tr>
        <w:trPr>
          <w:trHeight w:val="243"/>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Dry hole expense</w:t>
            </w:r>
          </w:p>
        </w:tc>
        <w:tc>
          <w:tcPr>
            <w:tcW w:w="9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203</w:t>
            </w:r>
          </w:p>
        </w:tc>
        <w:tc>
          <w:tcPr>
            <w:tcW w:w="7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43"/>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more (less) than income from equity affiliates</w:t>
            </w:r>
          </w:p>
        </w:tc>
        <w:tc>
          <w:tcPr>
            <w:tcW w:w="9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797</w:t>
            </w:r>
          </w:p>
        </w:tc>
        <w:tc>
          <w:tcPr>
            <w:tcW w:w="7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r>
      <w:tr>
        <w:trPr>
          <w:trHeight w:val="243"/>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before-tax losses (gains) on asset retirements and sales</w:t>
            </w:r>
          </w:p>
        </w:tc>
        <w:tc>
          <w:tcPr>
            <w:tcW w:w="9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(361)</w:t>
            </w:r>
          </w:p>
        </w:tc>
        <w:tc>
          <w:tcPr>
            <w:tcW w:w="7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43"/>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foreign currency effects</w:t>
            </w:r>
          </w:p>
        </w:tc>
        <w:tc>
          <w:tcPr>
            <w:tcW w:w="9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267</w:t>
            </w:r>
          </w:p>
        </w:tc>
        <w:tc>
          <w:tcPr>
            <w:tcW w:w="7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43"/>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9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170</w:t>
            </w:r>
          </w:p>
        </w:tc>
        <w:tc>
          <w:tcPr>
            <w:tcW w:w="7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43"/>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decrease (increase) in operating working capital</w:t>
            </w:r>
          </w:p>
        </w:tc>
        <w:tc>
          <w:tcPr>
            <w:tcW w:w="9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(2,218)</w:t>
            </w:r>
          </w:p>
        </w:tc>
        <w:tc>
          <w:tcPr>
            <w:tcW w:w="7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r>
      <w:tr>
        <w:trPr>
          <w:trHeight w:val="243"/>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Decrease (increase) in long-term receivables</w:t>
            </w:r>
          </w:p>
        </w:tc>
        <w:tc>
          <w:tcPr>
            <w:tcW w:w="9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143</w:t>
            </w:r>
          </w:p>
        </w:tc>
        <w:tc>
          <w:tcPr>
            <w:tcW w:w="7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43"/>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decrease (increase) in other deferred charges</w:t>
            </w:r>
          </w:p>
        </w:tc>
        <w:tc>
          <w:tcPr>
            <w:tcW w:w="9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36</w:t>
            </w:r>
          </w:p>
        </w:tc>
        <w:tc>
          <w:tcPr>
            <w:tcW w:w="7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43"/>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contributions to employee pension plans</w:t>
            </w:r>
          </w:p>
        </w:tc>
        <w:tc>
          <w:tcPr>
            <w:tcW w:w="9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(538)</w:t>
            </w:r>
          </w:p>
        </w:tc>
        <w:tc>
          <w:tcPr>
            <w:tcW w:w="7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43"/>
        </w:trPr>
        <w:tc>
          <w:tcPr>
            <w:tcW w:w="7800" w:type="dxa"/>
            <w:vAlign w:val="bottom"/>
            <w:tcBorders>
              <w:bottom w:val="single" w:sz="8" w:color="0077C0"/>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0077C0"/>
            </w:tcBorders>
            <w:shd w:val="clear" w:color="auto" w:fill="CCEEFF"/>
          </w:tcPr>
          <w:p>
            <w:pPr>
              <w:spacing w:after="0"/>
              <w:rPr>
                <w:sz w:val="21"/>
                <w:szCs w:val="21"/>
                <w:color w:val="auto"/>
              </w:rPr>
            </w:pPr>
          </w:p>
        </w:tc>
        <w:tc>
          <w:tcPr>
            <w:tcW w:w="740" w:type="dxa"/>
            <w:vAlign w:val="bottom"/>
            <w:tcBorders>
              <w:bottom w:val="single" w:sz="8" w:color="0077C0"/>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w:t>
            </w:r>
          </w:p>
        </w:tc>
        <w:tc>
          <w:tcPr>
            <w:tcW w:w="720" w:type="dxa"/>
            <w:vAlign w:val="bottom"/>
            <w:tcBorders>
              <w:bottom w:val="single" w:sz="8" w:color="0077C0"/>
            </w:tcBorders>
            <w:shd w:val="clear" w:color="auto" w:fill="CCEEFF"/>
          </w:tcPr>
          <w:p>
            <w:pPr>
              <w:spacing w:after="0"/>
              <w:rPr>
                <w:sz w:val="21"/>
                <w:szCs w:val="21"/>
                <w:color w:val="auto"/>
              </w:rPr>
            </w:pPr>
          </w:p>
        </w:tc>
        <w:tc>
          <w:tcPr>
            <w:tcW w:w="10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7"/>
        </w:trPr>
        <w:tc>
          <w:tcPr>
            <w:tcW w:w="78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b w:val="1"/>
                <w:bCs w:val="1"/>
                <w:color w:val="0077C0"/>
              </w:rPr>
              <w:t>Net Cash Provided by Operating Activities</w:t>
            </w:r>
          </w:p>
        </w:tc>
        <w:tc>
          <w:tcPr>
            <w:tcW w:w="980" w:type="dxa"/>
            <w:vAlign w:val="bottom"/>
            <w:tcBorders>
              <w:bottom w:val="single" w:sz="8" w:color="0077C0"/>
            </w:tcBorders>
          </w:tcPr>
          <w:p>
            <w:pPr>
              <w:spacing w:after="0"/>
              <w:rPr>
                <w:sz w:val="20"/>
                <w:szCs w:val="20"/>
                <w:color w:val="auto"/>
              </w:rPr>
            </w:pPr>
          </w:p>
        </w:tc>
        <w:tc>
          <w:tcPr>
            <w:tcW w:w="740" w:type="dxa"/>
            <w:vAlign w:val="bottom"/>
            <w:tcBorders>
              <w:bottom w:val="single" w:sz="8" w:color="0077C0"/>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41,161</w:t>
            </w:r>
          </w:p>
        </w:tc>
        <w:tc>
          <w:tcPr>
            <w:tcW w:w="720" w:type="dxa"/>
            <w:vAlign w:val="bottom"/>
            <w:tcBorders>
              <w:bottom w:val="single" w:sz="8" w:color="0077C0"/>
            </w:tcBorders>
          </w:tcPr>
          <w:p>
            <w:pPr>
              <w:spacing w:after="0"/>
              <w:rPr>
                <w:sz w:val="20"/>
                <w:szCs w:val="20"/>
                <w:color w:val="auto"/>
              </w:rPr>
            </w:pPr>
          </w:p>
        </w:tc>
        <w:tc>
          <w:tcPr>
            <w:tcW w:w="10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23,150</w:t>
            </w:r>
          </w:p>
        </w:tc>
      </w:tr>
      <w:tr>
        <w:trPr>
          <w:trHeight w:val="23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077C0"/>
              </w:rPr>
              <w:t>Investing Activities</w:t>
            </w:r>
          </w:p>
        </w:tc>
        <w:tc>
          <w:tcPr>
            <w:tcW w:w="9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4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businesses, net of cash received</w:t>
            </w:r>
          </w:p>
        </w:tc>
        <w:tc>
          <w:tcPr>
            <w:tcW w:w="9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4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Hess Corporation common stock</w:t>
            </w:r>
          </w:p>
        </w:tc>
        <w:tc>
          <w:tcPr>
            <w:tcW w:w="9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r>
      <w:tr>
        <w:trPr>
          <w:trHeight w:val="24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9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(12,612)</w:t>
            </w:r>
          </w:p>
        </w:tc>
        <w:tc>
          <w:tcPr>
            <w:tcW w:w="7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(12,083)</w:t>
            </w:r>
          </w:p>
        </w:tc>
      </w:tr>
      <w:tr>
        <w:trPr>
          <w:trHeight w:val="24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and deposits related to asset sales and returns of investment</w:t>
            </w:r>
          </w:p>
        </w:tc>
        <w:tc>
          <w:tcPr>
            <w:tcW w:w="9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1,065</w:t>
            </w:r>
          </w:p>
        </w:tc>
        <w:tc>
          <w:tcPr>
            <w:tcW w:w="7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r>
      <w:tr>
        <w:trPr>
          <w:trHeight w:val="24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maturities of (investments in) time deposits</w:t>
            </w:r>
          </w:p>
        </w:tc>
        <w:tc>
          <w:tcPr>
            <w:tcW w:w="9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w:t>
            </w:r>
          </w:p>
        </w:tc>
        <w:tc>
          <w:tcPr>
            <w:tcW w:w="7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7800" w:type="dxa"/>
            <w:vAlign w:val="bottom"/>
            <w:tcBorders>
              <w:bottom w:val="single" w:sz="8" w:color="0077C0"/>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repayment (borrowing) of loans by equity affiliates</w:t>
            </w:r>
          </w:p>
        </w:tc>
        <w:tc>
          <w:tcPr>
            <w:tcW w:w="980" w:type="dxa"/>
            <w:vAlign w:val="bottom"/>
            <w:tcBorders>
              <w:bottom w:val="single" w:sz="8" w:color="0077C0"/>
            </w:tcBorders>
            <w:shd w:val="clear" w:color="auto" w:fill="CCEEFF"/>
          </w:tcPr>
          <w:p>
            <w:pPr>
              <w:spacing w:after="0"/>
              <w:rPr>
                <w:sz w:val="21"/>
                <w:szCs w:val="21"/>
                <w:color w:val="auto"/>
              </w:rPr>
            </w:pPr>
          </w:p>
        </w:tc>
        <w:tc>
          <w:tcPr>
            <w:tcW w:w="740" w:type="dxa"/>
            <w:vAlign w:val="bottom"/>
            <w:tcBorders>
              <w:bottom w:val="single" w:sz="8" w:color="0077C0"/>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1,971</w:t>
            </w:r>
          </w:p>
        </w:tc>
        <w:tc>
          <w:tcPr>
            <w:tcW w:w="720" w:type="dxa"/>
            <w:vAlign w:val="bottom"/>
            <w:tcBorders>
              <w:bottom w:val="single" w:sz="8" w:color="0077C0"/>
            </w:tcBorders>
            <w:shd w:val="clear" w:color="auto" w:fill="CCEEFF"/>
          </w:tcPr>
          <w:p>
            <w:pPr>
              <w:spacing w:after="0"/>
              <w:rPr>
                <w:sz w:val="21"/>
                <w:szCs w:val="21"/>
                <w:color w:val="auto"/>
              </w:rPr>
            </w:pPr>
          </w:p>
        </w:tc>
        <w:tc>
          <w:tcPr>
            <w:tcW w:w="10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36"/>
        </w:trPr>
        <w:tc>
          <w:tcPr>
            <w:tcW w:w="78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b w:val="1"/>
                <w:bCs w:val="1"/>
                <w:color w:val="0077C0"/>
              </w:rPr>
              <w:t>Net Cash Used for Investing Activities</w:t>
            </w:r>
          </w:p>
        </w:tc>
        <w:tc>
          <w:tcPr>
            <w:tcW w:w="980" w:type="dxa"/>
            <w:vAlign w:val="bottom"/>
            <w:tcBorders>
              <w:bottom w:val="single" w:sz="8" w:color="0077C0"/>
            </w:tcBorders>
          </w:tcPr>
          <w:p>
            <w:pPr>
              <w:spacing w:after="0"/>
              <w:rPr>
                <w:sz w:val="20"/>
                <w:szCs w:val="20"/>
                <w:color w:val="auto"/>
              </w:rPr>
            </w:pPr>
          </w:p>
        </w:tc>
        <w:tc>
          <w:tcPr>
            <w:tcW w:w="740" w:type="dxa"/>
            <w:vAlign w:val="bottom"/>
            <w:tcBorders>
              <w:bottom w:val="single" w:sz="8" w:color="0077C0"/>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(9,573)</w:t>
            </w:r>
          </w:p>
        </w:tc>
        <w:tc>
          <w:tcPr>
            <w:tcW w:w="720" w:type="dxa"/>
            <w:vAlign w:val="bottom"/>
            <w:tcBorders>
              <w:bottom w:val="single" w:sz="8" w:color="0077C0"/>
            </w:tcBorders>
          </w:tcPr>
          <w:p>
            <w:pPr>
              <w:spacing w:after="0"/>
              <w:rPr>
                <w:sz w:val="20"/>
                <w:szCs w:val="20"/>
                <w:color w:val="auto"/>
              </w:rPr>
            </w:pPr>
          </w:p>
        </w:tc>
        <w:tc>
          <w:tcPr>
            <w:tcW w:w="10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(10,979)</w:t>
            </w:r>
          </w:p>
        </w:tc>
      </w:tr>
      <w:tr>
        <w:trPr>
          <w:trHeight w:val="23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077C0"/>
              </w:rPr>
              <w:t>Financing Activities</w:t>
            </w:r>
          </w:p>
        </w:tc>
        <w:tc>
          <w:tcPr>
            <w:tcW w:w="9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4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borrowings (repayments) of short-term obligations</w:t>
            </w:r>
          </w:p>
        </w:tc>
        <w:tc>
          <w:tcPr>
            <w:tcW w:w="9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(4,305)</w:t>
            </w:r>
          </w:p>
        </w:tc>
        <w:tc>
          <w:tcPr>
            <w:tcW w:w="7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4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issuances of long-term debt</w:t>
            </w:r>
          </w:p>
        </w:tc>
        <w:tc>
          <w:tcPr>
            <w:tcW w:w="9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99</w:t>
            </w:r>
          </w:p>
        </w:tc>
        <w:tc>
          <w:tcPr>
            <w:tcW w:w="7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11,166</w:t>
            </w:r>
          </w:p>
        </w:tc>
      </w:tr>
      <w:tr>
        <w:trPr>
          <w:trHeight w:val="24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long-term debt and other financing obligations</w:t>
            </w:r>
          </w:p>
        </w:tc>
        <w:tc>
          <w:tcPr>
            <w:tcW w:w="9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(3,088)</w:t>
            </w:r>
          </w:p>
        </w:tc>
        <w:tc>
          <w:tcPr>
            <w:tcW w:w="7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w:t>
            </w:r>
          </w:p>
        </w:tc>
      </w:tr>
      <w:tr>
        <w:trPr>
          <w:trHeight w:val="24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dividends - common stock</w:t>
            </w:r>
          </w:p>
        </w:tc>
        <w:tc>
          <w:tcPr>
            <w:tcW w:w="9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(10,512)</w:t>
            </w:r>
          </w:p>
        </w:tc>
        <w:tc>
          <w:tcPr>
            <w:tcW w:w="7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(9,347)</w:t>
            </w:r>
          </w:p>
        </w:tc>
      </w:tr>
      <w:tr>
        <w:trPr>
          <w:trHeight w:val="24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contributions from (distributions to) noncontrolling interests</w:t>
            </w:r>
          </w:p>
        </w:tc>
        <w:tc>
          <w:tcPr>
            <w:tcW w:w="9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(417)</w:t>
            </w:r>
          </w:p>
        </w:tc>
        <w:tc>
          <w:tcPr>
            <w:tcW w:w="7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43"/>
        </w:trPr>
        <w:tc>
          <w:tcPr>
            <w:tcW w:w="7800" w:type="dxa"/>
            <w:vAlign w:val="bottom"/>
            <w:tcBorders>
              <w:bottom w:val="single" w:sz="8" w:color="0077C0"/>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sales (purchases) of treasury shares</w:t>
            </w:r>
          </w:p>
        </w:tc>
        <w:tc>
          <w:tcPr>
            <w:tcW w:w="980" w:type="dxa"/>
            <w:vAlign w:val="bottom"/>
            <w:tcBorders>
              <w:bottom w:val="single" w:sz="8" w:color="0077C0"/>
            </w:tcBorders>
            <w:shd w:val="clear" w:color="auto" w:fill="CCEEFF"/>
          </w:tcPr>
          <w:p>
            <w:pPr>
              <w:spacing w:after="0"/>
              <w:rPr>
                <w:sz w:val="21"/>
                <w:szCs w:val="21"/>
                <w:color w:val="auto"/>
              </w:rPr>
            </w:pPr>
          </w:p>
        </w:tc>
        <w:tc>
          <w:tcPr>
            <w:tcW w:w="740" w:type="dxa"/>
            <w:vAlign w:val="bottom"/>
            <w:tcBorders>
              <w:bottom w:val="single" w:sz="8" w:color="0077C0"/>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(6,708)</w:t>
            </w:r>
          </w:p>
        </w:tc>
        <w:tc>
          <w:tcPr>
            <w:tcW w:w="720" w:type="dxa"/>
            <w:vAlign w:val="bottom"/>
            <w:tcBorders>
              <w:bottom w:val="single" w:sz="8" w:color="0077C0"/>
            </w:tcBorders>
            <w:shd w:val="clear" w:color="auto" w:fill="CCEEFF"/>
          </w:tcPr>
          <w:p>
            <w:pPr>
              <w:spacing w:after="0"/>
              <w:rPr>
                <w:sz w:val="21"/>
                <w:szCs w:val="21"/>
                <w:color w:val="auto"/>
              </w:rPr>
            </w:pPr>
          </w:p>
        </w:tc>
        <w:tc>
          <w:tcPr>
            <w:tcW w:w="10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w:t>
            </w:r>
          </w:p>
        </w:tc>
      </w:tr>
      <w:tr>
        <w:trPr>
          <w:trHeight w:val="237"/>
        </w:trPr>
        <w:tc>
          <w:tcPr>
            <w:tcW w:w="78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b w:val="1"/>
                <w:bCs w:val="1"/>
                <w:color w:val="0077C0"/>
              </w:rPr>
              <w:t>Net Cash Provided by (Used for) Financing Activities</w:t>
            </w:r>
          </w:p>
        </w:tc>
        <w:tc>
          <w:tcPr>
            <w:tcW w:w="980" w:type="dxa"/>
            <w:vAlign w:val="bottom"/>
            <w:tcBorders>
              <w:bottom w:val="single" w:sz="8" w:color="0077C0"/>
            </w:tcBorders>
          </w:tcPr>
          <w:p>
            <w:pPr>
              <w:spacing w:after="0"/>
              <w:rPr>
                <w:sz w:val="20"/>
                <w:szCs w:val="20"/>
                <w:color w:val="auto"/>
              </w:rPr>
            </w:pPr>
          </w:p>
        </w:tc>
        <w:tc>
          <w:tcPr>
            <w:tcW w:w="740" w:type="dxa"/>
            <w:vAlign w:val="bottom"/>
            <w:tcBorders>
              <w:bottom w:val="single" w:sz="8" w:color="0077C0"/>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(24,931)</w:t>
            </w:r>
          </w:p>
        </w:tc>
        <w:tc>
          <w:tcPr>
            <w:tcW w:w="720" w:type="dxa"/>
            <w:vAlign w:val="bottom"/>
            <w:tcBorders>
              <w:bottom w:val="single" w:sz="8" w:color="0077C0"/>
            </w:tcBorders>
          </w:tcPr>
          <w:p>
            <w:pPr>
              <w:spacing w:after="0"/>
              <w:rPr>
                <w:sz w:val="20"/>
                <w:szCs w:val="20"/>
                <w:color w:val="auto"/>
              </w:rPr>
            </w:pPr>
          </w:p>
        </w:tc>
        <w:tc>
          <w:tcPr>
            <w:tcW w:w="10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(11,691)</w:t>
            </w:r>
          </w:p>
        </w:tc>
      </w:tr>
      <w:tr>
        <w:trPr>
          <w:trHeight w:val="236"/>
        </w:trPr>
        <w:tc>
          <w:tcPr>
            <w:tcW w:w="780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077C0"/>
              </w:rPr>
              <w:t>Effect of Exchange Rate Changes on Cash, Cash Equivalents and Restricted Cash</w:t>
            </w:r>
          </w:p>
        </w:tc>
        <w:tc>
          <w:tcPr>
            <w:tcW w:w="980" w:type="dxa"/>
            <w:vAlign w:val="bottom"/>
            <w:tcBorders>
              <w:bottom w:val="single" w:sz="8" w:color="0077C0"/>
            </w:tcBorders>
            <w:shd w:val="clear" w:color="auto" w:fill="CCEEFF"/>
          </w:tcPr>
          <w:p>
            <w:pPr>
              <w:spacing w:after="0"/>
              <w:rPr>
                <w:sz w:val="20"/>
                <w:szCs w:val="20"/>
                <w:color w:val="auto"/>
              </w:rPr>
            </w:pPr>
          </w:p>
        </w:tc>
        <w:tc>
          <w:tcPr>
            <w:tcW w:w="740" w:type="dxa"/>
            <w:vAlign w:val="bottom"/>
            <w:tcBorders>
              <w:bottom w:val="single" w:sz="8" w:color="0077C0"/>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w:t>
            </w:r>
          </w:p>
        </w:tc>
        <w:tc>
          <w:tcPr>
            <w:tcW w:w="720" w:type="dxa"/>
            <w:vAlign w:val="bottom"/>
            <w:tcBorders>
              <w:bottom w:val="single" w:sz="8" w:color="0077C0"/>
            </w:tcBorders>
            <w:shd w:val="clear" w:color="auto" w:fill="CCEEFF"/>
          </w:tcPr>
          <w:p>
            <w:pPr>
              <w:spacing w:after="0"/>
              <w:rPr>
                <w:sz w:val="20"/>
                <w:szCs w:val="20"/>
                <w:color w:val="auto"/>
              </w:rPr>
            </w:pPr>
          </w:p>
        </w:tc>
        <w:tc>
          <w:tcPr>
            <w:tcW w:w="10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7"/>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77C0"/>
              </w:rPr>
              <w:t>Net Change in Cash, Cash Equivalents and Restricted Cash</w:t>
            </w:r>
          </w:p>
        </w:tc>
        <w:tc>
          <w:tcPr>
            <w:tcW w:w="98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6,634</w:t>
            </w:r>
          </w:p>
        </w:tc>
        <w:tc>
          <w:tcPr>
            <w:tcW w:w="7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43"/>
        </w:trPr>
        <w:tc>
          <w:tcPr>
            <w:tcW w:w="780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077C0"/>
              </w:rPr>
              <w:t>Cash, Cash Equivalents and Restricted Cash at January 1</w:t>
            </w:r>
          </w:p>
        </w:tc>
        <w:tc>
          <w:tcPr>
            <w:tcW w:w="980" w:type="dxa"/>
            <w:vAlign w:val="bottom"/>
            <w:tcBorders>
              <w:bottom w:val="single" w:sz="8" w:color="0077C0"/>
            </w:tcBorders>
            <w:shd w:val="clear" w:color="auto" w:fill="CCEEFF"/>
          </w:tcPr>
          <w:p>
            <w:pPr>
              <w:spacing w:after="0"/>
              <w:rPr>
                <w:sz w:val="21"/>
                <w:szCs w:val="21"/>
                <w:color w:val="auto"/>
              </w:rPr>
            </w:pPr>
          </w:p>
        </w:tc>
        <w:tc>
          <w:tcPr>
            <w:tcW w:w="740" w:type="dxa"/>
            <w:vAlign w:val="bottom"/>
            <w:tcBorders>
              <w:bottom w:val="single" w:sz="8" w:color="0077C0"/>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7,285</w:t>
            </w:r>
          </w:p>
        </w:tc>
        <w:tc>
          <w:tcPr>
            <w:tcW w:w="720" w:type="dxa"/>
            <w:vAlign w:val="bottom"/>
            <w:tcBorders>
              <w:bottom w:val="single" w:sz="8" w:color="0077C0"/>
            </w:tcBorders>
            <w:shd w:val="clear" w:color="auto" w:fill="CCEEFF"/>
          </w:tcPr>
          <w:p>
            <w:pPr>
              <w:spacing w:after="0"/>
              <w:rPr>
                <w:sz w:val="21"/>
                <w:szCs w:val="21"/>
                <w:color w:val="auto"/>
              </w:rPr>
            </w:pPr>
          </w:p>
        </w:tc>
        <w:tc>
          <w:tcPr>
            <w:tcW w:w="10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w:t>
            </w:r>
          </w:p>
        </w:tc>
      </w:tr>
      <w:tr>
        <w:trPr>
          <w:trHeight w:val="236"/>
        </w:trPr>
        <w:tc>
          <w:tcPr>
            <w:tcW w:w="78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b w:val="1"/>
                <w:bCs w:val="1"/>
                <w:color w:val="0077C0"/>
              </w:rPr>
              <w:t>Cash, Cash Equivalents and Restricted Cash at September 30</w:t>
            </w:r>
          </w:p>
        </w:tc>
        <w:tc>
          <w:tcPr>
            <w:tcW w:w="980" w:type="dxa"/>
            <w:vAlign w:val="bottom"/>
            <w:tcBorders>
              <w:bottom w:val="single" w:sz="8" w:color="0077C0"/>
            </w:tcBorders>
          </w:tcPr>
          <w:p>
            <w:pPr>
              <w:jc w:val="right"/>
              <w:ind w:right="7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0077C0"/>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13,919</w:t>
            </w:r>
          </w:p>
        </w:tc>
        <w:tc>
          <w:tcPr>
            <w:tcW w:w="720" w:type="dxa"/>
            <w:vAlign w:val="bottom"/>
            <w:tcBorders>
              <w:bottom w:val="single" w:sz="8" w:color="0077C0"/>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8,783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CHEVRON CORPORATION AND SUBSIDIARIES</w:t>
      </w:r>
    </w:p>
    <w:p>
      <w:pPr>
        <w:spacing w:after="0" w:line="6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CONSOLIDATED STATEMENT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10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6"/>
                <w:szCs w:val="16"/>
                <w:color w:val="auto"/>
              </w:rPr>
            </w:pPr>
          </w:p>
        </w:tc>
        <w:tc>
          <w:tcPr>
            <w:tcW w:w="11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Chevron Corp.</w:t>
            </w:r>
          </w:p>
        </w:tc>
        <w:tc>
          <w:tcPr>
            <w:tcW w:w="160" w:type="dxa"/>
            <w:vAlign w:val="bottom"/>
          </w:tcPr>
          <w:p>
            <w:pPr>
              <w:spacing w:after="0"/>
              <w:rPr>
                <w:sz w:val="16"/>
                <w:szCs w:val="16"/>
                <w:color w:val="auto"/>
              </w:rPr>
            </w:pPr>
          </w:p>
        </w:tc>
        <w:tc>
          <w:tcPr>
            <w:tcW w:w="10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2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8"/>
                <w:szCs w:val="18"/>
                <w:color w:val="auto"/>
              </w:rPr>
            </w:pPr>
          </w:p>
        </w:tc>
        <w:tc>
          <w:tcPr>
            <w:tcW w:w="10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8"/>
                <w:szCs w:val="18"/>
                <w:color w:val="auto"/>
              </w:rPr>
            </w:pPr>
          </w:p>
        </w:tc>
        <w:tc>
          <w:tcPr>
            <w:tcW w:w="10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Other Comp.</w:t>
            </w:r>
          </w:p>
        </w:tc>
        <w:tc>
          <w:tcPr>
            <w:tcW w:w="200" w:type="dxa"/>
            <w:vAlign w:val="bottom"/>
          </w:tcPr>
          <w:p>
            <w:pPr>
              <w:spacing w:after="0"/>
              <w:rPr>
                <w:sz w:val="18"/>
                <w:szCs w:val="18"/>
                <w:color w:val="auto"/>
              </w:rPr>
            </w:pPr>
          </w:p>
        </w:tc>
        <w:tc>
          <w:tcPr>
            <w:tcW w:w="10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8"/>
                <w:szCs w:val="18"/>
                <w:color w:val="auto"/>
              </w:rPr>
            </w:pPr>
          </w:p>
        </w:tc>
        <w:tc>
          <w:tcPr>
            <w:tcW w:w="11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160" w:type="dxa"/>
            <w:vAlign w:val="bottom"/>
          </w:tcPr>
          <w:p>
            <w:pPr>
              <w:spacing w:after="0"/>
              <w:rPr>
                <w:sz w:val="18"/>
                <w:szCs w:val="18"/>
                <w:color w:val="auto"/>
              </w:rPr>
            </w:pPr>
          </w:p>
        </w:tc>
        <w:tc>
          <w:tcPr>
            <w:tcW w:w="10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80" w:type="dxa"/>
            <w:vAlign w:val="bottom"/>
          </w:tcPr>
          <w:p>
            <w:pPr>
              <w:spacing w:after="0"/>
              <w:rPr>
                <w:sz w:val="18"/>
                <w:szCs w:val="18"/>
                <w:color w:val="auto"/>
              </w:rPr>
            </w:pPr>
          </w:p>
        </w:tc>
        <w:tc>
          <w:tcPr>
            <w:tcW w:w="10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9"/>
        </w:trPr>
        <w:tc>
          <w:tcPr>
            <w:tcW w:w="24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September 30</w:t>
            </w:r>
          </w:p>
        </w:tc>
        <w:tc>
          <w:tcPr>
            <w:tcW w:w="500" w:type="dxa"/>
            <w:vAlign w:val="bottom"/>
            <w:tcBorders>
              <w:bottom w:val="single" w:sz="8" w:color="0077C0"/>
            </w:tcBorders>
          </w:tcPr>
          <w:p>
            <w:pPr>
              <w:spacing w:after="0"/>
              <w:rPr>
                <w:sz w:val="20"/>
                <w:szCs w:val="20"/>
                <w:color w:val="auto"/>
              </w:rPr>
            </w:pPr>
          </w:p>
        </w:tc>
        <w:tc>
          <w:tcPr>
            <w:tcW w:w="100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Stock</w:t>
            </w:r>
            <w:r>
              <w:rPr>
                <w:rFonts w:ascii="Times New Roman" w:cs="Times New Roman" w:eastAsia="Times New Roman" w:hAnsi="Times New Roman"/>
                <w:sz w:val="18"/>
                <w:szCs w:val="18"/>
                <w:b w:val="1"/>
                <w:bCs w:val="1"/>
                <w:color w:val="auto"/>
                <w:vertAlign w:val="superscript"/>
              </w:rPr>
              <w:t>(1)</w:t>
            </w:r>
          </w:p>
        </w:tc>
        <w:tc>
          <w:tcPr>
            <w:tcW w:w="200" w:type="dxa"/>
            <w:vAlign w:val="bottom"/>
            <w:tcBorders>
              <w:bottom w:val="single" w:sz="8" w:color="0077C0"/>
            </w:tcBorders>
          </w:tcPr>
          <w:p>
            <w:pPr>
              <w:spacing w:after="0"/>
              <w:rPr>
                <w:sz w:val="20"/>
                <w:szCs w:val="20"/>
                <w:color w:val="auto"/>
              </w:rPr>
            </w:pPr>
          </w:p>
        </w:tc>
        <w:tc>
          <w:tcPr>
            <w:tcW w:w="1020" w:type="dxa"/>
            <w:vAlign w:val="bottom"/>
            <w:tcBorders>
              <w:bottom w:val="single" w:sz="8" w:color="0077C0"/>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Borders>
              <w:bottom w:val="single" w:sz="8" w:color="0077C0"/>
            </w:tcBorders>
          </w:tcPr>
          <w:p>
            <w:pPr>
              <w:spacing w:after="0"/>
              <w:rPr>
                <w:sz w:val="20"/>
                <w:szCs w:val="20"/>
                <w:color w:val="auto"/>
              </w:rPr>
            </w:pPr>
          </w:p>
        </w:tc>
        <w:tc>
          <w:tcPr>
            <w:tcW w:w="1080" w:type="dxa"/>
            <w:vAlign w:val="bottom"/>
            <w:tcBorders>
              <w:bottom w:val="single" w:sz="8" w:color="0077C0"/>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Borders>
              <w:bottom w:val="single" w:sz="8" w:color="0077C0"/>
            </w:tcBorders>
          </w:tcPr>
          <w:p>
            <w:pPr>
              <w:spacing w:after="0"/>
              <w:rPr>
                <w:sz w:val="20"/>
                <w:szCs w:val="20"/>
                <w:color w:val="auto"/>
              </w:rPr>
            </w:pPr>
          </w:p>
        </w:tc>
        <w:tc>
          <w:tcPr>
            <w:tcW w:w="1000" w:type="dxa"/>
            <w:vAlign w:val="bottom"/>
            <w:tcBorders>
              <w:bottom w:val="single" w:sz="8" w:color="0077C0"/>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40" w:type="dxa"/>
            <w:vAlign w:val="bottom"/>
            <w:tcBorders>
              <w:bottom w:val="single" w:sz="8" w:color="0077C0"/>
            </w:tcBorders>
          </w:tcPr>
          <w:p>
            <w:pPr>
              <w:spacing w:after="0"/>
              <w:rPr>
                <w:sz w:val="20"/>
                <w:szCs w:val="20"/>
                <w:color w:val="auto"/>
              </w:rPr>
            </w:pPr>
          </w:p>
        </w:tc>
        <w:tc>
          <w:tcPr>
            <w:tcW w:w="1180" w:type="dxa"/>
            <w:vAlign w:val="bottom"/>
            <w:tcBorders>
              <w:bottom w:val="single" w:sz="8" w:color="0077C0"/>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Borders>
              <w:bottom w:val="single" w:sz="8" w:color="0077C0"/>
            </w:tcBorders>
          </w:tcPr>
          <w:p>
            <w:pPr>
              <w:spacing w:after="0"/>
              <w:rPr>
                <w:sz w:val="20"/>
                <w:szCs w:val="20"/>
                <w:color w:val="auto"/>
              </w:rPr>
            </w:pPr>
          </w:p>
        </w:tc>
        <w:tc>
          <w:tcPr>
            <w:tcW w:w="1040" w:type="dxa"/>
            <w:vAlign w:val="bottom"/>
            <w:tcBorders>
              <w:bottom w:val="single" w:sz="8" w:color="0077C0"/>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80" w:type="dxa"/>
            <w:vAlign w:val="bottom"/>
            <w:tcBorders>
              <w:bottom w:val="single" w:sz="8" w:color="0077C0"/>
            </w:tcBorders>
          </w:tcPr>
          <w:p>
            <w:pPr>
              <w:spacing w:after="0"/>
              <w:rPr>
                <w:sz w:val="20"/>
                <w:szCs w:val="20"/>
                <w:color w:val="auto"/>
              </w:rPr>
            </w:pPr>
          </w:p>
        </w:tc>
        <w:tc>
          <w:tcPr>
            <w:tcW w:w="1000" w:type="dxa"/>
            <w:vAlign w:val="bottom"/>
            <w:tcBorders>
              <w:bottom w:val="single" w:sz="8" w:color="0077C0"/>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4"/>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0077C0"/>
              </w:rPr>
              <w:t>Balance at June 30, 2025</w:t>
            </w: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23,395</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205,905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(2,567)</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(80,316)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CCEEFF"/>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146,417</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CCEEFF"/>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841</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147,258</w:t>
            </w:r>
          </w:p>
        </w:tc>
      </w:tr>
      <w:tr>
        <w:trPr>
          <w:trHeight w:val="186"/>
        </w:trPr>
        <w:tc>
          <w:tcPr>
            <w:tcW w:w="2440" w:type="dxa"/>
            <w:vAlign w:val="bottom"/>
            <w:tcBorders>
              <w:top w:val="single" w:sz="8" w:color="0077C0"/>
            </w:tcBorders>
          </w:tcPr>
          <w:p>
            <w:pPr>
              <w:ind w:left="140"/>
              <w:spacing w:after="0"/>
              <w:rPr>
                <w:sz w:val="20"/>
                <w:szCs w:val="20"/>
                <w:color w:val="auto"/>
              </w:rPr>
            </w:pPr>
            <w:r>
              <w:rPr>
                <w:rFonts w:ascii="Times New Roman" w:cs="Times New Roman" w:eastAsia="Times New Roman" w:hAnsi="Times New Roman"/>
                <w:sz w:val="14"/>
                <w:szCs w:val="14"/>
                <w:color w:val="auto"/>
              </w:rPr>
              <w:t>Treasury stock transactions</w:t>
            </w:r>
          </w:p>
        </w:tc>
        <w:tc>
          <w:tcPr>
            <w:tcW w:w="500" w:type="dxa"/>
            <w:vAlign w:val="bottom"/>
            <w:tcBorders>
              <w:top w:val="single" w:sz="8" w:color="0077C0"/>
            </w:tcBorders>
          </w:tcPr>
          <w:p>
            <w:pPr>
              <w:spacing w:after="0"/>
              <w:rPr>
                <w:sz w:val="16"/>
                <w:szCs w:val="16"/>
                <w:color w:val="auto"/>
              </w:rPr>
            </w:pPr>
          </w:p>
        </w:tc>
        <w:tc>
          <w:tcPr>
            <w:tcW w:w="100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200" w:type="dxa"/>
            <w:vAlign w:val="bottom"/>
            <w:tcBorders>
              <w:top w:val="single" w:sz="8" w:color="0077C0"/>
            </w:tcBorders>
          </w:tcPr>
          <w:p>
            <w:pPr>
              <w:spacing w:after="0"/>
              <w:rPr>
                <w:sz w:val="16"/>
                <w:szCs w:val="16"/>
                <w:color w:val="auto"/>
              </w:rPr>
            </w:pPr>
          </w:p>
        </w:tc>
        <w:tc>
          <w:tcPr>
            <w:tcW w:w="1020" w:type="dxa"/>
            <w:vAlign w:val="bottom"/>
            <w:tcBorders>
              <w:top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0077C0"/>
            </w:tcBorders>
          </w:tcPr>
          <w:p>
            <w:pPr>
              <w:spacing w:after="0"/>
              <w:rPr>
                <w:sz w:val="16"/>
                <w:szCs w:val="16"/>
                <w:color w:val="auto"/>
              </w:rPr>
            </w:pPr>
          </w:p>
        </w:tc>
        <w:tc>
          <w:tcPr>
            <w:tcW w:w="108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0077C0"/>
            </w:tcBorders>
          </w:tcPr>
          <w:p>
            <w:pPr>
              <w:spacing w:after="0"/>
              <w:rPr>
                <w:sz w:val="16"/>
                <w:szCs w:val="16"/>
                <w:color w:val="auto"/>
              </w:rPr>
            </w:pPr>
          </w:p>
        </w:tc>
        <w:tc>
          <w:tcPr>
            <w:tcW w:w="100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0077C0"/>
            </w:tcBorders>
          </w:tcPr>
          <w:p>
            <w:pPr>
              <w:spacing w:after="0"/>
              <w:rPr>
                <w:sz w:val="16"/>
                <w:szCs w:val="16"/>
                <w:color w:val="auto"/>
              </w:rPr>
            </w:pPr>
          </w:p>
        </w:tc>
        <w:tc>
          <w:tcPr>
            <w:tcW w:w="1180" w:type="dxa"/>
            <w:vAlign w:val="bottom"/>
            <w:tcBorders>
              <w:top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251</w:t>
            </w:r>
          </w:p>
        </w:tc>
        <w:tc>
          <w:tcPr>
            <w:tcW w:w="160" w:type="dxa"/>
            <w:vAlign w:val="bottom"/>
            <w:tcBorders>
              <w:top w:val="single" w:sz="8" w:color="0077C0"/>
            </w:tcBorders>
          </w:tcPr>
          <w:p>
            <w:pPr>
              <w:spacing w:after="0"/>
              <w:rPr>
                <w:sz w:val="16"/>
                <w:szCs w:val="16"/>
                <w:color w:val="auto"/>
              </w:rPr>
            </w:pPr>
          </w:p>
        </w:tc>
        <w:tc>
          <w:tcPr>
            <w:tcW w:w="1040" w:type="dxa"/>
            <w:vAlign w:val="bottom"/>
            <w:tcBorders>
              <w:top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0077C0"/>
            </w:tcBorders>
          </w:tcPr>
          <w:p>
            <w:pPr>
              <w:spacing w:after="0"/>
              <w:rPr>
                <w:sz w:val="16"/>
                <w:szCs w:val="16"/>
                <w:color w:val="auto"/>
              </w:rPr>
            </w:pPr>
          </w:p>
        </w:tc>
        <w:tc>
          <w:tcPr>
            <w:tcW w:w="100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251</w:t>
            </w:r>
          </w:p>
        </w:tc>
      </w:tr>
      <w:tr>
        <w:trPr>
          <w:trHeight w:val="23"/>
        </w:trPr>
        <w:tc>
          <w:tcPr>
            <w:tcW w:w="2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right w:val="single" w:sz="8" w:color="0077C0"/>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0077C0"/>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2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Hess Corporation acquisition</w:t>
            </w: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11,775</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33,828</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45,603</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5,035</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50,638</w:t>
            </w:r>
          </w:p>
        </w:tc>
      </w:tr>
      <w:tr>
        <w:trPr>
          <w:trHeight w:val="193"/>
        </w:trPr>
        <w:tc>
          <w:tcPr>
            <w:tcW w:w="2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3,539</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3,539</w:t>
            </w:r>
          </w:p>
        </w:tc>
        <w:tc>
          <w:tcPr>
            <w:tcW w:w="160" w:type="dxa"/>
            <w:vAlign w:val="bottom"/>
          </w:tcPr>
          <w:p>
            <w:pPr>
              <w:spacing w:after="0"/>
              <w:rPr>
                <w:sz w:val="16"/>
                <w:szCs w:val="16"/>
                <w:color w:val="auto"/>
              </w:rPr>
            </w:pPr>
          </w:p>
        </w:tc>
        <w:tc>
          <w:tcPr>
            <w:tcW w:w="10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74</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3,613</w:t>
            </w:r>
          </w:p>
        </w:tc>
      </w:tr>
      <w:tr>
        <w:trPr>
          <w:trHeight w:val="23"/>
        </w:trPr>
        <w:tc>
          <w:tcPr>
            <w:tcW w:w="2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right w:val="single" w:sz="8" w:color="0077C0"/>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0077C0"/>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2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($1.71 per share)</w:t>
            </w: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(3,429)</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right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(3,429)</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right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(3,622)</w:t>
            </w:r>
          </w:p>
        </w:tc>
      </w:tr>
      <w:tr>
        <w:trPr>
          <w:trHeight w:val="193"/>
        </w:trPr>
        <w:tc>
          <w:tcPr>
            <w:tcW w:w="2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dividends</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spacing w:after="0"/>
              <w:rPr>
                <w:sz w:val="16"/>
                <w:szCs w:val="16"/>
                <w:color w:val="auto"/>
              </w:rPr>
            </w:pPr>
          </w:p>
        </w:tc>
        <w:tc>
          <w:tcPr>
            <w:tcW w:w="10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3"/>
        </w:trPr>
        <w:tc>
          <w:tcPr>
            <w:tcW w:w="2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right w:val="single" w:sz="8" w:color="0077C0"/>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0077C0"/>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2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right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16"/>
        </w:trPr>
        <w:tc>
          <w:tcPr>
            <w:tcW w:w="2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treasury shares</w:t>
            </w:r>
            <w:r>
              <w:rPr>
                <w:rFonts w:ascii="Times New Roman" w:cs="Times New Roman" w:eastAsia="Times New Roman" w:hAnsi="Times New Roman"/>
                <w:sz w:val="18"/>
                <w:szCs w:val="18"/>
                <w:color w:val="auto"/>
                <w:vertAlign w:val="superscript"/>
              </w:rPr>
              <w:t>(2)</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(2,590)</w:t>
            </w:r>
          </w:p>
        </w:tc>
        <w:tc>
          <w:tcPr>
            <w:tcW w:w="140" w:type="dxa"/>
            <w:vAlign w:val="bottom"/>
          </w:tcPr>
          <w:p>
            <w:pPr>
              <w:spacing w:after="0"/>
              <w:rPr>
                <w:sz w:val="18"/>
                <w:szCs w:val="18"/>
                <w:color w:val="auto"/>
              </w:rPr>
            </w:pPr>
          </w:p>
        </w:tc>
        <w:tc>
          <w:tcPr>
            <w:tcW w:w="118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(2,590)</w:t>
            </w:r>
          </w:p>
        </w:tc>
        <w:tc>
          <w:tcPr>
            <w:tcW w:w="160" w:type="dxa"/>
            <w:vAlign w:val="bottom"/>
          </w:tcPr>
          <w:p>
            <w:pPr>
              <w:spacing w:after="0"/>
              <w:rPr>
                <w:sz w:val="18"/>
                <w:szCs w:val="18"/>
                <w:color w:val="auto"/>
              </w:rPr>
            </w:pPr>
          </w:p>
        </w:tc>
        <w:tc>
          <w:tcPr>
            <w:tcW w:w="10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(2,590)</w:t>
            </w:r>
          </w:p>
        </w:tc>
      </w:tr>
      <w:tr>
        <w:trPr>
          <w:trHeight w:val="221"/>
        </w:trPr>
        <w:tc>
          <w:tcPr>
            <w:tcW w:w="2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Issuances of treasury shares</w:t>
            </w: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w:t>
            </w: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86"/>
        </w:trPr>
        <w:tc>
          <w:tcPr>
            <w:tcW w:w="2440" w:type="dxa"/>
            <w:vAlign w:val="bottom"/>
            <w:tcBorders>
              <w:top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0077C0"/>
              </w:rPr>
              <w:t>Balance at September 30, 2025</w:t>
            </w:r>
          </w:p>
        </w:tc>
        <w:tc>
          <w:tcPr>
            <w:tcW w:w="500" w:type="dxa"/>
            <w:vAlign w:val="bottom"/>
            <w:tcBorders>
              <w:top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35,404</w:t>
            </w:r>
          </w:p>
        </w:tc>
        <w:tc>
          <w:tcPr>
            <w:tcW w:w="200" w:type="dxa"/>
            <w:vAlign w:val="bottom"/>
            <w:tcBorders>
              <w:top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206,006</w:t>
            </w:r>
          </w:p>
        </w:tc>
        <w:tc>
          <w:tcPr>
            <w:tcW w:w="10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(2,591)</w:t>
            </w:r>
          </w:p>
        </w:tc>
        <w:tc>
          <w:tcPr>
            <w:tcW w:w="200" w:type="dxa"/>
            <w:vAlign w:val="bottom"/>
            <w:tcBorders>
              <w:top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(48,976)</w:t>
            </w:r>
          </w:p>
        </w:tc>
        <w:tc>
          <w:tcPr>
            <w:tcW w:w="14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top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189,843</w:t>
            </w:r>
          </w:p>
        </w:tc>
        <w:tc>
          <w:tcPr>
            <w:tcW w:w="160" w:type="dxa"/>
            <w:vAlign w:val="bottom"/>
            <w:tcBorders>
              <w:top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5,757</w:t>
            </w:r>
          </w:p>
        </w:tc>
        <w:tc>
          <w:tcPr>
            <w:tcW w:w="180" w:type="dxa"/>
            <w:vAlign w:val="bottom"/>
            <w:tcBorders>
              <w:top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195,600</w:t>
            </w:r>
          </w:p>
        </w:tc>
      </w:tr>
      <w:tr>
        <w:trPr>
          <w:trHeight w:val="77"/>
        </w:trPr>
        <w:tc>
          <w:tcPr>
            <w:tcW w:w="2440" w:type="dxa"/>
            <w:vAlign w:val="bottom"/>
            <w:tcBorders>
              <w:bottom w:val="single" w:sz="8" w:color="0077C0"/>
            </w:tcBorders>
          </w:tcPr>
          <w:p>
            <w:pPr>
              <w:spacing w:after="0"/>
              <w:rPr>
                <w:sz w:val="6"/>
                <w:szCs w:val="6"/>
                <w:color w:val="auto"/>
              </w:rPr>
            </w:pPr>
          </w:p>
        </w:tc>
        <w:tc>
          <w:tcPr>
            <w:tcW w:w="500" w:type="dxa"/>
            <w:vAlign w:val="bottom"/>
            <w:tcBorders>
              <w:bottom w:val="single" w:sz="8" w:color="0077C0"/>
            </w:tcBorders>
          </w:tcPr>
          <w:p>
            <w:pPr>
              <w:spacing w:after="0"/>
              <w:rPr>
                <w:sz w:val="6"/>
                <w:szCs w:val="6"/>
                <w:color w:val="auto"/>
              </w:rPr>
            </w:pPr>
          </w:p>
        </w:tc>
        <w:tc>
          <w:tcPr>
            <w:tcW w:w="1000" w:type="dxa"/>
            <w:vAlign w:val="bottom"/>
            <w:tcBorders>
              <w:bottom w:val="single" w:sz="8" w:color="0077C0"/>
            </w:tcBorders>
          </w:tcPr>
          <w:p>
            <w:pPr>
              <w:spacing w:after="0"/>
              <w:rPr>
                <w:sz w:val="6"/>
                <w:szCs w:val="6"/>
                <w:color w:val="auto"/>
              </w:rPr>
            </w:pPr>
          </w:p>
        </w:tc>
        <w:tc>
          <w:tcPr>
            <w:tcW w:w="200" w:type="dxa"/>
            <w:vAlign w:val="bottom"/>
            <w:tcBorders>
              <w:bottom w:val="single" w:sz="8" w:color="0077C0"/>
            </w:tcBorders>
          </w:tcPr>
          <w:p>
            <w:pPr>
              <w:spacing w:after="0"/>
              <w:rPr>
                <w:sz w:val="6"/>
                <w:szCs w:val="6"/>
                <w:color w:val="auto"/>
              </w:rPr>
            </w:pPr>
          </w:p>
        </w:tc>
        <w:tc>
          <w:tcPr>
            <w:tcW w:w="1020" w:type="dxa"/>
            <w:vAlign w:val="bottom"/>
            <w:tcBorders>
              <w:bottom w:val="single" w:sz="8" w:color="0077C0"/>
            </w:tcBorders>
          </w:tcPr>
          <w:p>
            <w:pPr>
              <w:spacing w:after="0"/>
              <w:rPr>
                <w:sz w:val="6"/>
                <w:szCs w:val="6"/>
                <w:color w:val="auto"/>
              </w:rPr>
            </w:pPr>
          </w:p>
        </w:tc>
        <w:tc>
          <w:tcPr>
            <w:tcW w:w="100" w:type="dxa"/>
            <w:vAlign w:val="bottom"/>
            <w:tcBorders>
              <w:bottom w:val="single" w:sz="8" w:color="0077C0"/>
            </w:tcBorders>
          </w:tcPr>
          <w:p>
            <w:pPr>
              <w:spacing w:after="0"/>
              <w:rPr>
                <w:sz w:val="6"/>
                <w:szCs w:val="6"/>
                <w:color w:val="auto"/>
              </w:rPr>
            </w:pPr>
          </w:p>
        </w:tc>
        <w:tc>
          <w:tcPr>
            <w:tcW w:w="1080" w:type="dxa"/>
            <w:vAlign w:val="bottom"/>
            <w:tcBorders>
              <w:bottom w:val="single" w:sz="8" w:color="0077C0"/>
            </w:tcBorders>
          </w:tcPr>
          <w:p>
            <w:pPr>
              <w:spacing w:after="0"/>
              <w:rPr>
                <w:sz w:val="6"/>
                <w:szCs w:val="6"/>
                <w:color w:val="auto"/>
              </w:rPr>
            </w:pPr>
          </w:p>
        </w:tc>
        <w:tc>
          <w:tcPr>
            <w:tcW w:w="200" w:type="dxa"/>
            <w:vAlign w:val="bottom"/>
            <w:tcBorders>
              <w:bottom w:val="single" w:sz="8" w:color="0077C0"/>
            </w:tcBorders>
          </w:tcPr>
          <w:p>
            <w:pPr>
              <w:spacing w:after="0"/>
              <w:rPr>
                <w:sz w:val="6"/>
                <w:szCs w:val="6"/>
                <w:color w:val="auto"/>
              </w:rPr>
            </w:pPr>
          </w:p>
        </w:tc>
        <w:tc>
          <w:tcPr>
            <w:tcW w:w="1000" w:type="dxa"/>
            <w:vAlign w:val="bottom"/>
            <w:tcBorders>
              <w:bottom w:val="single" w:sz="8" w:color="0077C0"/>
            </w:tcBorders>
          </w:tcPr>
          <w:p>
            <w:pPr>
              <w:spacing w:after="0"/>
              <w:rPr>
                <w:sz w:val="6"/>
                <w:szCs w:val="6"/>
                <w:color w:val="auto"/>
              </w:rPr>
            </w:pPr>
          </w:p>
        </w:tc>
        <w:tc>
          <w:tcPr>
            <w:tcW w:w="140" w:type="dxa"/>
            <w:vAlign w:val="bottom"/>
            <w:tcBorders>
              <w:bottom w:val="single" w:sz="8" w:color="0077C0"/>
            </w:tcBorders>
          </w:tcPr>
          <w:p>
            <w:pPr>
              <w:spacing w:after="0"/>
              <w:rPr>
                <w:sz w:val="6"/>
                <w:szCs w:val="6"/>
                <w:color w:val="auto"/>
              </w:rPr>
            </w:pPr>
          </w:p>
        </w:tc>
        <w:tc>
          <w:tcPr>
            <w:tcW w:w="1180" w:type="dxa"/>
            <w:vAlign w:val="bottom"/>
            <w:tcBorders>
              <w:bottom w:val="single" w:sz="8" w:color="0077C0"/>
              <w:right w:val="single" w:sz="8" w:color="0077C0"/>
            </w:tcBorders>
          </w:tcPr>
          <w:p>
            <w:pPr>
              <w:spacing w:after="0"/>
              <w:rPr>
                <w:sz w:val="6"/>
                <w:szCs w:val="6"/>
                <w:color w:val="auto"/>
              </w:rPr>
            </w:pPr>
          </w:p>
        </w:tc>
        <w:tc>
          <w:tcPr>
            <w:tcW w:w="160" w:type="dxa"/>
            <w:vAlign w:val="bottom"/>
            <w:tcBorders>
              <w:bottom w:val="single" w:sz="8" w:color="0077C0"/>
            </w:tcBorders>
          </w:tcPr>
          <w:p>
            <w:pPr>
              <w:spacing w:after="0"/>
              <w:rPr>
                <w:sz w:val="6"/>
                <w:szCs w:val="6"/>
                <w:color w:val="auto"/>
              </w:rPr>
            </w:pPr>
          </w:p>
        </w:tc>
        <w:tc>
          <w:tcPr>
            <w:tcW w:w="1040" w:type="dxa"/>
            <w:vAlign w:val="bottom"/>
            <w:tcBorders>
              <w:bottom w:val="single" w:sz="8" w:color="0077C0"/>
              <w:right w:val="single" w:sz="8" w:color="0077C0"/>
            </w:tcBorders>
          </w:tcPr>
          <w:p>
            <w:pPr>
              <w:spacing w:after="0"/>
              <w:rPr>
                <w:sz w:val="6"/>
                <w:szCs w:val="6"/>
                <w:color w:val="auto"/>
              </w:rPr>
            </w:pPr>
          </w:p>
        </w:tc>
        <w:tc>
          <w:tcPr>
            <w:tcW w:w="180" w:type="dxa"/>
            <w:vAlign w:val="bottom"/>
            <w:tcBorders>
              <w:bottom w:val="single" w:sz="8" w:color="0077C0"/>
            </w:tcBorders>
          </w:tcPr>
          <w:p>
            <w:pPr>
              <w:spacing w:after="0"/>
              <w:rPr>
                <w:sz w:val="6"/>
                <w:szCs w:val="6"/>
                <w:color w:val="auto"/>
              </w:rPr>
            </w:pPr>
          </w:p>
        </w:tc>
        <w:tc>
          <w:tcPr>
            <w:tcW w:w="1000" w:type="dxa"/>
            <w:vAlign w:val="bottom"/>
            <w:tcBorders>
              <w:bottom w:val="single" w:sz="8" w:color="0077C0"/>
            </w:tcBorders>
          </w:tcPr>
          <w:p>
            <w:pPr>
              <w:spacing w:after="0"/>
              <w:rPr>
                <w:sz w:val="6"/>
                <w:szCs w:val="6"/>
                <w:color w:val="auto"/>
              </w:rPr>
            </w:pPr>
          </w:p>
        </w:tc>
      </w:tr>
      <w:tr>
        <w:trPr>
          <w:trHeight w:val="186"/>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77C0"/>
              </w:rPr>
              <w:t>Balance at June 30, 2026</w:t>
            </w: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35,591</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212,595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(2,113)</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(56,190)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189,883</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5,675</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195,558</w:t>
            </w:r>
          </w:p>
        </w:tc>
      </w:tr>
      <w:tr>
        <w:trPr>
          <w:trHeight w:val="23"/>
        </w:trPr>
        <w:tc>
          <w:tcPr>
            <w:tcW w:w="244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108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140" w:type="dxa"/>
            <w:vAlign w:val="bottom"/>
            <w:tcBorders>
              <w:bottom w:val="single" w:sz="8" w:color="0077C0"/>
            </w:tcBorders>
          </w:tcPr>
          <w:p>
            <w:pPr>
              <w:spacing w:after="0"/>
              <w:rPr>
                <w:sz w:val="2"/>
                <w:szCs w:val="2"/>
                <w:color w:val="auto"/>
              </w:rPr>
            </w:pPr>
          </w:p>
        </w:tc>
        <w:tc>
          <w:tcPr>
            <w:tcW w:w="1180" w:type="dxa"/>
            <w:vAlign w:val="bottom"/>
            <w:tcBorders>
              <w:bottom w:val="single" w:sz="8" w:color="0077C0"/>
              <w:right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1040" w:type="dxa"/>
            <w:vAlign w:val="bottom"/>
            <w:tcBorders>
              <w:bottom w:val="single" w:sz="8" w:color="0077C0"/>
              <w:right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r>
      <w:tr>
        <w:trPr>
          <w:trHeight w:val="190"/>
        </w:trPr>
        <w:tc>
          <w:tcPr>
            <w:tcW w:w="2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Treasury stock transactions</w:t>
            </w:r>
          </w:p>
        </w:tc>
        <w:tc>
          <w:tcPr>
            <w:tcW w:w="5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right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93"/>
        </w:trPr>
        <w:tc>
          <w:tcPr>
            <w:tcW w:w="2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9,924</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9,924</w:t>
            </w:r>
          </w:p>
        </w:tc>
        <w:tc>
          <w:tcPr>
            <w:tcW w:w="160" w:type="dxa"/>
            <w:vAlign w:val="bottom"/>
          </w:tcPr>
          <w:p>
            <w:pPr>
              <w:spacing w:after="0"/>
              <w:rPr>
                <w:sz w:val="16"/>
                <w:szCs w:val="16"/>
                <w:color w:val="auto"/>
              </w:rPr>
            </w:pPr>
          </w:p>
        </w:tc>
        <w:tc>
          <w:tcPr>
            <w:tcW w:w="10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124</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10,048</w:t>
            </w:r>
          </w:p>
        </w:tc>
      </w:tr>
      <w:tr>
        <w:trPr>
          <w:trHeight w:val="23"/>
        </w:trPr>
        <w:tc>
          <w:tcPr>
            <w:tcW w:w="2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right w:val="single" w:sz="8" w:color="0077C0"/>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0077C0"/>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2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($1.78 per share)</w:t>
            </w: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(3,482)</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right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(3,482)</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right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(3,631)</w:t>
            </w:r>
          </w:p>
        </w:tc>
      </w:tr>
      <w:tr>
        <w:trPr>
          <w:trHeight w:val="193"/>
        </w:trPr>
        <w:tc>
          <w:tcPr>
            <w:tcW w:w="2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dividends</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6"/>
                <w:szCs w:val="16"/>
                <w:color w:val="auto"/>
              </w:rPr>
            </w:pPr>
          </w:p>
        </w:tc>
        <w:tc>
          <w:tcPr>
            <w:tcW w:w="10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3"/>
        </w:trPr>
        <w:tc>
          <w:tcPr>
            <w:tcW w:w="2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right w:val="single" w:sz="8" w:color="0077C0"/>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0077C0"/>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2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216"/>
        </w:trPr>
        <w:tc>
          <w:tcPr>
            <w:tcW w:w="2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treasury shares</w:t>
            </w:r>
            <w:r>
              <w:rPr>
                <w:rFonts w:ascii="Times New Roman" w:cs="Times New Roman" w:eastAsia="Times New Roman" w:hAnsi="Times New Roman"/>
                <w:sz w:val="18"/>
                <w:szCs w:val="18"/>
                <w:color w:val="auto"/>
                <w:vertAlign w:val="superscript"/>
              </w:rPr>
              <w:t>(2)</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140" w:type="dxa"/>
            <w:vAlign w:val="bottom"/>
          </w:tcPr>
          <w:p>
            <w:pPr>
              <w:spacing w:after="0"/>
              <w:rPr>
                <w:sz w:val="18"/>
                <w:szCs w:val="18"/>
                <w:color w:val="auto"/>
              </w:rPr>
            </w:pPr>
          </w:p>
        </w:tc>
        <w:tc>
          <w:tcPr>
            <w:tcW w:w="118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160" w:type="dxa"/>
            <w:vAlign w:val="bottom"/>
          </w:tcPr>
          <w:p>
            <w:pPr>
              <w:spacing w:after="0"/>
              <w:rPr>
                <w:sz w:val="18"/>
                <w:szCs w:val="18"/>
                <w:color w:val="auto"/>
              </w:rPr>
            </w:pPr>
          </w:p>
        </w:tc>
        <w:tc>
          <w:tcPr>
            <w:tcW w:w="10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w:t>
            </w:r>
          </w:p>
        </w:tc>
      </w:tr>
      <w:tr>
        <w:trPr>
          <w:trHeight w:val="221"/>
        </w:trPr>
        <w:tc>
          <w:tcPr>
            <w:tcW w:w="2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Issuances of treasury shares</w:t>
            </w: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473</w:t>
            </w: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r>
      <w:tr>
        <w:trPr>
          <w:trHeight w:val="186"/>
        </w:trPr>
        <w:tc>
          <w:tcPr>
            <w:tcW w:w="2440" w:type="dxa"/>
            <w:vAlign w:val="bottom"/>
            <w:tcBorders>
              <w:top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0077C0"/>
              </w:rPr>
              <w:t>Balance at September 30, 2026</w:t>
            </w:r>
          </w:p>
        </w:tc>
        <w:tc>
          <w:tcPr>
            <w:tcW w:w="500" w:type="dxa"/>
            <w:vAlign w:val="bottom"/>
            <w:tcBorders>
              <w:top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35,692</w:t>
            </w:r>
          </w:p>
        </w:tc>
        <w:tc>
          <w:tcPr>
            <w:tcW w:w="200" w:type="dxa"/>
            <w:vAlign w:val="bottom"/>
            <w:tcBorders>
              <w:top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219,027</w:t>
            </w:r>
          </w:p>
        </w:tc>
        <w:tc>
          <w:tcPr>
            <w:tcW w:w="10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(1,984)</w:t>
            </w:r>
          </w:p>
        </w:tc>
        <w:tc>
          <w:tcPr>
            <w:tcW w:w="200" w:type="dxa"/>
            <w:vAlign w:val="bottom"/>
            <w:tcBorders>
              <w:top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(58,408)</w:t>
            </w:r>
          </w:p>
        </w:tc>
        <w:tc>
          <w:tcPr>
            <w:tcW w:w="14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top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194,327</w:t>
            </w:r>
          </w:p>
        </w:tc>
        <w:tc>
          <w:tcPr>
            <w:tcW w:w="160" w:type="dxa"/>
            <w:vAlign w:val="bottom"/>
            <w:tcBorders>
              <w:top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5,650</w:t>
            </w:r>
          </w:p>
        </w:tc>
        <w:tc>
          <w:tcPr>
            <w:tcW w:w="180" w:type="dxa"/>
            <w:vAlign w:val="bottom"/>
            <w:tcBorders>
              <w:top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199,977</w:t>
            </w:r>
          </w:p>
        </w:tc>
      </w:tr>
      <w:tr>
        <w:trPr>
          <w:trHeight w:val="62"/>
        </w:trPr>
        <w:tc>
          <w:tcPr>
            <w:tcW w:w="2440" w:type="dxa"/>
            <w:vAlign w:val="bottom"/>
            <w:tcBorders>
              <w:bottom w:val="single" w:sz="8" w:color="0077C0"/>
            </w:tcBorders>
          </w:tcPr>
          <w:p>
            <w:pPr>
              <w:spacing w:after="0"/>
              <w:rPr>
                <w:sz w:val="5"/>
                <w:szCs w:val="5"/>
                <w:color w:val="auto"/>
              </w:rPr>
            </w:pPr>
          </w:p>
        </w:tc>
        <w:tc>
          <w:tcPr>
            <w:tcW w:w="500" w:type="dxa"/>
            <w:vAlign w:val="bottom"/>
            <w:tcBorders>
              <w:bottom w:val="single" w:sz="8" w:color="0077C0"/>
            </w:tcBorders>
          </w:tcPr>
          <w:p>
            <w:pPr>
              <w:spacing w:after="0"/>
              <w:rPr>
                <w:sz w:val="5"/>
                <w:szCs w:val="5"/>
                <w:color w:val="auto"/>
              </w:rPr>
            </w:pPr>
          </w:p>
        </w:tc>
        <w:tc>
          <w:tcPr>
            <w:tcW w:w="1000" w:type="dxa"/>
            <w:vAlign w:val="bottom"/>
            <w:tcBorders>
              <w:bottom w:val="single" w:sz="8" w:color="0077C0"/>
            </w:tcBorders>
          </w:tcPr>
          <w:p>
            <w:pPr>
              <w:spacing w:after="0"/>
              <w:rPr>
                <w:sz w:val="5"/>
                <w:szCs w:val="5"/>
                <w:color w:val="auto"/>
              </w:rPr>
            </w:pPr>
          </w:p>
        </w:tc>
        <w:tc>
          <w:tcPr>
            <w:tcW w:w="200" w:type="dxa"/>
            <w:vAlign w:val="bottom"/>
            <w:tcBorders>
              <w:bottom w:val="single" w:sz="8" w:color="0077C0"/>
            </w:tcBorders>
          </w:tcPr>
          <w:p>
            <w:pPr>
              <w:spacing w:after="0"/>
              <w:rPr>
                <w:sz w:val="5"/>
                <w:szCs w:val="5"/>
                <w:color w:val="auto"/>
              </w:rPr>
            </w:pPr>
          </w:p>
        </w:tc>
        <w:tc>
          <w:tcPr>
            <w:tcW w:w="1020" w:type="dxa"/>
            <w:vAlign w:val="bottom"/>
            <w:tcBorders>
              <w:bottom w:val="single" w:sz="8" w:color="0077C0"/>
            </w:tcBorders>
          </w:tcPr>
          <w:p>
            <w:pPr>
              <w:spacing w:after="0"/>
              <w:rPr>
                <w:sz w:val="5"/>
                <w:szCs w:val="5"/>
                <w:color w:val="auto"/>
              </w:rPr>
            </w:pPr>
          </w:p>
        </w:tc>
        <w:tc>
          <w:tcPr>
            <w:tcW w:w="100" w:type="dxa"/>
            <w:vAlign w:val="bottom"/>
            <w:tcBorders>
              <w:bottom w:val="single" w:sz="8" w:color="0077C0"/>
            </w:tcBorders>
          </w:tcPr>
          <w:p>
            <w:pPr>
              <w:spacing w:after="0"/>
              <w:rPr>
                <w:sz w:val="5"/>
                <w:szCs w:val="5"/>
                <w:color w:val="auto"/>
              </w:rPr>
            </w:pPr>
          </w:p>
        </w:tc>
        <w:tc>
          <w:tcPr>
            <w:tcW w:w="1080" w:type="dxa"/>
            <w:vAlign w:val="bottom"/>
            <w:tcBorders>
              <w:bottom w:val="single" w:sz="8" w:color="0077C0"/>
            </w:tcBorders>
          </w:tcPr>
          <w:p>
            <w:pPr>
              <w:spacing w:after="0"/>
              <w:rPr>
                <w:sz w:val="5"/>
                <w:szCs w:val="5"/>
                <w:color w:val="auto"/>
              </w:rPr>
            </w:pPr>
          </w:p>
        </w:tc>
        <w:tc>
          <w:tcPr>
            <w:tcW w:w="200" w:type="dxa"/>
            <w:vAlign w:val="bottom"/>
            <w:tcBorders>
              <w:bottom w:val="single" w:sz="8" w:color="0077C0"/>
            </w:tcBorders>
          </w:tcPr>
          <w:p>
            <w:pPr>
              <w:spacing w:after="0"/>
              <w:rPr>
                <w:sz w:val="5"/>
                <w:szCs w:val="5"/>
                <w:color w:val="auto"/>
              </w:rPr>
            </w:pPr>
          </w:p>
        </w:tc>
        <w:tc>
          <w:tcPr>
            <w:tcW w:w="1000" w:type="dxa"/>
            <w:vAlign w:val="bottom"/>
            <w:tcBorders>
              <w:bottom w:val="single" w:sz="8" w:color="0077C0"/>
            </w:tcBorders>
          </w:tcPr>
          <w:p>
            <w:pPr>
              <w:spacing w:after="0"/>
              <w:rPr>
                <w:sz w:val="5"/>
                <w:szCs w:val="5"/>
                <w:color w:val="auto"/>
              </w:rPr>
            </w:pPr>
          </w:p>
        </w:tc>
        <w:tc>
          <w:tcPr>
            <w:tcW w:w="140" w:type="dxa"/>
            <w:vAlign w:val="bottom"/>
            <w:tcBorders>
              <w:bottom w:val="single" w:sz="8" w:color="0077C0"/>
            </w:tcBorders>
          </w:tcPr>
          <w:p>
            <w:pPr>
              <w:spacing w:after="0"/>
              <w:rPr>
                <w:sz w:val="5"/>
                <w:szCs w:val="5"/>
                <w:color w:val="auto"/>
              </w:rPr>
            </w:pPr>
          </w:p>
        </w:tc>
        <w:tc>
          <w:tcPr>
            <w:tcW w:w="1180" w:type="dxa"/>
            <w:vAlign w:val="bottom"/>
            <w:tcBorders>
              <w:bottom w:val="single" w:sz="8" w:color="0077C0"/>
              <w:right w:val="single" w:sz="8" w:color="0077C0"/>
            </w:tcBorders>
          </w:tcPr>
          <w:p>
            <w:pPr>
              <w:spacing w:after="0"/>
              <w:rPr>
                <w:sz w:val="5"/>
                <w:szCs w:val="5"/>
                <w:color w:val="auto"/>
              </w:rPr>
            </w:pPr>
          </w:p>
        </w:tc>
        <w:tc>
          <w:tcPr>
            <w:tcW w:w="160" w:type="dxa"/>
            <w:vAlign w:val="bottom"/>
            <w:tcBorders>
              <w:bottom w:val="single" w:sz="8" w:color="0077C0"/>
            </w:tcBorders>
          </w:tcPr>
          <w:p>
            <w:pPr>
              <w:spacing w:after="0"/>
              <w:rPr>
                <w:sz w:val="5"/>
                <w:szCs w:val="5"/>
                <w:color w:val="auto"/>
              </w:rPr>
            </w:pPr>
          </w:p>
        </w:tc>
        <w:tc>
          <w:tcPr>
            <w:tcW w:w="1040" w:type="dxa"/>
            <w:vAlign w:val="bottom"/>
            <w:tcBorders>
              <w:bottom w:val="single" w:sz="8" w:color="0077C0"/>
              <w:right w:val="single" w:sz="8" w:color="0077C0"/>
            </w:tcBorders>
          </w:tcPr>
          <w:p>
            <w:pPr>
              <w:spacing w:after="0"/>
              <w:rPr>
                <w:sz w:val="5"/>
                <w:szCs w:val="5"/>
                <w:color w:val="auto"/>
              </w:rPr>
            </w:pPr>
          </w:p>
        </w:tc>
        <w:tc>
          <w:tcPr>
            <w:tcW w:w="180" w:type="dxa"/>
            <w:vAlign w:val="bottom"/>
            <w:tcBorders>
              <w:bottom w:val="single" w:sz="8" w:color="0077C0"/>
            </w:tcBorders>
          </w:tcPr>
          <w:p>
            <w:pPr>
              <w:spacing w:after="0"/>
              <w:rPr>
                <w:sz w:val="5"/>
                <w:szCs w:val="5"/>
                <w:color w:val="auto"/>
              </w:rPr>
            </w:pPr>
          </w:p>
        </w:tc>
        <w:tc>
          <w:tcPr>
            <w:tcW w:w="1000" w:type="dxa"/>
            <w:vAlign w:val="bottom"/>
            <w:tcBorders>
              <w:bottom w:val="single" w:sz="8" w:color="0077C0"/>
            </w:tcBorders>
          </w:tcPr>
          <w:p>
            <w:pPr>
              <w:spacing w:after="0"/>
              <w:rPr>
                <w:sz w:val="5"/>
                <w:szCs w:val="5"/>
                <w:color w:val="auto"/>
              </w:rPr>
            </w:pPr>
          </w:p>
        </w:tc>
      </w:tr>
      <w:tr>
        <w:trPr>
          <w:trHeight w:val="193"/>
        </w:trPr>
        <w:tc>
          <w:tcPr>
            <w:tcW w:w="24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Nine Months Ended September 30</w:t>
            </w:r>
          </w:p>
        </w:tc>
        <w:tc>
          <w:tcPr>
            <w:tcW w:w="50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1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r>
      <w:tr>
        <w:trPr>
          <w:trHeight w:val="23"/>
        </w:trPr>
        <w:tc>
          <w:tcPr>
            <w:tcW w:w="244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108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140" w:type="dxa"/>
            <w:vAlign w:val="bottom"/>
            <w:tcBorders>
              <w:bottom w:val="single" w:sz="8" w:color="0077C0"/>
            </w:tcBorders>
          </w:tcPr>
          <w:p>
            <w:pPr>
              <w:spacing w:after="0"/>
              <w:rPr>
                <w:sz w:val="2"/>
                <w:szCs w:val="2"/>
                <w:color w:val="auto"/>
              </w:rPr>
            </w:pPr>
          </w:p>
        </w:tc>
        <w:tc>
          <w:tcPr>
            <w:tcW w:w="118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104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r>
      <w:tr>
        <w:trPr>
          <w:trHeight w:val="215"/>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0077C0"/>
              </w:rPr>
              <w:t>Balance at December 31, 2024</w:t>
            </w: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23,263</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205,852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(2,760)</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(74,037)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CCEEFF"/>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152,318</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CCEEFF"/>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839</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153,157</w:t>
            </w:r>
          </w:p>
        </w:tc>
      </w:tr>
      <w:tr>
        <w:trPr>
          <w:trHeight w:val="186"/>
        </w:trPr>
        <w:tc>
          <w:tcPr>
            <w:tcW w:w="2440" w:type="dxa"/>
            <w:vAlign w:val="bottom"/>
            <w:tcBorders>
              <w:top w:val="single" w:sz="8" w:color="0077C0"/>
            </w:tcBorders>
          </w:tcPr>
          <w:p>
            <w:pPr>
              <w:ind w:left="140"/>
              <w:spacing w:after="0"/>
              <w:rPr>
                <w:sz w:val="20"/>
                <w:szCs w:val="20"/>
                <w:color w:val="auto"/>
              </w:rPr>
            </w:pPr>
            <w:r>
              <w:rPr>
                <w:rFonts w:ascii="Times New Roman" w:cs="Times New Roman" w:eastAsia="Times New Roman" w:hAnsi="Times New Roman"/>
                <w:sz w:val="14"/>
                <w:szCs w:val="14"/>
                <w:color w:val="auto"/>
              </w:rPr>
              <w:t>Treasury stock transactions</w:t>
            </w:r>
          </w:p>
        </w:tc>
        <w:tc>
          <w:tcPr>
            <w:tcW w:w="500" w:type="dxa"/>
            <w:vAlign w:val="bottom"/>
            <w:tcBorders>
              <w:top w:val="single" w:sz="8" w:color="0077C0"/>
            </w:tcBorders>
          </w:tcPr>
          <w:p>
            <w:pPr>
              <w:spacing w:after="0"/>
              <w:rPr>
                <w:sz w:val="16"/>
                <w:szCs w:val="16"/>
                <w:color w:val="auto"/>
              </w:rPr>
            </w:pPr>
          </w:p>
        </w:tc>
        <w:tc>
          <w:tcPr>
            <w:tcW w:w="100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200" w:type="dxa"/>
            <w:vAlign w:val="bottom"/>
            <w:tcBorders>
              <w:top w:val="single" w:sz="8" w:color="0077C0"/>
            </w:tcBorders>
          </w:tcPr>
          <w:p>
            <w:pPr>
              <w:spacing w:after="0"/>
              <w:rPr>
                <w:sz w:val="16"/>
                <w:szCs w:val="16"/>
                <w:color w:val="auto"/>
              </w:rPr>
            </w:pPr>
          </w:p>
        </w:tc>
        <w:tc>
          <w:tcPr>
            <w:tcW w:w="1020" w:type="dxa"/>
            <w:vAlign w:val="bottom"/>
            <w:tcBorders>
              <w:top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0077C0"/>
            </w:tcBorders>
          </w:tcPr>
          <w:p>
            <w:pPr>
              <w:spacing w:after="0"/>
              <w:rPr>
                <w:sz w:val="16"/>
                <w:szCs w:val="16"/>
                <w:color w:val="auto"/>
              </w:rPr>
            </w:pPr>
          </w:p>
        </w:tc>
        <w:tc>
          <w:tcPr>
            <w:tcW w:w="108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0077C0"/>
            </w:tcBorders>
          </w:tcPr>
          <w:p>
            <w:pPr>
              <w:spacing w:after="0"/>
              <w:rPr>
                <w:sz w:val="16"/>
                <w:szCs w:val="16"/>
                <w:color w:val="auto"/>
              </w:rPr>
            </w:pPr>
          </w:p>
        </w:tc>
        <w:tc>
          <w:tcPr>
            <w:tcW w:w="100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0077C0"/>
            </w:tcBorders>
          </w:tcPr>
          <w:p>
            <w:pPr>
              <w:spacing w:after="0"/>
              <w:rPr>
                <w:sz w:val="16"/>
                <w:szCs w:val="16"/>
                <w:color w:val="auto"/>
              </w:rPr>
            </w:pPr>
          </w:p>
        </w:tc>
        <w:tc>
          <w:tcPr>
            <w:tcW w:w="1180" w:type="dxa"/>
            <w:vAlign w:val="bottom"/>
            <w:tcBorders>
              <w:top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450</w:t>
            </w:r>
          </w:p>
        </w:tc>
        <w:tc>
          <w:tcPr>
            <w:tcW w:w="160" w:type="dxa"/>
            <w:vAlign w:val="bottom"/>
            <w:tcBorders>
              <w:top w:val="single" w:sz="8" w:color="0077C0"/>
            </w:tcBorders>
          </w:tcPr>
          <w:p>
            <w:pPr>
              <w:spacing w:after="0"/>
              <w:rPr>
                <w:sz w:val="16"/>
                <w:szCs w:val="16"/>
                <w:color w:val="auto"/>
              </w:rPr>
            </w:pPr>
          </w:p>
        </w:tc>
        <w:tc>
          <w:tcPr>
            <w:tcW w:w="1040" w:type="dxa"/>
            <w:vAlign w:val="bottom"/>
            <w:tcBorders>
              <w:top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0077C0"/>
            </w:tcBorders>
          </w:tcPr>
          <w:p>
            <w:pPr>
              <w:spacing w:after="0"/>
              <w:rPr>
                <w:sz w:val="16"/>
                <w:szCs w:val="16"/>
                <w:color w:val="auto"/>
              </w:rPr>
            </w:pPr>
          </w:p>
        </w:tc>
        <w:tc>
          <w:tcPr>
            <w:tcW w:w="100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450</w:t>
            </w:r>
          </w:p>
        </w:tc>
      </w:tr>
      <w:tr>
        <w:trPr>
          <w:trHeight w:val="23"/>
        </w:trPr>
        <w:tc>
          <w:tcPr>
            <w:tcW w:w="2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right w:val="single" w:sz="8" w:color="0077C0"/>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0077C0"/>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2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Hess Corporation acquisition</w:t>
            </w: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11,775</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33,828</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45,603</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5,035</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50,638</w:t>
            </w:r>
          </w:p>
        </w:tc>
      </w:tr>
      <w:tr>
        <w:trPr>
          <w:trHeight w:val="193"/>
        </w:trPr>
        <w:tc>
          <w:tcPr>
            <w:tcW w:w="2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9,529</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9,529</w:t>
            </w:r>
          </w:p>
        </w:tc>
        <w:tc>
          <w:tcPr>
            <w:tcW w:w="160" w:type="dxa"/>
            <w:vAlign w:val="bottom"/>
          </w:tcPr>
          <w:p>
            <w:pPr>
              <w:spacing w:after="0"/>
              <w:rPr>
                <w:sz w:val="16"/>
                <w:szCs w:val="16"/>
                <w:color w:val="auto"/>
              </w:rPr>
            </w:pPr>
          </w:p>
        </w:tc>
        <w:tc>
          <w:tcPr>
            <w:tcW w:w="10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111</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9,640</w:t>
            </w:r>
          </w:p>
        </w:tc>
      </w:tr>
      <w:tr>
        <w:trPr>
          <w:trHeight w:val="23"/>
        </w:trPr>
        <w:tc>
          <w:tcPr>
            <w:tcW w:w="2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right w:val="single" w:sz="8" w:color="0077C0"/>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0077C0"/>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2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($5.13 per share)</w:t>
            </w: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(9,347)</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right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(9,347)</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right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(9,575)</w:t>
            </w:r>
          </w:p>
        </w:tc>
      </w:tr>
      <w:tr>
        <w:trPr>
          <w:trHeight w:val="193"/>
        </w:trPr>
        <w:tc>
          <w:tcPr>
            <w:tcW w:w="2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dividends</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60" w:type="dxa"/>
            <w:vAlign w:val="bottom"/>
          </w:tcPr>
          <w:p>
            <w:pPr>
              <w:spacing w:after="0"/>
              <w:rPr>
                <w:sz w:val="16"/>
                <w:szCs w:val="16"/>
                <w:color w:val="auto"/>
              </w:rPr>
            </w:pPr>
          </w:p>
        </w:tc>
        <w:tc>
          <w:tcPr>
            <w:tcW w:w="10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3"/>
        </w:trPr>
        <w:tc>
          <w:tcPr>
            <w:tcW w:w="2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right w:val="single" w:sz="8" w:color="0077C0"/>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0077C0"/>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2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169</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193"/>
        </w:trPr>
        <w:tc>
          <w:tcPr>
            <w:tcW w:w="2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treasury shares</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(9,312)</w:t>
            </w:r>
          </w:p>
        </w:tc>
        <w:tc>
          <w:tcPr>
            <w:tcW w:w="140" w:type="dxa"/>
            <w:vAlign w:val="bottom"/>
          </w:tcPr>
          <w:p>
            <w:pPr>
              <w:spacing w:after="0"/>
              <w:rPr>
                <w:sz w:val="16"/>
                <w:szCs w:val="16"/>
                <w:color w:val="auto"/>
              </w:rPr>
            </w:pPr>
          </w:p>
        </w:tc>
        <w:tc>
          <w:tcPr>
            <w:tcW w:w="118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(9,312)</w:t>
            </w:r>
          </w:p>
        </w:tc>
        <w:tc>
          <w:tcPr>
            <w:tcW w:w="160" w:type="dxa"/>
            <w:vAlign w:val="bottom"/>
          </w:tcPr>
          <w:p>
            <w:pPr>
              <w:spacing w:after="0"/>
              <w:rPr>
                <w:sz w:val="16"/>
                <w:szCs w:val="16"/>
                <w:color w:val="auto"/>
              </w:rPr>
            </w:pPr>
          </w:p>
        </w:tc>
        <w:tc>
          <w:tcPr>
            <w:tcW w:w="10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(9,312)</w:t>
            </w:r>
          </w:p>
        </w:tc>
      </w:tr>
      <w:tr>
        <w:trPr>
          <w:trHeight w:val="23"/>
        </w:trPr>
        <w:tc>
          <w:tcPr>
            <w:tcW w:w="2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right w:val="single" w:sz="8" w:color="0077C0"/>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0077C0"/>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2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Issuances of treasury shares</w:t>
            </w: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461</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r>
      <w:tr>
        <w:trPr>
          <w:trHeight w:val="193"/>
        </w:trPr>
        <w:tc>
          <w:tcPr>
            <w:tcW w:w="2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changes, net</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6"/>
                <w:szCs w:val="16"/>
                <w:color w:val="auto"/>
              </w:rPr>
            </w:pPr>
          </w:p>
        </w:tc>
        <w:tc>
          <w:tcPr>
            <w:tcW w:w="10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3"/>
        </w:trPr>
        <w:tc>
          <w:tcPr>
            <w:tcW w:w="244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108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140" w:type="dxa"/>
            <w:vAlign w:val="bottom"/>
            <w:tcBorders>
              <w:bottom w:val="single" w:sz="8" w:color="0077C0"/>
            </w:tcBorders>
          </w:tcPr>
          <w:p>
            <w:pPr>
              <w:spacing w:after="0"/>
              <w:rPr>
                <w:sz w:val="2"/>
                <w:szCs w:val="2"/>
                <w:color w:val="auto"/>
              </w:rPr>
            </w:pPr>
          </w:p>
        </w:tc>
        <w:tc>
          <w:tcPr>
            <w:tcW w:w="1180" w:type="dxa"/>
            <w:vAlign w:val="bottom"/>
            <w:tcBorders>
              <w:bottom w:val="single" w:sz="8" w:color="0077C0"/>
              <w:right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1040" w:type="dxa"/>
            <w:vAlign w:val="bottom"/>
            <w:tcBorders>
              <w:bottom w:val="single" w:sz="8" w:color="0077C0"/>
              <w:right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r>
      <w:tr>
        <w:trPr>
          <w:trHeight w:val="215"/>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0077C0"/>
              </w:rPr>
              <w:t>Balance at September 30, 2025</w:t>
            </w: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35,404</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206,006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(2,591)</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(48,976)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CCEEFF"/>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189,843</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CCEEFF"/>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5,757</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195,600</w:t>
            </w:r>
          </w:p>
        </w:tc>
      </w:tr>
      <w:tr>
        <w:trPr>
          <w:trHeight w:val="34"/>
        </w:trPr>
        <w:tc>
          <w:tcPr>
            <w:tcW w:w="2440" w:type="dxa"/>
            <w:vAlign w:val="bottom"/>
            <w:tcBorders>
              <w:top w:val="single" w:sz="8" w:color="0077C0"/>
              <w:bottom w:val="single" w:sz="8" w:color="0077C0"/>
            </w:tcBorders>
          </w:tcPr>
          <w:p>
            <w:pPr>
              <w:spacing w:after="0"/>
              <w:rPr>
                <w:sz w:val="2"/>
                <w:szCs w:val="2"/>
                <w:color w:val="auto"/>
              </w:rPr>
            </w:pPr>
          </w:p>
        </w:tc>
        <w:tc>
          <w:tcPr>
            <w:tcW w:w="500" w:type="dxa"/>
            <w:vAlign w:val="bottom"/>
            <w:tcBorders>
              <w:top w:val="single" w:sz="8" w:color="0077C0"/>
              <w:bottom w:val="single" w:sz="8" w:color="0077C0"/>
            </w:tcBorders>
          </w:tcPr>
          <w:p>
            <w:pPr>
              <w:spacing w:after="0"/>
              <w:rPr>
                <w:sz w:val="2"/>
                <w:szCs w:val="2"/>
                <w:color w:val="auto"/>
              </w:rPr>
            </w:pPr>
          </w:p>
        </w:tc>
        <w:tc>
          <w:tcPr>
            <w:tcW w:w="1000" w:type="dxa"/>
            <w:vAlign w:val="bottom"/>
            <w:tcBorders>
              <w:top w:val="single" w:sz="8" w:color="0077C0"/>
              <w:bottom w:val="single" w:sz="8" w:color="0077C0"/>
            </w:tcBorders>
          </w:tcPr>
          <w:p>
            <w:pPr>
              <w:spacing w:after="0"/>
              <w:rPr>
                <w:sz w:val="2"/>
                <w:szCs w:val="2"/>
                <w:color w:val="auto"/>
              </w:rPr>
            </w:pPr>
          </w:p>
        </w:tc>
        <w:tc>
          <w:tcPr>
            <w:tcW w:w="200" w:type="dxa"/>
            <w:vAlign w:val="bottom"/>
            <w:tcBorders>
              <w:top w:val="single" w:sz="8" w:color="0077C0"/>
              <w:bottom w:val="single" w:sz="8" w:color="0077C0"/>
            </w:tcBorders>
          </w:tcPr>
          <w:p>
            <w:pPr>
              <w:spacing w:after="0"/>
              <w:rPr>
                <w:sz w:val="2"/>
                <w:szCs w:val="2"/>
                <w:color w:val="auto"/>
              </w:rPr>
            </w:pPr>
          </w:p>
        </w:tc>
        <w:tc>
          <w:tcPr>
            <w:tcW w:w="1020" w:type="dxa"/>
            <w:vAlign w:val="bottom"/>
            <w:tcBorders>
              <w:top w:val="single" w:sz="8" w:color="0077C0"/>
              <w:bottom w:val="single" w:sz="8" w:color="0077C0"/>
            </w:tcBorders>
          </w:tcPr>
          <w:p>
            <w:pPr>
              <w:spacing w:after="0"/>
              <w:rPr>
                <w:sz w:val="2"/>
                <w:szCs w:val="2"/>
                <w:color w:val="auto"/>
              </w:rPr>
            </w:pPr>
          </w:p>
        </w:tc>
        <w:tc>
          <w:tcPr>
            <w:tcW w:w="100" w:type="dxa"/>
            <w:vAlign w:val="bottom"/>
            <w:tcBorders>
              <w:top w:val="single" w:sz="8" w:color="0077C0"/>
              <w:bottom w:val="single" w:sz="8" w:color="0077C0"/>
            </w:tcBorders>
          </w:tcPr>
          <w:p>
            <w:pPr>
              <w:spacing w:after="0"/>
              <w:rPr>
                <w:sz w:val="2"/>
                <w:szCs w:val="2"/>
                <w:color w:val="auto"/>
              </w:rPr>
            </w:pPr>
          </w:p>
        </w:tc>
        <w:tc>
          <w:tcPr>
            <w:tcW w:w="1080" w:type="dxa"/>
            <w:vAlign w:val="bottom"/>
            <w:tcBorders>
              <w:top w:val="single" w:sz="8" w:color="0077C0"/>
              <w:bottom w:val="single" w:sz="8" w:color="0077C0"/>
            </w:tcBorders>
          </w:tcPr>
          <w:p>
            <w:pPr>
              <w:spacing w:after="0"/>
              <w:rPr>
                <w:sz w:val="2"/>
                <w:szCs w:val="2"/>
                <w:color w:val="auto"/>
              </w:rPr>
            </w:pPr>
          </w:p>
        </w:tc>
        <w:tc>
          <w:tcPr>
            <w:tcW w:w="200" w:type="dxa"/>
            <w:vAlign w:val="bottom"/>
            <w:tcBorders>
              <w:top w:val="single" w:sz="8" w:color="0077C0"/>
              <w:bottom w:val="single" w:sz="8" w:color="0077C0"/>
            </w:tcBorders>
          </w:tcPr>
          <w:p>
            <w:pPr>
              <w:spacing w:after="0"/>
              <w:rPr>
                <w:sz w:val="2"/>
                <w:szCs w:val="2"/>
                <w:color w:val="auto"/>
              </w:rPr>
            </w:pPr>
          </w:p>
        </w:tc>
        <w:tc>
          <w:tcPr>
            <w:tcW w:w="1000" w:type="dxa"/>
            <w:vAlign w:val="bottom"/>
            <w:tcBorders>
              <w:top w:val="single" w:sz="8" w:color="0077C0"/>
              <w:bottom w:val="single" w:sz="8" w:color="0077C0"/>
            </w:tcBorders>
          </w:tcPr>
          <w:p>
            <w:pPr>
              <w:spacing w:after="0"/>
              <w:rPr>
                <w:sz w:val="2"/>
                <w:szCs w:val="2"/>
                <w:color w:val="auto"/>
              </w:rPr>
            </w:pPr>
          </w:p>
        </w:tc>
        <w:tc>
          <w:tcPr>
            <w:tcW w:w="140" w:type="dxa"/>
            <w:vAlign w:val="bottom"/>
            <w:tcBorders>
              <w:top w:val="single" w:sz="8" w:color="0077C0"/>
              <w:bottom w:val="single" w:sz="8" w:color="0077C0"/>
            </w:tcBorders>
          </w:tcPr>
          <w:p>
            <w:pPr>
              <w:spacing w:after="0"/>
              <w:rPr>
                <w:sz w:val="2"/>
                <w:szCs w:val="2"/>
                <w:color w:val="auto"/>
              </w:rPr>
            </w:pPr>
          </w:p>
        </w:tc>
        <w:tc>
          <w:tcPr>
            <w:tcW w:w="1180" w:type="dxa"/>
            <w:vAlign w:val="bottom"/>
            <w:tcBorders>
              <w:top w:val="single" w:sz="8" w:color="0077C0"/>
              <w:bottom w:val="single" w:sz="8" w:color="0077C0"/>
            </w:tcBorders>
          </w:tcPr>
          <w:p>
            <w:pPr>
              <w:spacing w:after="0"/>
              <w:rPr>
                <w:sz w:val="2"/>
                <w:szCs w:val="2"/>
                <w:color w:val="auto"/>
              </w:rPr>
            </w:pPr>
          </w:p>
        </w:tc>
        <w:tc>
          <w:tcPr>
            <w:tcW w:w="160" w:type="dxa"/>
            <w:vAlign w:val="bottom"/>
            <w:tcBorders>
              <w:top w:val="single" w:sz="8" w:color="0077C0"/>
              <w:bottom w:val="single" w:sz="8" w:color="0077C0"/>
            </w:tcBorders>
          </w:tcPr>
          <w:p>
            <w:pPr>
              <w:spacing w:after="0"/>
              <w:rPr>
                <w:sz w:val="2"/>
                <w:szCs w:val="2"/>
                <w:color w:val="auto"/>
              </w:rPr>
            </w:pPr>
          </w:p>
        </w:tc>
        <w:tc>
          <w:tcPr>
            <w:tcW w:w="1040" w:type="dxa"/>
            <w:vAlign w:val="bottom"/>
            <w:tcBorders>
              <w:top w:val="single" w:sz="8" w:color="0077C0"/>
              <w:bottom w:val="single" w:sz="8" w:color="0077C0"/>
            </w:tcBorders>
          </w:tcPr>
          <w:p>
            <w:pPr>
              <w:spacing w:after="0"/>
              <w:rPr>
                <w:sz w:val="2"/>
                <w:szCs w:val="2"/>
                <w:color w:val="auto"/>
              </w:rPr>
            </w:pPr>
          </w:p>
        </w:tc>
        <w:tc>
          <w:tcPr>
            <w:tcW w:w="180" w:type="dxa"/>
            <w:vAlign w:val="bottom"/>
            <w:tcBorders>
              <w:top w:val="single" w:sz="8" w:color="0077C0"/>
              <w:bottom w:val="single" w:sz="8" w:color="0077C0"/>
            </w:tcBorders>
          </w:tcPr>
          <w:p>
            <w:pPr>
              <w:spacing w:after="0"/>
              <w:rPr>
                <w:sz w:val="2"/>
                <w:szCs w:val="2"/>
                <w:color w:val="auto"/>
              </w:rPr>
            </w:pPr>
          </w:p>
        </w:tc>
        <w:tc>
          <w:tcPr>
            <w:tcW w:w="1000" w:type="dxa"/>
            <w:vAlign w:val="bottom"/>
            <w:tcBorders>
              <w:top w:val="single" w:sz="8" w:color="0077C0"/>
              <w:bottom w:val="single" w:sz="8" w:color="0077C0"/>
            </w:tcBorders>
          </w:tcPr>
          <w:p>
            <w:pPr>
              <w:spacing w:after="0"/>
              <w:rPr>
                <w:sz w:val="2"/>
                <w:szCs w:val="2"/>
                <w:color w:val="auto"/>
              </w:rPr>
            </w:pPr>
          </w:p>
        </w:tc>
      </w:tr>
      <w:tr>
        <w:trPr>
          <w:trHeight w:val="214"/>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0077C0"/>
              </w:rPr>
              <w:t>Balance at December 31, 2025</w:t>
            </w: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35,478</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205,365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(2,464)</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(51,929)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CCEEFF"/>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186,450</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CCEEFF"/>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5,726</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192,176</w:t>
            </w:r>
          </w:p>
        </w:tc>
      </w:tr>
      <w:tr>
        <w:trPr>
          <w:trHeight w:val="186"/>
        </w:trPr>
        <w:tc>
          <w:tcPr>
            <w:tcW w:w="2440" w:type="dxa"/>
            <w:vAlign w:val="bottom"/>
            <w:tcBorders>
              <w:top w:val="single" w:sz="8" w:color="0077C0"/>
            </w:tcBorders>
          </w:tcPr>
          <w:p>
            <w:pPr>
              <w:ind w:left="140"/>
              <w:spacing w:after="0"/>
              <w:rPr>
                <w:sz w:val="20"/>
                <w:szCs w:val="20"/>
                <w:color w:val="auto"/>
              </w:rPr>
            </w:pPr>
            <w:r>
              <w:rPr>
                <w:rFonts w:ascii="Times New Roman" w:cs="Times New Roman" w:eastAsia="Times New Roman" w:hAnsi="Times New Roman"/>
                <w:sz w:val="14"/>
                <w:szCs w:val="14"/>
                <w:color w:val="auto"/>
              </w:rPr>
              <w:t>Treasury stock transactions</w:t>
            </w:r>
          </w:p>
        </w:tc>
        <w:tc>
          <w:tcPr>
            <w:tcW w:w="500" w:type="dxa"/>
            <w:vAlign w:val="bottom"/>
            <w:tcBorders>
              <w:top w:val="single" w:sz="8" w:color="0077C0"/>
            </w:tcBorders>
          </w:tcPr>
          <w:p>
            <w:pPr>
              <w:spacing w:after="0"/>
              <w:rPr>
                <w:sz w:val="16"/>
                <w:szCs w:val="16"/>
                <w:color w:val="auto"/>
              </w:rPr>
            </w:pPr>
          </w:p>
        </w:tc>
        <w:tc>
          <w:tcPr>
            <w:tcW w:w="100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0" w:type="dxa"/>
            <w:vAlign w:val="bottom"/>
            <w:tcBorders>
              <w:top w:val="single" w:sz="8" w:color="0077C0"/>
            </w:tcBorders>
          </w:tcPr>
          <w:p>
            <w:pPr>
              <w:spacing w:after="0"/>
              <w:rPr>
                <w:sz w:val="16"/>
                <w:szCs w:val="16"/>
                <w:color w:val="auto"/>
              </w:rPr>
            </w:pPr>
          </w:p>
        </w:tc>
        <w:tc>
          <w:tcPr>
            <w:tcW w:w="1020" w:type="dxa"/>
            <w:vAlign w:val="bottom"/>
            <w:tcBorders>
              <w:top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0077C0"/>
            </w:tcBorders>
          </w:tcPr>
          <w:p>
            <w:pPr>
              <w:spacing w:after="0"/>
              <w:rPr>
                <w:sz w:val="16"/>
                <w:szCs w:val="16"/>
                <w:color w:val="auto"/>
              </w:rPr>
            </w:pPr>
          </w:p>
        </w:tc>
        <w:tc>
          <w:tcPr>
            <w:tcW w:w="108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0077C0"/>
            </w:tcBorders>
          </w:tcPr>
          <w:p>
            <w:pPr>
              <w:spacing w:after="0"/>
              <w:rPr>
                <w:sz w:val="16"/>
                <w:szCs w:val="16"/>
                <w:color w:val="auto"/>
              </w:rPr>
            </w:pPr>
          </w:p>
        </w:tc>
        <w:tc>
          <w:tcPr>
            <w:tcW w:w="100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0077C0"/>
            </w:tcBorders>
          </w:tcPr>
          <w:p>
            <w:pPr>
              <w:spacing w:after="0"/>
              <w:rPr>
                <w:sz w:val="16"/>
                <w:szCs w:val="16"/>
                <w:color w:val="auto"/>
              </w:rPr>
            </w:pPr>
          </w:p>
        </w:tc>
        <w:tc>
          <w:tcPr>
            <w:tcW w:w="1180" w:type="dxa"/>
            <w:vAlign w:val="bottom"/>
            <w:tcBorders>
              <w:top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44</w:t>
            </w:r>
          </w:p>
        </w:tc>
        <w:tc>
          <w:tcPr>
            <w:tcW w:w="160" w:type="dxa"/>
            <w:vAlign w:val="bottom"/>
            <w:tcBorders>
              <w:top w:val="single" w:sz="8" w:color="0077C0"/>
            </w:tcBorders>
          </w:tcPr>
          <w:p>
            <w:pPr>
              <w:spacing w:after="0"/>
              <w:rPr>
                <w:sz w:val="16"/>
                <w:szCs w:val="16"/>
                <w:color w:val="auto"/>
              </w:rPr>
            </w:pPr>
          </w:p>
        </w:tc>
        <w:tc>
          <w:tcPr>
            <w:tcW w:w="1040" w:type="dxa"/>
            <w:vAlign w:val="bottom"/>
            <w:tcBorders>
              <w:top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0077C0"/>
            </w:tcBorders>
          </w:tcPr>
          <w:p>
            <w:pPr>
              <w:spacing w:after="0"/>
              <w:rPr>
                <w:sz w:val="16"/>
                <w:szCs w:val="16"/>
                <w:color w:val="auto"/>
              </w:rPr>
            </w:pPr>
          </w:p>
        </w:tc>
        <w:tc>
          <w:tcPr>
            <w:tcW w:w="100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3"/>
        </w:trPr>
        <w:tc>
          <w:tcPr>
            <w:tcW w:w="2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right w:val="single" w:sz="8" w:color="0077C0"/>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0077C0"/>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2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24,206</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24,206</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349</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24,555</w:t>
            </w:r>
          </w:p>
        </w:tc>
      </w:tr>
      <w:tr>
        <w:trPr>
          <w:trHeight w:val="193"/>
        </w:trPr>
        <w:tc>
          <w:tcPr>
            <w:tcW w:w="2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($5.34 per share)</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(10,512)</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(10,512)</w:t>
            </w:r>
          </w:p>
        </w:tc>
        <w:tc>
          <w:tcPr>
            <w:tcW w:w="160" w:type="dxa"/>
            <w:vAlign w:val="bottom"/>
          </w:tcPr>
          <w:p>
            <w:pPr>
              <w:spacing w:after="0"/>
              <w:rPr>
                <w:sz w:val="16"/>
                <w:szCs w:val="16"/>
                <w:color w:val="auto"/>
              </w:rPr>
            </w:pPr>
          </w:p>
        </w:tc>
        <w:tc>
          <w:tcPr>
            <w:tcW w:w="104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(10,938)</w:t>
            </w:r>
          </w:p>
        </w:tc>
      </w:tr>
      <w:tr>
        <w:trPr>
          <w:trHeight w:val="23"/>
        </w:trPr>
        <w:tc>
          <w:tcPr>
            <w:tcW w:w="2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right w:val="single" w:sz="8" w:color="0077C0"/>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0077C0"/>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2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dividends</w:t>
            </w: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right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93"/>
        </w:trPr>
        <w:tc>
          <w:tcPr>
            <w:tcW w:w="2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480</w:t>
            </w:r>
          </w:p>
        </w:tc>
        <w:tc>
          <w:tcPr>
            <w:tcW w:w="160" w:type="dxa"/>
            <w:vAlign w:val="bottom"/>
          </w:tcPr>
          <w:p>
            <w:pPr>
              <w:spacing w:after="0"/>
              <w:rPr>
                <w:sz w:val="16"/>
                <w:szCs w:val="16"/>
                <w:color w:val="auto"/>
              </w:rPr>
            </w:pPr>
          </w:p>
        </w:tc>
        <w:tc>
          <w:tcPr>
            <w:tcW w:w="10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r>
      <w:tr>
        <w:trPr>
          <w:trHeight w:val="23"/>
        </w:trPr>
        <w:tc>
          <w:tcPr>
            <w:tcW w:w="2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right w:val="single" w:sz="8" w:color="0077C0"/>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0077C0"/>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6"/>
        </w:trPr>
        <w:tc>
          <w:tcPr>
            <w:tcW w:w="2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treasury shares</w:t>
            </w:r>
            <w:r>
              <w:rPr>
                <w:rFonts w:ascii="Times New Roman" w:cs="Times New Roman" w:eastAsia="Times New Roman" w:hAnsi="Times New Roman"/>
                <w:sz w:val="18"/>
                <w:szCs w:val="18"/>
                <w:color w:val="auto"/>
                <w:vertAlign w:val="superscript"/>
              </w:rPr>
              <w:t>(2)</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(8,247)</w:t>
            </w:r>
          </w:p>
        </w:tc>
        <w:tc>
          <w:tcPr>
            <w:tcW w:w="140" w:type="dxa"/>
            <w:vAlign w:val="bottom"/>
            <w:shd w:val="clear" w:color="auto" w:fill="CCEEFF"/>
          </w:tcPr>
          <w:p>
            <w:pPr>
              <w:spacing w:after="0"/>
              <w:rPr>
                <w:sz w:val="18"/>
                <w:szCs w:val="18"/>
                <w:color w:val="auto"/>
              </w:rPr>
            </w:pPr>
          </w:p>
        </w:tc>
        <w:tc>
          <w:tcPr>
            <w:tcW w:w="1180" w:type="dxa"/>
            <w:vAlign w:val="bottom"/>
            <w:tcBorders>
              <w:right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(8,247)</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(8,247)</w:t>
            </w:r>
          </w:p>
        </w:tc>
      </w:tr>
      <w:tr>
        <w:trPr>
          <w:trHeight w:val="193"/>
        </w:trPr>
        <w:tc>
          <w:tcPr>
            <w:tcW w:w="2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Issuances of treasury shares</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2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w:t>
            </w:r>
          </w:p>
        </w:tc>
        <w:tc>
          <w:tcPr>
            <w:tcW w:w="140" w:type="dxa"/>
            <w:vAlign w:val="bottom"/>
          </w:tcPr>
          <w:p>
            <w:pPr>
              <w:spacing w:after="0"/>
              <w:rPr>
                <w:sz w:val="16"/>
                <w:szCs w:val="16"/>
                <w:color w:val="auto"/>
              </w:rPr>
            </w:pPr>
          </w:p>
        </w:tc>
        <w:tc>
          <w:tcPr>
            <w:tcW w:w="118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1,938</w:t>
            </w:r>
          </w:p>
        </w:tc>
        <w:tc>
          <w:tcPr>
            <w:tcW w:w="160" w:type="dxa"/>
            <w:vAlign w:val="bottom"/>
          </w:tcPr>
          <w:p>
            <w:pPr>
              <w:spacing w:after="0"/>
              <w:rPr>
                <w:sz w:val="16"/>
                <w:szCs w:val="16"/>
                <w:color w:val="auto"/>
              </w:rPr>
            </w:pPr>
          </w:p>
        </w:tc>
        <w:tc>
          <w:tcPr>
            <w:tcW w:w="10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1,938</w:t>
            </w:r>
          </w:p>
        </w:tc>
      </w:tr>
      <w:tr>
        <w:trPr>
          <w:trHeight w:val="23"/>
        </w:trPr>
        <w:tc>
          <w:tcPr>
            <w:tcW w:w="2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right w:val="single" w:sz="8" w:color="0077C0"/>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0077C0"/>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1"/>
        </w:trPr>
        <w:tc>
          <w:tcPr>
            <w:tcW w:w="2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changes, net</w:t>
            </w: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right w:val="single" w:sz="8" w:color="0077C0"/>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6"/>
        </w:trPr>
        <w:tc>
          <w:tcPr>
            <w:tcW w:w="2440" w:type="dxa"/>
            <w:vAlign w:val="bottom"/>
            <w:tcBorders>
              <w:top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0077C0"/>
              </w:rPr>
              <w:t>Balance at September 30, 2026</w:t>
            </w:r>
          </w:p>
        </w:tc>
        <w:tc>
          <w:tcPr>
            <w:tcW w:w="500" w:type="dxa"/>
            <w:vAlign w:val="bottom"/>
            <w:tcBorders>
              <w:top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35,692</w:t>
            </w:r>
          </w:p>
        </w:tc>
        <w:tc>
          <w:tcPr>
            <w:tcW w:w="200" w:type="dxa"/>
            <w:vAlign w:val="bottom"/>
            <w:tcBorders>
              <w:top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219,027</w:t>
            </w:r>
          </w:p>
        </w:tc>
        <w:tc>
          <w:tcPr>
            <w:tcW w:w="10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(1,984)</w:t>
            </w:r>
          </w:p>
        </w:tc>
        <w:tc>
          <w:tcPr>
            <w:tcW w:w="200" w:type="dxa"/>
            <w:vAlign w:val="bottom"/>
            <w:tcBorders>
              <w:top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(58,408)</w:t>
            </w:r>
          </w:p>
        </w:tc>
        <w:tc>
          <w:tcPr>
            <w:tcW w:w="14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top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194,327</w:t>
            </w:r>
          </w:p>
        </w:tc>
        <w:tc>
          <w:tcPr>
            <w:tcW w:w="160" w:type="dxa"/>
            <w:vAlign w:val="bottom"/>
            <w:tcBorders>
              <w:top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5,650</w:t>
            </w:r>
          </w:p>
        </w:tc>
        <w:tc>
          <w:tcPr>
            <w:tcW w:w="180" w:type="dxa"/>
            <w:vAlign w:val="bottom"/>
            <w:tcBorders>
              <w:top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199,977</w:t>
            </w:r>
          </w:p>
        </w:tc>
      </w:tr>
      <w:tr>
        <w:trPr>
          <w:trHeight w:val="62"/>
        </w:trPr>
        <w:tc>
          <w:tcPr>
            <w:tcW w:w="2440" w:type="dxa"/>
            <w:vAlign w:val="bottom"/>
            <w:tcBorders>
              <w:bottom w:val="single" w:sz="8" w:color="0077C0"/>
            </w:tcBorders>
          </w:tcPr>
          <w:p>
            <w:pPr>
              <w:spacing w:after="0"/>
              <w:rPr>
                <w:sz w:val="5"/>
                <w:szCs w:val="5"/>
                <w:color w:val="auto"/>
              </w:rPr>
            </w:pPr>
          </w:p>
        </w:tc>
        <w:tc>
          <w:tcPr>
            <w:tcW w:w="500" w:type="dxa"/>
            <w:vAlign w:val="bottom"/>
            <w:tcBorders>
              <w:bottom w:val="single" w:sz="8" w:color="0077C0"/>
            </w:tcBorders>
          </w:tcPr>
          <w:p>
            <w:pPr>
              <w:spacing w:after="0"/>
              <w:rPr>
                <w:sz w:val="5"/>
                <w:szCs w:val="5"/>
                <w:color w:val="auto"/>
              </w:rPr>
            </w:pPr>
          </w:p>
        </w:tc>
        <w:tc>
          <w:tcPr>
            <w:tcW w:w="2220" w:type="dxa"/>
            <w:vAlign w:val="bottom"/>
            <w:tcBorders>
              <w:bottom w:val="single" w:sz="8" w:color="0077C0"/>
            </w:tcBorders>
            <w:gridSpan w:val="3"/>
          </w:tcPr>
          <w:p>
            <w:pPr>
              <w:spacing w:after="0"/>
              <w:rPr>
                <w:sz w:val="5"/>
                <w:szCs w:val="5"/>
                <w:color w:val="auto"/>
              </w:rPr>
            </w:pPr>
          </w:p>
        </w:tc>
        <w:tc>
          <w:tcPr>
            <w:tcW w:w="100" w:type="dxa"/>
            <w:vAlign w:val="bottom"/>
            <w:tcBorders>
              <w:bottom w:val="single" w:sz="8" w:color="0077C0"/>
            </w:tcBorders>
          </w:tcPr>
          <w:p>
            <w:pPr>
              <w:spacing w:after="0"/>
              <w:rPr>
                <w:sz w:val="5"/>
                <w:szCs w:val="5"/>
                <w:color w:val="auto"/>
              </w:rPr>
            </w:pPr>
          </w:p>
        </w:tc>
        <w:tc>
          <w:tcPr>
            <w:tcW w:w="1080" w:type="dxa"/>
            <w:vAlign w:val="bottom"/>
            <w:tcBorders>
              <w:bottom w:val="single" w:sz="8" w:color="0077C0"/>
            </w:tcBorders>
          </w:tcPr>
          <w:p>
            <w:pPr>
              <w:spacing w:after="0"/>
              <w:rPr>
                <w:sz w:val="5"/>
                <w:szCs w:val="5"/>
                <w:color w:val="auto"/>
              </w:rPr>
            </w:pPr>
          </w:p>
        </w:tc>
        <w:tc>
          <w:tcPr>
            <w:tcW w:w="200" w:type="dxa"/>
            <w:vAlign w:val="bottom"/>
            <w:tcBorders>
              <w:bottom w:val="single" w:sz="8" w:color="0077C0"/>
            </w:tcBorders>
          </w:tcPr>
          <w:p>
            <w:pPr>
              <w:spacing w:after="0"/>
              <w:rPr>
                <w:sz w:val="5"/>
                <w:szCs w:val="5"/>
                <w:color w:val="auto"/>
              </w:rPr>
            </w:pPr>
          </w:p>
        </w:tc>
        <w:tc>
          <w:tcPr>
            <w:tcW w:w="1000" w:type="dxa"/>
            <w:vAlign w:val="bottom"/>
            <w:tcBorders>
              <w:bottom w:val="single" w:sz="8" w:color="0077C0"/>
            </w:tcBorders>
          </w:tcPr>
          <w:p>
            <w:pPr>
              <w:spacing w:after="0"/>
              <w:rPr>
                <w:sz w:val="5"/>
                <w:szCs w:val="5"/>
                <w:color w:val="auto"/>
              </w:rPr>
            </w:pPr>
          </w:p>
        </w:tc>
        <w:tc>
          <w:tcPr>
            <w:tcW w:w="140" w:type="dxa"/>
            <w:vAlign w:val="bottom"/>
            <w:tcBorders>
              <w:bottom w:val="single" w:sz="8" w:color="0077C0"/>
            </w:tcBorders>
          </w:tcPr>
          <w:p>
            <w:pPr>
              <w:spacing w:after="0"/>
              <w:rPr>
                <w:sz w:val="5"/>
                <w:szCs w:val="5"/>
                <w:color w:val="auto"/>
              </w:rPr>
            </w:pPr>
          </w:p>
        </w:tc>
        <w:tc>
          <w:tcPr>
            <w:tcW w:w="1180" w:type="dxa"/>
            <w:vAlign w:val="bottom"/>
            <w:tcBorders>
              <w:bottom w:val="single" w:sz="8" w:color="0077C0"/>
              <w:right w:val="single" w:sz="8" w:color="0077C0"/>
            </w:tcBorders>
          </w:tcPr>
          <w:p>
            <w:pPr>
              <w:spacing w:after="0"/>
              <w:rPr>
                <w:sz w:val="5"/>
                <w:szCs w:val="5"/>
                <w:color w:val="auto"/>
              </w:rPr>
            </w:pPr>
          </w:p>
        </w:tc>
        <w:tc>
          <w:tcPr>
            <w:tcW w:w="1200" w:type="dxa"/>
            <w:vAlign w:val="bottom"/>
            <w:tcBorders>
              <w:bottom w:val="single" w:sz="8" w:color="0077C0"/>
              <w:right w:val="single" w:sz="8" w:color="0077C0"/>
            </w:tcBorders>
            <w:gridSpan w:val="2"/>
          </w:tcPr>
          <w:p>
            <w:pPr>
              <w:spacing w:after="0"/>
              <w:rPr>
                <w:sz w:val="5"/>
                <w:szCs w:val="5"/>
                <w:color w:val="auto"/>
              </w:rPr>
            </w:pPr>
          </w:p>
        </w:tc>
        <w:tc>
          <w:tcPr>
            <w:tcW w:w="180" w:type="dxa"/>
            <w:vAlign w:val="bottom"/>
            <w:tcBorders>
              <w:bottom w:val="single" w:sz="8" w:color="0077C0"/>
            </w:tcBorders>
          </w:tcPr>
          <w:p>
            <w:pPr>
              <w:spacing w:after="0"/>
              <w:rPr>
                <w:sz w:val="5"/>
                <w:szCs w:val="5"/>
                <w:color w:val="auto"/>
              </w:rPr>
            </w:pPr>
          </w:p>
        </w:tc>
        <w:tc>
          <w:tcPr>
            <w:tcW w:w="1000" w:type="dxa"/>
            <w:vAlign w:val="bottom"/>
            <w:tcBorders>
              <w:bottom w:val="single" w:sz="8" w:color="0077C0"/>
            </w:tcBorders>
          </w:tcPr>
          <w:p>
            <w:pPr>
              <w:spacing w:after="0"/>
              <w:rPr>
                <w:sz w:val="5"/>
                <w:szCs w:val="5"/>
                <w:color w:val="auto"/>
              </w:rPr>
            </w:pPr>
          </w:p>
        </w:tc>
      </w:tr>
      <w:tr>
        <w:trPr>
          <w:trHeight w:val="193"/>
        </w:trPr>
        <w:tc>
          <w:tcPr>
            <w:tcW w:w="24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(Number of Shares)</w:t>
            </w:r>
          </w:p>
        </w:tc>
        <w:tc>
          <w:tcPr>
            <w:tcW w:w="500" w:type="dxa"/>
            <w:vAlign w:val="bottom"/>
            <w:tcBorders>
              <w:top w:val="single" w:sz="8" w:color="CCEEFF"/>
            </w:tcBorders>
          </w:tcPr>
          <w:p>
            <w:pPr>
              <w:spacing w:after="0"/>
              <w:rPr>
                <w:sz w:val="16"/>
                <w:szCs w:val="16"/>
                <w:color w:val="auto"/>
              </w:rPr>
            </w:pPr>
          </w:p>
        </w:tc>
        <w:tc>
          <w:tcPr>
            <w:tcW w:w="2320" w:type="dxa"/>
            <w:vAlign w:val="bottom"/>
            <w:tcBorders>
              <w:top w:val="single" w:sz="8" w:color="CCEEFF"/>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 - 2026</w:t>
            </w:r>
          </w:p>
        </w:tc>
        <w:tc>
          <w:tcPr>
            <w:tcW w:w="10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38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 - 2025</w:t>
            </w:r>
          </w:p>
        </w:tc>
        <w:tc>
          <w:tcPr>
            <w:tcW w:w="18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r>
      <w:tr>
        <w:trPr>
          <w:trHeight w:val="24"/>
        </w:trPr>
        <w:tc>
          <w:tcPr>
            <w:tcW w:w="244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1080" w:type="dxa"/>
            <w:vAlign w:val="bottom"/>
            <w:tcBorders>
              <w:bottom w:val="single" w:sz="8" w:color="0077C0"/>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0077C0"/>
            </w:tcBorders>
          </w:tcPr>
          <w:p>
            <w:pPr>
              <w:spacing w:after="0"/>
              <w:rPr>
                <w:sz w:val="2"/>
                <w:szCs w:val="2"/>
                <w:color w:val="auto"/>
              </w:rPr>
            </w:pPr>
          </w:p>
        </w:tc>
        <w:tc>
          <w:tcPr>
            <w:tcW w:w="118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104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r>
      <w:tr>
        <w:trPr>
          <w:trHeight w:val="209"/>
        </w:trPr>
        <w:tc>
          <w:tcPr>
            <w:tcW w:w="244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September 30</w:t>
            </w:r>
          </w:p>
        </w:tc>
        <w:tc>
          <w:tcPr>
            <w:tcW w:w="500" w:type="dxa"/>
            <w:vAlign w:val="bottom"/>
            <w:tcBorders>
              <w:bottom w:val="single" w:sz="8" w:color="0077C0"/>
            </w:tcBorders>
            <w:shd w:val="clear" w:color="auto" w:fill="CCEEFF"/>
          </w:tcPr>
          <w:p>
            <w:pPr>
              <w:spacing w:after="0"/>
              <w:rPr>
                <w:sz w:val="18"/>
                <w:szCs w:val="18"/>
                <w:color w:val="auto"/>
              </w:rPr>
            </w:pPr>
          </w:p>
        </w:tc>
        <w:tc>
          <w:tcPr>
            <w:tcW w:w="10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Issued</w:t>
            </w:r>
            <w:r>
              <w:rPr>
                <w:rFonts w:ascii="Times New Roman" w:cs="Times New Roman" w:eastAsia="Times New Roman" w:hAnsi="Times New Roman"/>
                <w:sz w:val="18"/>
                <w:szCs w:val="18"/>
                <w:b w:val="1"/>
                <w:bCs w:val="1"/>
                <w:color w:val="auto"/>
                <w:vertAlign w:val="superscript"/>
              </w:rPr>
              <w:t>(3)</w:t>
            </w:r>
          </w:p>
        </w:tc>
        <w:tc>
          <w:tcPr>
            <w:tcW w:w="200" w:type="dxa"/>
            <w:vAlign w:val="bottom"/>
            <w:tcBorders>
              <w:bottom w:val="single" w:sz="8" w:color="0077C0"/>
            </w:tcBorders>
            <w:shd w:val="clear" w:color="auto" w:fill="CCEEFF"/>
          </w:tcPr>
          <w:p>
            <w:pPr>
              <w:spacing w:after="0"/>
              <w:rPr>
                <w:sz w:val="18"/>
                <w:szCs w:val="18"/>
                <w:color w:val="auto"/>
              </w:rPr>
            </w:pPr>
          </w:p>
        </w:tc>
        <w:tc>
          <w:tcPr>
            <w:tcW w:w="1020" w:type="dxa"/>
            <w:vAlign w:val="bottom"/>
            <w:tcBorders>
              <w:bottom w:val="single" w:sz="8" w:color="0077C0"/>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Borders>
              <w:bottom w:val="single" w:sz="8" w:color="0077C0"/>
            </w:tcBorders>
            <w:shd w:val="clear" w:color="auto" w:fill="CCEEFF"/>
          </w:tcPr>
          <w:p>
            <w:pPr>
              <w:spacing w:after="0"/>
              <w:rPr>
                <w:sz w:val="18"/>
                <w:szCs w:val="18"/>
                <w:color w:val="auto"/>
              </w:rPr>
            </w:pPr>
          </w:p>
        </w:tc>
        <w:tc>
          <w:tcPr>
            <w:tcW w:w="10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tcBorders>
              <w:bottom w:val="single" w:sz="8" w:color="0077C0"/>
            </w:tcBorders>
            <w:shd w:val="clear" w:color="auto" w:fill="CCEEFF"/>
          </w:tcPr>
          <w:p>
            <w:pPr>
              <w:spacing w:after="0"/>
              <w:rPr>
                <w:sz w:val="18"/>
                <w:szCs w:val="18"/>
                <w:color w:val="auto"/>
              </w:rPr>
            </w:pPr>
          </w:p>
        </w:tc>
        <w:tc>
          <w:tcPr>
            <w:tcW w:w="1180" w:type="dxa"/>
            <w:vAlign w:val="bottom"/>
            <w:tcBorders>
              <w:bottom w:val="single" w:sz="8" w:color="0077C0"/>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Issued</w:t>
            </w:r>
            <w:r>
              <w:rPr>
                <w:rFonts w:ascii="Times New Roman" w:cs="Times New Roman" w:eastAsia="Times New Roman" w:hAnsi="Times New Roman"/>
                <w:sz w:val="18"/>
                <w:szCs w:val="18"/>
                <w:b w:val="1"/>
                <w:bCs w:val="1"/>
                <w:color w:val="auto"/>
                <w:vertAlign w:val="superscript"/>
              </w:rPr>
              <w:t>(3)</w:t>
            </w:r>
          </w:p>
        </w:tc>
        <w:tc>
          <w:tcPr>
            <w:tcW w:w="160" w:type="dxa"/>
            <w:vAlign w:val="bottom"/>
            <w:tcBorders>
              <w:bottom w:val="single" w:sz="8" w:color="0077C0"/>
            </w:tcBorders>
            <w:shd w:val="clear" w:color="auto" w:fill="CCEEFF"/>
          </w:tcPr>
          <w:p>
            <w:pPr>
              <w:spacing w:after="0"/>
              <w:rPr>
                <w:sz w:val="18"/>
                <w:szCs w:val="18"/>
                <w:color w:val="auto"/>
              </w:rPr>
            </w:pPr>
          </w:p>
        </w:tc>
        <w:tc>
          <w:tcPr>
            <w:tcW w:w="1040" w:type="dxa"/>
            <w:vAlign w:val="bottom"/>
            <w:tcBorders>
              <w:bottom w:val="single" w:sz="8" w:color="0077C0"/>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Borders>
              <w:bottom w:val="single" w:sz="8" w:color="0077C0"/>
            </w:tcBorders>
            <w:shd w:val="clear" w:color="auto" w:fill="CCEEFF"/>
          </w:tcPr>
          <w:p>
            <w:pPr>
              <w:spacing w:after="0"/>
              <w:rPr>
                <w:sz w:val="18"/>
                <w:szCs w:val="18"/>
                <w:color w:val="auto"/>
              </w:rPr>
            </w:pPr>
          </w:p>
        </w:tc>
        <w:tc>
          <w:tcPr>
            <w:tcW w:w="10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186"/>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77C0"/>
              </w:rPr>
              <w:t>Balance at June 30</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2,442,676,580</w:t>
            </w:r>
          </w:p>
        </w:tc>
        <w:tc>
          <w:tcPr>
            <w:tcW w:w="200" w:type="dxa"/>
            <w:vAlign w:val="bottom"/>
          </w:tcPr>
          <w:p>
            <w:pPr>
              <w:spacing w:after="0"/>
              <w:rPr>
                <w:sz w:val="16"/>
                <w:szCs w:val="16"/>
                <w:color w:val="auto"/>
              </w:rPr>
            </w:pPr>
          </w:p>
        </w:tc>
        <w:tc>
          <w:tcPr>
            <w:tcW w:w="102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(466,905,306)</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1,975,771,274</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2,442,676,580</w:t>
            </w:r>
          </w:p>
        </w:tc>
        <w:tc>
          <w:tcPr>
            <w:tcW w:w="160" w:type="dxa"/>
            <w:vAlign w:val="bottom"/>
          </w:tcPr>
          <w:p>
            <w:pPr>
              <w:spacing w:after="0"/>
              <w:rPr>
                <w:sz w:val="16"/>
                <w:szCs w:val="16"/>
                <w:color w:val="auto"/>
              </w:rPr>
            </w:pPr>
          </w:p>
        </w:tc>
        <w:tc>
          <w:tcPr>
            <w:tcW w:w="104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(714,686,204)</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1,727,990,376</w:t>
            </w:r>
          </w:p>
        </w:tc>
      </w:tr>
      <w:tr>
        <w:trPr>
          <w:trHeight w:val="24"/>
        </w:trPr>
        <w:tc>
          <w:tcPr>
            <w:tcW w:w="244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1020" w:type="dxa"/>
            <w:vAlign w:val="bottom"/>
            <w:tcBorders>
              <w:bottom w:val="single" w:sz="8" w:color="0077C0"/>
              <w:right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1080" w:type="dxa"/>
            <w:vAlign w:val="bottom"/>
            <w:tcBorders>
              <w:bottom w:val="single" w:sz="8" w:color="0077C0"/>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0077C0"/>
            </w:tcBorders>
          </w:tcPr>
          <w:p>
            <w:pPr>
              <w:spacing w:after="0"/>
              <w:rPr>
                <w:sz w:val="2"/>
                <w:szCs w:val="2"/>
                <w:color w:val="auto"/>
              </w:rPr>
            </w:pPr>
          </w:p>
        </w:tc>
        <w:tc>
          <w:tcPr>
            <w:tcW w:w="118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1040" w:type="dxa"/>
            <w:vAlign w:val="bottom"/>
            <w:tcBorders>
              <w:bottom w:val="single" w:sz="8" w:color="0077C0"/>
              <w:right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r>
      <w:tr>
        <w:trPr>
          <w:trHeight w:val="190"/>
        </w:trPr>
        <w:tc>
          <w:tcPr>
            <w:tcW w:w="2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w:t>
            </w:r>
          </w:p>
        </w:tc>
        <w:tc>
          <w:tcPr>
            <w:tcW w:w="5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right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(12,874,161)</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(12,874,161)</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right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(16,623,281)</w:t>
            </w: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(16,623,281)</w:t>
            </w:r>
          </w:p>
        </w:tc>
      </w:tr>
      <w:tr>
        <w:trPr>
          <w:trHeight w:val="192"/>
        </w:trPr>
        <w:tc>
          <w:tcPr>
            <w:tcW w:w="2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Issuances</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2,524,573</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2,524,573</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302,154,502</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302,154,502</w:t>
            </w:r>
          </w:p>
        </w:tc>
      </w:tr>
      <w:tr>
        <w:trPr>
          <w:trHeight w:val="24"/>
        </w:trPr>
        <w:tc>
          <w:tcPr>
            <w:tcW w:w="244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1020" w:type="dxa"/>
            <w:vAlign w:val="bottom"/>
            <w:tcBorders>
              <w:bottom w:val="single" w:sz="8" w:color="0077C0"/>
              <w:right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1080" w:type="dxa"/>
            <w:vAlign w:val="bottom"/>
            <w:tcBorders>
              <w:bottom w:val="single" w:sz="8" w:color="0077C0"/>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0077C0"/>
            </w:tcBorders>
          </w:tcPr>
          <w:p>
            <w:pPr>
              <w:spacing w:after="0"/>
              <w:rPr>
                <w:sz w:val="2"/>
                <w:szCs w:val="2"/>
                <w:color w:val="auto"/>
              </w:rPr>
            </w:pPr>
          </w:p>
        </w:tc>
        <w:tc>
          <w:tcPr>
            <w:tcW w:w="118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1040" w:type="dxa"/>
            <w:vAlign w:val="bottom"/>
            <w:tcBorders>
              <w:bottom w:val="single" w:sz="8" w:color="0077C0"/>
              <w:right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r>
      <w:tr>
        <w:trPr>
          <w:trHeight w:val="210"/>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0077C0"/>
              </w:rPr>
              <w:t>Balance at September 30</w:t>
            </w: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2,442,676,580</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(477,254,894)</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1,965,421,686</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2,442,676,580</w:t>
            </w: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right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(429,154,983)</w:t>
            </w: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2,013,521,597</w:t>
            </w:r>
          </w:p>
        </w:tc>
      </w:tr>
      <w:tr>
        <w:trPr>
          <w:trHeight w:val="74"/>
        </w:trPr>
        <w:tc>
          <w:tcPr>
            <w:tcW w:w="2440" w:type="dxa"/>
            <w:vAlign w:val="bottom"/>
            <w:tcBorders>
              <w:top w:val="single" w:sz="8" w:color="0077C0"/>
              <w:bottom w:val="single" w:sz="8" w:color="0077C0"/>
            </w:tcBorders>
          </w:tcPr>
          <w:p>
            <w:pPr>
              <w:spacing w:after="0"/>
              <w:rPr>
                <w:sz w:val="6"/>
                <w:szCs w:val="6"/>
                <w:color w:val="auto"/>
              </w:rPr>
            </w:pPr>
          </w:p>
        </w:tc>
        <w:tc>
          <w:tcPr>
            <w:tcW w:w="500" w:type="dxa"/>
            <w:vAlign w:val="bottom"/>
            <w:tcBorders>
              <w:top w:val="single" w:sz="8" w:color="0077C0"/>
              <w:bottom w:val="single" w:sz="8" w:color="0077C0"/>
            </w:tcBorders>
          </w:tcPr>
          <w:p>
            <w:pPr>
              <w:spacing w:after="0"/>
              <w:rPr>
                <w:sz w:val="6"/>
                <w:szCs w:val="6"/>
                <w:color w:val="auto"/>
              </w:rPr>
            </w:pPr>
          </w:p>
        </w:tc>
        <w:tc>
          <w:tcPr>
            <w:tcW w:w="1000" w:type="dxa"/>
            <w:vAlign w:val="bottom"/>
            <w:tcBorders>
              <w:top w:val="single" w:sz="8" w:color="0077C0"/>
              <w:bottom w:val="single" w:sz="8" w:color="0077C0"/>
            </w:tcBorders>
          </w:tcPr>
          <w:p>
            <w:pPr>
              <w:spacing w:after="0"/>
              <w:rPr>
                <w:sz w:val="6"/>
                <w:szCs w:val="6"/>
                <w:color w:val="auto"/>
              </w:rPr>
            </w:pPr>
          </w:p>
        </w:tc>
        <w:tc>
          <w:tcPr>
            <w:tcW w:w="200" w:type="dxa"/>
            <w:vAlign w:val="bottom"/>
            <w:tcBorders>
              <w:top w:val="single" w:sz="8" w:color="0077C0"/>
              <w:bottom w:val="single" w:sz="8" w:color="0077C0"/>
            </w:tcBorders>
          </w:tcPr>
          <w:p>
            <w:pPr>
              <w:spacing w:after="0"/>
              <w:rPr>
                <w:sz w:val="6"/>
                <w:szCs w:val="6"/>
                <w:color w:val="auto"/>
              </w:rPr>
            </w:pPr>
          </w:p>
        </w:tc>
        <w:tc>
          <w:tcPr>
            <w:tcW w:w="1020" w:type="dxa"/>
            <w:vAlign w:val="bottom"/>
            <w:tcBorders>
              <w:top w:val="single" w:sz="8" w:color="0077C0"/>
              <w:bottom w:val="single" w:sz="8" w:color="0077C0"/>
            </w:tcBorders>
          </w:tcPr>
          <w:p>
            <w:pPr>
              <w:spacing w:after="0"/>
              <w:rPr>
                <w:sz w:val="6"/>
                <w:szCs w:val="6"/>
                <w:color w:val="auto"/>
              </w:rPr>
            </w:pPr>
          </w:p>
        </w:tc>
        <w:tc>
          <w:tcPr>
            <w:tcW w:w="100" w:type="dxa"/>
            <w:vAlign w:val="bottom"/>
            <w:tcBorders>
              <w:top w:val="single" w:sz="8" w:color="0077C0"/>
              <w:bottom w:val="single" w:sz="8" w:color="0077C0"/>
            </w:tcBorders>
          </w:tcPr>
          <w:p>
            <w:pPr>
              <w:spacing w:after="0"/>
              <w:rPr>
                <w:sz w:val="6"/>
                <w:szCs w:val="6"/>
                <w:color w:val="auto"/>
              </w:rPr>
            </w:pPr>
          </w:p>
        </w:tc>
        <w:tc>
          <w:tcPr>
            <w:tcW w:w="1080" w:type="dxa"/>
            <w:vAlign w:val="bottom"/>
            <w:tcBorders>
              <w:top w:val="single" w:sz="8" w:color="0077C0"/>
              <w:bottom w:val="single" w:sz="8" w:color="0077C0"/>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000" w:type="dxa"/>
            <w:vAlign w:val="bottom"/>
            <w:tcBorders>
              <w:bottom w:val="single" w:sz="8" w:color="CCEEFF"/>
            </w:tcBorders>
          </w:tcPr>
          <w:p>
            <w:pPr>
              <w:spacing w:after="0"/>
              <w:rPr>
                <w:sz w:val="6"/>
                <w:szCs w:val="6"/>
                <w:color w:val="auto"/>
              </w:rPr>
            </w:pPr>
          </w:p>
        </w:tc>
        <w:tc>
          <w:tcPr>
            <w:tcW w:w="140" w:type="dxa"/>
            <w:vAlign w:val="bottom"/>
            <w:tcBorders>
              <w:top w:val="single" w:sz="8" w:color="0077C0"/>
              <w:bottom w:val="single" w:sz="8" w:color="0077C0"/>
            </w:tcBorders>
          </w:tcPr>
          <w:p>
            <w:pPr>
              <w:spacing w:after="0"/>
              <w:rPr>
                <w:sz w:val="6"/>
                <w:szCs w:val="6"/>
                <w:color w:val="auto"/>
              </w:rPr>
            </w:pPr>
          </w:p>
        </w:tc>
        <w:tc>
          <w:tcPr>
            <w:tcW w:w="1180" w:type="dxa"/>
            <w:vAlign w:val="bottom"/>
            <w:tcBorders>
              <w:top w:val="single" w:sz="8" w:color="0077C0"/>
              <w:bottom w:val="single" w:sz="8" w:color="0077C0"/>
            </w:tcBorders>
          </w:tcPr>
          <w:p>
            <w:pPr>
              <w:spacing w:after="0"/>
              <w:rPr>
                <w:sz w:val="6"/>
                <w:szCs w:val="6"/>
                <w:color w:val="auto"/>
              </w:rPr>
            </w:pPr>
          </w:p>
        </w:tc>
        <w:tc>
          <w:tcPr>
            <w:tcW w:w="160" w:type="dxa"/>
            <w:vAlign w:val="bottom"/>
            <w:tcBorders>
              <w:top w:val="single" w:sz="8" w:color="0077C0"/>
              <w:bottom w:val="single" w:sz="8" w:color="0077C0"/>
            </w:tcBorders>
          </w:tcPr>
          <w:p>
            <w:pPr>
              <w:spacing w:after="0"/>
              <w:rPr>
                <w:sz w:val="6"/>
                <w:szCs w:val="6"/>
                <w:color w:val="auto"/>
              </w:rPr>
            </w:pPr>
          </w:p>
        </w:tc>
        <w:tc>
          <w:tcPr>
            <w:tcW w:w="1040" w:type="dxa"/>
            <w:vAlign w:val="bottom"/>
            <w:tcBorders>
              <w:top w:val="single" w:sz="8" w:color="0077C0"/>
              <w:bottom w:val="single" w:sz="8" w:color="0077C0"/>
            </w:tcBorders>
          </w:tcPr>
          <w:p>
            <w:pPr>
              <w:spacing w:after="0"/>
              <w:rPr>
                <w:sz w:val="6"/>
                <w:szCs w:val="6"/>
                <w:color w:val="auto"/>
              </w:rPr>
            </w:pPr>
          </w:p>
        </w:tc>
        <w:tc>
          <w:tcPr>
            <w:tcW w:w="180" w:type="dxa"/>
            <w:vAlign w:val="bottom"/>
            <w:tcBorders>
              <w:top w:val="single" w:sz="8" w:color="0077C0"/>
              <w:bottom w:val="single" w:sz="8" w:color="0077C0"/>
            </w:tcBorders>
          </w:tcPr>
          <w:p>
            <w:pPr>
              <w:spacing w:after="0"/>
              <w:rPr>
                <w:sz w:val="6"/>
                <w:szCs w:val="6"/>
                <w:color w:val="auto"/>
              </w:rPr>
            </w:pPr>
          </w:p>
        </w:tc>
        <w:tc>
          <w:tcPr>
            <w:tcW w:w="1000" w:type="dxa"/>
            <w:vAlign w:val="bottom"/>
            <w:tcBorders>
              <w:top w:val="single" w:sz="8" w:color="0077C0"/>
              <w:bottom w:val="single" w:sz="8" w:color="0077C0"/>
            </w:tcBorders>
          </w:tcPr>
          <w:p>
            <w:pPr>
              <w:spacing w:after="0"/>
              <w:rPr>
                <w:sz w:val="6"/>
                <w:szCs w:val="6"/>
                <w:color w:val="auto"/>
              </w:rPr>
            </w:pPr>
          </w:p>
        </w:tc>
      </w:tr>
      <w:tr>
        <w:trPr>
          <w:trHeight w:val="210"/>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Nine Months Ended September 30</w:t>
            </w: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186"/>
        </w:trPr>
        <w:tc>
          <w:tcPr>
            <w:tcW w:w="2440" w:type="dxa"/>
            <w:vAlign w:val="bottom"/>
            <w:tcBorders>
              <w:top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0077C0"/>
              </w:rPr>
              <w:t>Balance at December 31</w:t>
            </w:r>
          </w:p>
        </w:tc>
        <w:tc>
          <w:tcPr>
            <w:tcW w:w="500" w:type="dxa"/>
            <w:vAlign w:val="bottom"/>
            <w:tcBorders>
              <w:top w:val="single" w:sz="8" w:color="0077C0"/>
            </w:tcBorders>
          </w:tcPr>
          <w:p>
            <w:pPr>
              <w:spacing w:after="0"/>
              <w:rPr>
                <w:sz w:val="16"/>
                <w:szCs w:val="16"/>
                <w:color w:val="auto"/>
              </w:rPr>
            </w:pPr>
          </w:p>
        </w:tc>
        <w:tc>
          <w:tcPr>
            <w:tcW w:w="100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2,442,676,580</w:t>
            </w:r>
          </w:p>
        </w:tc>
        <w:tc>
          <w:tcPr>
            <w:tcW w:w="200" w:type="dxa"/>
            <w:vAlign w:val="bottom"/>
            <w:tcBorders>
              <w:top w:val="single" w:sz="8" w:color="0077C0"/>
            </w:tcBorders>
          </w:tcPr>
          <w:p>
            <w:pPr>
              <w:spacing w:after="0"/>
              <w:rPr>
                <w:sz w:val="16"/>
                <w:szCs w:val="16"/>
                <w:color w:val="auto"/>
              </w:rPr>
            </w:pPr>
          </w:p>
        </w:tc>
        <w:tc>
          <w:tcPr>
            <w:tcW w:w="1020" w:type="dxa"/>
            <w:vAlign w:val="bottom"/>
            <w:tcBorders>
              <w:top w:val="single" w:sz="8" w:color="0077C0"/>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(448,260,458)</w:t>
            </w:r>
          </w:p>
        </w:tc>
        <w:tc>
          <w:tcPr>
            <w:tcW w:w="100" w:type="dxa"/>
            <w:vAlign w:val="bottom"/>
            <w:tcBorders>
              <w:top w:val="single" w:sz="8" w:color="0077C0"/>
            </w:tcBorders>
          </w:tcPr>
          <w:p>
            <w:pPr>
              <w:spacing w:after="0"/>
              <w:rPr>
                <w:sz w:val="16"/>
                <w:szCs w:val="16"/>
                <w:color w:val="auto"/>
              </w:rPr>
            </w:pPr>
          </w:p>
        </w:tc>
        <w:tc>
          <w:tcPr>
            <w:tcW w:w="108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1,994,416,122</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Borders>
              <w:top w:val="single" w:sz="8" w:color="0077C0"/>
            </w:tcBorders>
          </w:tcPr>
          <w:p>
            <w:pPr>
              <w:spacing w:after="0"/>
              <w:rPr>
                <w:sz w:val="16"/>
                <w:szCs w:val="16"/>
                <w:color w:val="auto"/>
              </w:rPr>
            </w:pPr>
          </w:p>
        </w:tc>
        <w:tc>
          <w:tcPr>
            <w:tcW w:w="1180" w:type="dxa"/>
            <w:vAlign w:val="bottom"/>
            <w:tcBorders>
              <w:top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2,442,676,580</w:t>
            </w:r>
          </w:p>
        </w:tc>
        <w:tc>
          <w:tcPr>
            <w:tcW w:w="160" w:type="dxa"/>
            <w:vAlign w:val="bottom"/>
            <w:tcBorders>
              <w:top w:val="single" w:sz="8" w:color="0077C0"/>
            </w:tcBorders>
          </w:tcPr>
          <w:p>
            <w:pPr>
              <w:spacing w:after="0"/>
              <w:rPr>
                <w:sz w:val="16"/>
                <w:szCs w:val="16"/>
                <w:color w:val="auto"/>
              </w:rPr>
            </w:pPr>
          </w:p>
        </w:tc>
        <w:tc>
          <w:tcPr>
            <w:tcW w:w="1040" w:type="dxa"/>
            <w:vAlign w:val="bottom"/>
            <w:tcBorders>
              <w:top w:val="single" w:sz="8" w:color="0077C0"/>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(673,664,306)</w:t>
            </w:r>
          </w:p>
        </w:tc>
        <w:tc>
          <w:tcPr>
            <w:tcW w:w="180" w:type="dxa"/>
            <w:vAlign w:val="bottom"/>
            <w:tcBorders>
              <w:top w:val="single" w:sz="8" w:color="0077C0"/>
            </w:tcBorders>
          </w:tcPr>
          <w:p>
            <w:pPr>
              <w:spacing w:after="0"/>
              <w:rPr>
                <w:sz w:val="16"/>
                <w:szCs w:val="16"/>
                <w:color w:val="auto"/>
              </w:rPr>
            </w:pPr>
          </w:p>
        </w:tc>
        <w:tc>
          <w:tcPr>
            <w:tcW w:w="100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1,769,012,274</w:t>
            </w:r>
          </w:p>
        </w:tc>
      </w:tr>
      <w:tr>
        <w:trPr>
          <w:trHeight w:val="24"/>
        </w:trPr>
        <w:tc>
          <w:tcPr>
            <w:tcW w:w="244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1020" w:type="dxa"/>
            <w:vAlign w:val="bottom"/>
            <w:tcBorders>
              <w:bottom w:val="single" w:sz="8" w:color="0077C0"/>
              <w:right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1080" w:type="dxa"/>
            <w:vAlign w:val="bottom"/>
            <w:tcBorders>
              <w:bottom w:val="single" w:sz="8" w:color="0077C0"/>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0077C0"/>
            </w:tcBorders>
          </w:tcPr>
          <w:p>
            <w:pPr>
              <w:spacing w:after="0"/>
              <w:rPr>
                <w:sz w:val="2"/>
                <w:szCs w:val="2"/>
                <w:color w:val="auto"/>
              </w:rPr>
            </w:pPr>
          </w:p>
        </w:tc>
        <w:tc>
          <w:tcPr>
            <w:tcW w:w="118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1040" w:type="dxa"/>
            <w:vAlign w:val="bottom"/>
            <w:tcBorders>
              <w:bottom w:val="single" w:sz="8" w:color="0077C0"/>
              <w:right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r>
      <w:tr>
        <w:trPr>
          <w:trHeight w:val="190"/>
        </w:trPr>
        <w:tc>
          <w:tcPr>
            <w:tcW w:w="2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w:t>
            </w:r>
          </w:p>
        </w:tc>
        <w:tc>
          <w:tcPr>
            <w:tcW w:w="5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right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(43,125,751)</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(43,125,751)</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right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(60,331,630)</w:t>
            </w: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(60,331,630)</w:t>
            </w:r>
          </w:p>
        </w:tc>
      </w:tr>
      <w:tr>
        <w:trPr>
          <w:trHeight w:val="193"/>
        </w:trPr>
        <w:tc>
          <w:tcPr>
            <w:tcW w:w="2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Issuances</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14,131,315</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14,131,315</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304,840,953</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304,840,953</w:t>
            </w:r>
          </w:p>
        </w:tc>
      </w:tr>
      <w:tr>
        <w:trPr>
          <w:trHeight w:val="24"/>
        </w:trPr>
        <w:tc>
          <w:tcPr>
            <w:tcW w:w="244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1020" w:type="dxa"/>
            <w:vAlign w:val="bottom"/>
            <w:tcBorders>
              <w:bottom w:val="single" w:sz="8" w:color="0077C0"/>
              <w:right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1080" w:type="dxa"/>
            <w:vAlign w:val="bottom"/>
            <w:tcBorders>
              <w:bottom w:val="single" w:sz="8" w:color="0077C0"/>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0077C0"/>
            </w:tcBorders>
          </w:tcPr>
          <w:p>
            <w:pPr>
              <w:spacing w:after="0"/>
              <w:rPr>
                <w:sz w:val="2"/>
                <w:szCs w:val="2"/>
                <w:color w:val="auto"/>
              </w:rPr>
            </w:pPr>
          </w:p>
        </w:tc>
        <w:tc>
          <w:tcPr>
            <w:tcW w:w="118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1040" w:type="dxa"/>
            <w:vAlign w:val="bottom"/>
            <w:tcBorders>
              <w:bottom w:val="single" w:sz="8" w:color="0077C0"/>
              <w:right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r>
      <w:tr>
        <w:trPr>
          <w:trHeight w:val="189"/>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0077C0"/>
              </w:rPr>
              <w:t>Balance at September 30</w:t>
            </w:r>
          </w:p>
        </w:tc>
        <w:tc>
          <w:tcPr>
            <w:tcW w:w="5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2,442,676,580</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right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(477,254,894)</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1,965,421,686</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2,442,676,580</w:t>
            </w: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right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(429,154,983)</w:t>
            </w: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2,013,521,597</w:t>
            </w:r>
          </w:p>
        </w:tc>
      </w:tr>
      <w:tr>
        <w:trPr>
          <w:trHeight w:val="20"/>
        </w:trPr>
        <w:tc>
          <w:tcPr>
            <w:tcW w:w="2440" w:type="dxa"/>
            <w:vAlign w:val="bottom"/>
            <w:shd w:val="clear" w:color="auto" w:fill="0077C0"/>
          </w:tcPr>
          <w:p>
            <w:pPr>
              <w:spacing w:after="0" w:line="20" w:lineRule="exact"/>
              <w:rPr>
                <w:sz w:val="1"/>
                <w:szCs w:val="1"/>
                <w:color w:val="auto"/>
              </w:rPr>
            </w:pPr>
          </w:p>
        </w:tc>
        <w:tc>
          <w:tcPr>
            <w:tcW w:w="500" w:type="dxa"/>
            <w:vAlign w:val="bottom"/>
            <w:shd w:val="clear" w:color="auto" w:fill="0077C0"/>
          </w:tcPr>
          <w:p>
            <w:pPr>
              <w:spacing w:after="0" w:line="20" w:lineRule="exact"/>
              <w:rPr>
                <w:sz w:val="1"/>
                <w:szCs w:val="1"/>
                <w:color w:val="auto"/>
              </w:rPr>
            </w:pPr>
          </w:p>
        </w:tc>
        <w:tc>
          <w:tcPr>
            <w:tcW w:w="1000" w:type="dxa"/>
            <w:vAlign w:val="bottom"/>
            <w:shd w:val="clear" w:color="auto" w:fill="0077C0"/>
          </w:tcPr>
          <w:p>
            <w:pPr>
              <w:spacing w:after="0" w:line="20" w:lineRule="exact"/>
              <w:rPr>
                <w:sz w:val="1"/>
                <w:szCs w:val="1"/>
                <w:color w:val="auto"/>
              </w:rPr>
            </w:pPr>
          </w:p>
        </w:tc>
        <w:tc>
          <w:tcPr>
            <w:tcW w:w="200" w:type="dxa"/>
            <w:vAlign w:val="bottom"/>
            <w:shd w:val="clear" w:color="auto" w:fill="0077C0"/>
          </w:tcPr>
          <w:p>
            <w:pPr>
              <w:spacing w:after="0" w:line="20" w:lineRule="exact"/>
              <w:rPr>
                <w:sz w:val="1"/>
                <w:szCs w:val="1"/>
                <w:color w:val="auto"/>
              </w:rPr>
            </w:pPr>
          </w:p>
        </w:tc>
        <w:tc>
          <w:tcPr>
            <w:tcW w:w="1020" w:type="dxa"/>
            <w:vAlign w:val="bottom"/>
            <w:tcBorders>
              <w:right w:val="single" w:sz="8" w:color="0077C0"/>
            </w:tcBorders>
            <w:shd w:val="clear" w:color="auto" w:fill="0077C0"/>
          </w:tcPr>
          <w:p>
            <w:pPr>
              <w:spacing w:after="0" w:line="20" w:lineRule="exact"/>
              <w:rPr>
                <w:sz w:val="1"/>
                <w:szCs w:val="1"/>
                <w:color w:val="auto"/>
              </w:rPr>
            </w:pPr>
          </w:p>
        </w:tc>
        <w:tc>
          <w:tcPr>
            <w:tcW w:w="100" w:type="dxa"/>
            <w:vAlign w:val="bottom"/>
            <w:shd w:val="clear" w:color="auto" w:fill="0077C0"/>
          </w:tcPr>
          <w:p>
            <w:pPr>
              <w:spacing w:after="0" w:line="20" w:lineRule="exact"/>
              <w:rPr>
                <w:sz w:val="1"/>
                <w:szCs w:val="1"/>
                <w:color w:val="auto"/>
              </w:rPr>
            </w:pPr>
          </w:p>
        </w:tc>
        <w:tc>
          <w:tcPr>
            <w:tcW w:w="1080" w:type="dxa"/>
            <w:vAlign w:val="bottom"/>
            <w:shd w:val="clear" w:color="auto" w:fill="0077C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shd w:val="clear" w:color="auto" w:fill="0077C0"/>
          </w:tcPr>
          <w:p>
            <w:pPr>
              <w:spacing w:after="0" w:line="20" w:lineRule="exact"/>
              <w:rPr>
                <w:sz w:val="1"/>
                <w:szCs w:val="1"/>
                <w:color w:val="auto"/>
              </w:rPr>
            </w:pPr>
          </w:p>
        </w:tc>
        <w:tc>
          <w:tcPr>
            <w:tcW w:w="1180" w:type="dxa"/>
            <w:vAlign w:val="bottom"/>
            <w:tcBorders>
              <w:right w:val="single" w:sz="8" w:color="0077C0"/>
            </w:tcBorders>
            <w:shd w:val="clear" w:color="auto" w:fill="0077C0"/>
          </w:tcPr>
          <w:p>
            <w:pPr>
              <w:spacing w:after="0" w:line="20" w:lineRule="exact"/>
              <w:rPr>
                <w:sz w:val="1"/>
                <w:szCs w:val="1"/>
                <w:color w:val="auto"/>
              </w:rPr>
            </w:pPr>
          </w:p>
        </w:tc>
        <w:tc>
          <w:tcPr>
            <w:tcW w:w="160" w:type="dxa"/>
            <w:vAlign w:val="bottom"/>
            <w:shd w:val="clear" w:color="auto" w:fill="0077C0"/>
          </w:tcPr>
          <w:p>
            <w:pPr>
              <w:spacing w:after="0" w:line="20" w:lineRule="exact"/>
              <w:rPr>
                <w:sz w:val="1"/>
                <w:szCs w:val="1"/>
                <w:color w:val="auto"/>
              </w:rPr>
            </w:pPr>
          </w:p>
        </w:tc>
        <w:tc>
          <w:tcPr>
            <w:tcW w:w="1040" w:type="dxa"/>
            <w:vAlign w:val="bottom"/>
            <w:tcBorders>
              <w:right w:val="single" w:sz="8" w:color="0077C0"/>
            </w:tcBorders>
            <w:shd w:val="clear" w:color="auto" w:fill="0077C0"/>
          </w:tcPr>
          <w:p>
            <w:pPr>
              <w:spacing w:after="0" w:line="20" w:lineRule="exact"/>
              <w:rPr>
                <w:sz w:val="1"/>
                <w:szCs w:val="1"/>
                <w:color w:val="auto"/>
              </w:rPr>
            </w:pPr>
          </w:p>
        </w:tc>
        <w:tc>
          <w:tcPr>
            <w:tcW w:w="180" w:type="dxa"/>
            <w:vAlign w:val="bottom"/>
            <w:shd w:val="clear" w:color="auto" w:fill="0077C0"/>
          </w:tcPr>
          <w:p>
            <w:pPr>
              <w:spacing w:after="0" w:line="20" w:lineRule="exact"/>
              <w:rPr>
                <w:sz w:val="1"/>
                <w:szCs w:val="1"/>
                <w:color w:val="auto"/>
              </w:rPr>
            </w:pPr>
          </w:p>
        </w:tc>
        <w:tc>
          <w:tcPr>
            <w:tcW w:w="1000" w:type="dxa"/>
            <w:vAlign w:val="bottom"/>
            <w:shd w:val="clear" w:color="auto" w:fill="0077C0"/>
          </w:tcPr>
          <w:p>
            <w:pPr>
              <w:spacing w:after="0" w:line="20" w:lineRule="exact"/>
              <w:rPr>
                <w:sz w:val="1"/>
                <w:szCs w:val="1"/>
                <w:color w:val="auto"/>
              </w:rPr>
            </w:pPr>
          </w:p>
        </w:tc>
      </w:tr>
    </w:tbl>
    <w:p>
      <w:pPr>
        <w:spacing w:after="0" w:line="62" w:lineRule="exact"/>
        <w:rPr>
          <w:sz w:val="20"/>
          <w:szCs w:val="20"/>
          <w:color w:val="auto"/>
        </w:rPr>
      </w:pPr>
    </w:p>
    <w:p>
      <w:pPr>
        <w:ind w:left="120" w:hanging="112"/>
        <w:spacing w:after="0"/>
        <w:tabs>
          <w:tab w:leader="none" w:pos="120" w:val="left"/>
        </w:tabs>
        <w:numPr>
          <w:ilvl w:val="0"/>
          <w:numId w:val="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Beginning and ending balances for all periods include capital in excess of par, common stock issued at par for $1,832, and $(240) associated with Chevron’s Benefit Plan Trust. Changes reflect capital in excess of par.</w:t>
      </w:r>
    </w:p>
    <w:p>
      <w:pPr>
        <w:spacing w:after="0" w:line="23" w:lineRule="exact"/>
        <w:rPr>
          <w:rFonts w:ascii="Times New Roman" w:cs="Times New Roman" w:eastAsia="Times New Roman" w:hAnsi="Times New Roman"/>
          <w:sz w:val="14"/>
          <w:szCs w:val="14"/>
          <w:color w:val="auto"/>
          <w:vertAlign w:val="superscript"/>
        </w:rPr>
      </w:pPr>
    </w:p>
    <w:p>
      <w:pPr>
        <w:ind w:left="120" w:hanging="112"/>
        <w:spacing w:after="0" w:line="201" w:lineRule="auto"/>
        <w:tabs>
          <w:tab w:leader="none" w:pos="120" w:val="left"/>
        </w:tabs>
        <w:numPr>
          <w:ilvl w:val="0"/>
          <w:numId w:val="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excise tax on share repurchases.</w:t>
      </w:r>
    </w:p>
    <w:p>
      <w:pPr>
        <w:ind w:left="120" w:hanging="112"/>
        <w:spacing w:after="0" w:line="205" w:lineRule="auto"/>
        <w:tabs>
          <w:tab w:leader="none" w:pos="120" w:val="left"/>
        </w:tabs>
        <w:numPr>
          <w:ilvl w:val="0"/>
          <w:numId w:val="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Beginning and ending total issued share balances include 14,168,000 shares associated with Chevron’s Benefit Plan Trust for all periods.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21" w:right="339" w:bottom="497" w:gutter="0" w:footer="0" w:header="0"/>
        </w:sectPr>
      </w:pP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497"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General</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accompanying consolidated financial statements of Chevron Corporation and its subsidiaries (together, Chevron or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not been audited by an independent registered public accounting firm. In the opinion of the company’s management, the interim data includes all adjustments necessary for a fair statement of the results for the interim periods. These adjustments were of a normal recurring nature. The results for the three- and nine-month periods ended September 30, 2026, are not necessarily indicative of future financial results. The term “earnings” is defined as net income attributable to Chevron.</w:t>
      </w:r>
    </w:p>
    <w:p>
      <w:pPr>
        <w:spacing w:after="0" w:line="7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notes and other information have been condensed or omitted from the interim financial statements presented in this Quarterly Report on Form 10-Q. Therefore, these financial statements should be read in conjunction with the company’s 2025 Annual Report on Form 10-K.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Changes in Accumulated Other Comprehensive Losses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Accumulated Other Comprehensive Losses (AOCL) presented on the Consolidated Balance Sheet and the impact of significant amounts reclassified from AOCL on information presented in the Consolidated Statement of Income for the nine months ended September 30, 2026 and 2025, are reflected in the table below.</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Changes in Accumulated Other Comprehensive Income (Loss) by Component</w:t>
      </w:r>
      <w:r>
        <w:rPr>
          <w:rFonts w:ascii="Times New Roman" w:cs="Times New Roman" w:eastAsia="Times New Roman" w:hAnsi="Times New Roman"/>
          <w:sz w:val="23"/>
          <w:szCs w:val="23"/>
          <w:b w:val="1"/>
          <w:bCs w:val="1"/>
          <w:color w:val="auto"/>
          <w:vertAlign w:val="superscript"/>
        </w:rPr>
        <w:t>(1)</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Unrealized Holding</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80" w:type="dxa"/>
            <w:vAlign w:val="bottom"/>
          </w:tcPr>
          <w:p>
            <w:pPr>
              <w:spacing w:after="0"/>
              <w:rPr>
                <w:sz w:val="12"/>
                <w:szCs w:val="12"/>
                <w:color w:val="auto"/>
              </w:rPr>
            </w:pPr>
          </w:p>
        </w:tc>
        <w:tc>
          <w:tcPr>
            <w:tcW w:w="126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Gains (Losses) on</w:t>
            </w:r>
          </w:p>
        </w:tc>
        <w:tc>
          <w:tcPr>
            <w:tcW w:w="300" w:type="dxa"/>
            <w:vAlign w:val="bottom"/>
          </w:tcPr>
          <w:p>
            <w:pPr>
              <w:spacing w:after="0"/>
              <w:rPr>
                <w:sz w:val="12"/>
                <w:szCs w:val="12"/>
                <w:color w:val="auto"/>
              </w:rPr>
            </w:pPr>
          </w:p>
        </w:tc>
        <w:tc>
          <w:tcPr>
            <w:tcW w:w="112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300" w:type="dxa"/>
            <w:vAlign w:val="bottom"/>
            <w:tcBorders>
              <w:bottom w:val="single" w:sz="8" w:color="0077C0"/>
            </w:tcBorders>
          </w:tcPr>
          <w:p>
            <w:pPr>
              <w:spacing w:after="0"/>
              <w:rPr>
                <w:sz w:val="16"/>
                <w:szCs w:val="16"/>
                <w:color w:val="auto"/>
              </w:rPr>
            </w:pPr>
          </w:p>
        </w:tc>
        <w:tc>
          <w:tcPr>
            <w:tcW w:w="1120" w:type="dxa"/>
            <w:vAlign w:val="bottom"/>
            <w:tcBorders>
              <w:bottom w:val="single" w:sz="8" w:color="0077C0"/>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80" w:type="dxa"/>
            <w:vAlign w:val="bottom"/>
            <w:tcBorders>
              <w:bottom w:val="single" w:sz="8" w:color="0077C0"/>
            </w:tcBorders>
          </w:tcPr>
          <w:p>
            <w:pPr>
              <w:spacing w:after="0"/>
              <w:rPr>
                <w:sz w:val="16"/>
                <w:szCs w:val="16"/>
                <w:color w:val="auto"/>
              </w:rPr>
            </w:pPr>
          </w:p>
        </w:tc>
        <w:tc>
          <w:tcPr>
            <w:tcW w:w="1260" w:type="dxa"/>
            <w:vAlign w:val="bottom"/>
            <w:tcBorders>
              <w:bottom w:val="single" w:sz="8" w:color="0077C0"/>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300" w:type="dxa"/>
            <w:vAlign w:val="bottom"/>
            <w:tcBorders>
              <w:bottom w:val="single" w:sz="8" w:color="0077C0"/>
            </w:tcBorders>
          </w:tcPr>
          <w:p>
            <w:pPr>
              <w:spacing w:after="0"/>
              <w:rPr>
                <w:sz w:val="16"/>
                <w:szCs w:val="16"/>
                <w:color w:val="auto"/>
              </w:rPr>
            </w:pPr>
          </w:p>
        </w:tc>
        <w:tc>
          <w:tcPr>
            <w:tcW w:w="1120" w:type="dxa"/>
            <w:vAlign w:val="bottom"/>
            <w:tcBorders>
              <w:bottom w:val="single" w:sz="8" w:color="0077C0"/>
            </w:tcBorders>
            <w:vMerge w:val="continue"/>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1160" w:type="dxa"/>
            <w:vAlign w:val="bottom"/>
            <w:tcBorders>
              <w:bottom w:val="single" w:sz="8" w:color="0077C0"/>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4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2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6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112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126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112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1160" w:type="dxa"/>
            <w:vAlign w:val="bottom"/>
            <w:tcBorders>
              <w:bottom w:val="single" w:sz="8" w:color="0077C0"/>
            </w:tcBorders>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(2,468)</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(2,760)</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Other Comprehensive Income (Loss):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Before Reclassifications</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3"/>
        </w:trPr>
        <w:tc>
          <w:tcPr>
            <w:tcW w:w="4360" w:type="dxa"/>
            <w:vAlign w:val="bottom"/>
          </w:tcPr>
          <w:p>
            <w:pPr>
              <w:ind w:left="240"/>
              <w:spacing w:after="0" w:line="243" w:lineRule="exact"/>
              <w:rPr>
                <w:sz w:val="20"/>
                <w:szCs w:val="20"/>
                <w:color w:val="auto"/>
              </w:rPr>
            </w:pPr>
            <w:r>
              <w:rPr>
                <w:rFonts w:ascii="Times New Roman" w:cs="Times New Roman" w:eastAsia="Times New Roman" w:hAnsi="Times New Roman"/>
                <w:sz w:val="18"/>
                <w:szCs w:val="18"/>
                <w:color w:val="auto"/>
              </w:rPr>
              <w:t>Reclassifications</w:t>
            </w:r>
            <w:r>
              <w:rPr>
                <w:rFonts w:ascii="Times New Roman" w:cs="Times New Roman" w:eastAsia="Times New Roman" w:hAnsi="Times New Roman"/>
                <w:sz w:val="23"/>
                <w:szCs w:val="23"/>
                <w:color w:val="auto"/>
                <w:vertAlign w:val="superscript"/>
              </w:rPr>
              <w:t>(2) (3)</w:t>
            </w:r>
          </w:p>
        </w:tc>
        <w:tc>
          <w:tcPr>
            <w:tcW w:w="3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83</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43"/>
        </w:trPr>
        <w:tc>
          <w:tcPr>
            <w:tcW w:w="436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300" w:type="dxa"/>
            <w:vAlign w:val="bottom"/>
            <w:tcBorders>
              <w:bottom w:val="single" w:sz="8" w:color="0077C0"/>
            </w:tcBorders>
            <w:shd w:val="clear" w:color="auto" w:fill="CCEEFF"/>
          </w:tcPr>
          <w:p>
            <w:pPr>
              <w:spacing w:after="0"/>
              <w:rPr>
                <w:sz w:val="21"/>
                <w:szCs w:val="21"/>
                <w:color w:val="auto"/>
              </w:rPr>
            </w:pPr>
          </w:p>
        </w:tc>
        <w:tc>
          <w:tcPr>
            <w:tcW w:w="1120" w:type="dxa"/>
            <w:vAlign w:val="bottom"/>
            <w:tcBorders>
              <w:bottom w:val="single" w:sz="8" w:color="0077C0"/>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Borders>
              <w:bottom w:val="single" w:sz="8" w:color="0077C0"/>
            </w:tcBorders>
            <w:shd w:val="clear" w:color="auto" w:fill="CCEEFF"/>
          </w:tcPr>
          <w:p>
            <w:pPr>
              <w:spacing w:after="0"/>
              <w:rPr>
                <w:sz w:val="21"/>
                <w:szCs w:val="21"/>
                <w:color w:val="auto"/>
              </w:rPr>
            </w:pPr>
          </w:p>
        </w:tc>
        <w:tc>
          <w:tcPr>
            <w:tcW w:w="126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Borders>
              <w:bottom w:val="single" w:sz="8" w:color="0077C0"/>
            </w:tcBorders>
            <w:shd w:val="clear" w:color="auto" w:fill="CCEEFF"/>
          </w:tcPr>
          <w:p>
            <w:pPr>
              <w:spacing w:after="0"/>
              <w:rPr>
                <w:sz w:val="21"/>
                <w:szCs w:val="21"/>
                <w:color w:val="auto"/>
              </w:rPr>
            </w:pPr>
          </w:p>
        </w:tc>
        <w:tc>
          <w:tcPr>
            <w:tcW w:w="1120" w:type="dxa"/>
            <w:vAlign w:val="bottom"/>
            <w:tcBorders>
              <w:bottom w:val="single" w:sz="8" w:color="0077C0"/>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bottom w:val="single" w:sz="8" w:color="0077C0"/>
            </w:tcBorders>
            <w:shd w:val="clear" w:color="auto" w:fill="CCEEFF"/>
          </w:tcPr>
          <w:p>
            <w:pPr>
              <w:spacing w:after="0"/>
              <w:rPr>
                <w:sz w:val="21"/>
                <w:szCs w:val="21"/>
                <w:color w:val="auto"/>
              </w:rPr>
            </w:pPr>
          </w:p>
        </w:tc>
        <w:tc>
          <w:tcPr>
            <w:tcW w:w="1160" w:type="dxa"/>
            <w:vAlign w:val="bottom"/>
            <w:tcBorders>
              <w:bottom w:val="single" w:sz="8" w:color="0077C0"/>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tcBorders>
              <w:bottom w:val="single" w:sz="8" w:color="0077C0"/>
            </w:tcBorders>
            <w:shd w:val="clear" w:color="auto" w:fill="CCEEFF"/>
          </w:tcPr>
          <w:p>
            <w:pPr>
              <w:spacing w:after="0"/>
              <w:rPr>
                <w:sz w:val="21"/>
                <w:szCs w:val="21"/>
                <w:color w:val="auto"/>
              </w:rPr>
            </w:pPr>
          </w:p>
        </w:tc>
        <w:tc>
          <w:tcPr>
            <w:tcW w:w="92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3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1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3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0077C0"/>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w:t>
            </w:r>
          </w:p>
        </w:tc>
        <w:tc>
          <w:tcPr>
            <w:tcW w:w="1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(2,395)</w:t>
            </w:r>
          </w:p>
        </w:tc>
        <w:tc>
          <w:tcPr>
            <w:tcW w:w="340" w:type="dxa"/>
            <w:vAlign w:val="bottom"/>
            <w:tcBorders>
              <w:bottom w:val="single" w:sz="8" w:color="0077C0"/>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(2,591)</w:t>
            </w:r>
          </w:p>
        </w:tc>
        <w:tc>
          <w:tcPr>
            <w:tcW w:w="0" w:type="dxa"/>
            <w:vAlign w:val="bottom"/>
          </w:tcPr>
          <w:p>
            <w:pPr>
              <w:spacing w:after="0"/>
              <w:rPr>
                <w:sz w:val="1"/>
                <w:szCs w:val="1"/>
                <w:color w:val="auto"/>
              </w:rPr>
            </w:pPr>
          </w:p>
        </w:tc>
      </w:tr>
      <w:tr>
        <w:trPr>
          <w:trHeight w:val="183"/>
        </w:trPr>
        <w:tc>
          <w:tcPr>
            <w:tcW w:w="4360" w:type="dxa"/>
            <w:vAlign w:val="bottom"/>
            <w:tcBorders>
              <w:bottom w:val="single" w:sz="8" w:color="0077C0"/>
            </w:tcBorders>
            <w:shd w:val="clear" w:color="auto" w:fill="CCEEFF"/>
          </w:tcPr>
          <w:p>
            <w:pPr>
              <w:spacing w:after="0"/>
              <w:rPr>
                <w:sz w:val="15"/>
                <w:szCs w:val="15"/>
                <w:color w:val="auto"/>
              </w:rPr>
            </w:pPr>
          </w:p>
        </w:tc>
        <w:tc>
          <w:tcPr>
            <w:tcW w:w="300" w:type="dxa"/>
            <w:vAlign w:val="bottom"/>
            <w:tcBorders>
              <w:bottom w:val="single" w:sz="8" w:color="0077C0"/>
            </w:tcBorders>
            <w:shd w:val="clear" w:color="auto" w:fill="CCEEFF"/>
          </w:tcPr>
          <w:p>
            <w:pPr>
              <w:spacing w:after="0"/>
              <w:rPr>
                <w:sz w:val="15"/>
                <w:szCs w:val="15"/>
                <w:color w:val="auto"/>
              </w:rPr>
            </w:pPr>
          </w:p>
        </w:tc>
        <w:tc>
          <w:tcPr>
            <w:tcW w:w="1120" w:type="dxa"/>
            <w:vAlign w:val="bottom"/>
            <w:tcBorders>
              <w:bottom w:val="single" w:sz="8" w:color="0077C0"/>
            </w:tcBorders>
            <w:shd w:val="clear" w:color="auto" w:fill="CCEEFF"/>
          </w:tcPr>
          <w:p>
            <w:pPr>
              <w:spacing w:after="0"/>
              <w:rPr>
                <w:sz w:val="15"/>
                <w:szCs w:val="15"/>
                <w:color w:val="auto"/>
              </w:rPr>
            </w:pPr>
          </w:p>
        </w:tc>
        <w:tc>
          <w:tcPr>
            <w:tcW w:w="180" w:type="dxa"/>
            <w:vAlign w:val="bottom"/>
            <w:tcBorders>
              <w:bottom w:val="single" w:sz="8" w:color="0077C0"/>
            </w:tcBorders>
            <w:shd w:val="clear" w:color="auto" w:fill="CCEEFF"/>
          </w:tcPr>
          <w:p>
            <w:pPr>
              <w:spacing w:after="0"/>
              <w:rPr>
                <w:sz w:val="15"/>
                <w:szCs w:val="15"/>
                <w:color w:val="auto"/>
              </w:rPr>
            </w:pPr>
          </w:p>
        </w:tc>
        <w:tc>
          <w:tcPr>
            <w:tcW w:w="1260" w:type="dxa"/>
            <w:vAlign w:val="bottom"/>
            <w:tcBorders>
              <w:bottom w:val="single" w:sz="8" w:color="0077C0"/>
            </w:tcBorders>
            <w:shd w:val="clear" w:color="auto" w:fill="CCEEFF"/>
          </w:tcPr>
          <w:p>
            <w:pPr>
              <w:spacing w:after="0"/>
              <w:rPr>
                <w:sz w:val="15"/>
                <w:szCs w:val="15"/>
                <w:color w:val="auto"/>
              </w:rPr>
            </w:pPr>
          </w:p>
        </w:tc>
        <w:tc>
          <w:tcPr>
            <w:tcW w:w="300" w:type="dxa"/>
            <w:vAlign w:val="bottom"/>
            <w:tcBorders>
              <w:bottom w:val="single" w:sz="8" w:color="0077C0"/>
            </w:tcBorders>
            <w:shd w:val="clear" w:color="auto" w:fill="CCEEFF"/>
          </w:tcPr>
          <w:p>
            <w:pPr>
              <w:spacing w:after="0"/>
              <w:rPr>
                <w:sz w:val="15"/>
                <w:szCs w:val="15"/>
                <w:color w:val="auto"/>
              </w:rPr>
            </w:pPr>
          </w:p>
        </w:tc>
        <w:tc>
          <w:tcPr>
            <w:tcW w:w="1120" w:type="dxa"/>
            <w:vAlign w:val="bottom"/>
            <w:tcBorders>
              <w:bottom w:val="single" w:sz="8" w:color="0077C0"/>
            </w:tcBorders>
            <w:shd w:val="clear" w:color="auto" w:fill="CCEEFF"/>
          </w:tcPr>
          <w:p>
            <w:pPr>
              <w:spacing w:after="0"/>
              <w:rPr>
                <w:sz w:val="15"/>
                <w:szCs w:val="15"/>
                <w:color w:val="auto"/>
              </w:rPr>
            </w:pPr>
          </w:p>
        </w:tc>
        <w:tc>
          <w:tcPr>
            <w:tcW w:w="180" w:type="dxa"/>
            <w:vAlign w:val="bottom"/>
            <w:tcBorders>
              <w:bottom w:val="single" w:sz="8" w:color="0077C0"/>
            </w:tcBorders>
            <w:shd w:val="clear" w:color="auto" w:fill="CCEEFF"/>
          </w:tcPr>
          <w:p>
            <w:pPr>
              <w:spacing w:after="0"/>
              <w:rPr>
                <w:sz w:val="15"/>
                <w:szCs w:val="15"/>
                <w:color w:val="auto"/>
              </w:rPr>
            </w:pPr>
          </w:p>
        </w:tc>
        <w:tc>
          <w:tcPr>
            <w:tcW w:w="1160" w:type="dxa"/>
            <w:vAlign w:val="bottom"/>
            <w:tcBorders>
              <w:bottom w:val="single" w:sz="8" w:color="0077C0"/>
            </w:tcBorders>
            <w:shd w:val="clear" w:color="auto" w:fill="CCEEFF"/>
          </w:tcPr>
          <w:p>
            <w:pPr>
              <w:spacing w:after="0"/>
              <w:rPr>
                <w:sz w:val="15"/>
                <w:szCs w:val="15"/>
                <w:color w:val="auto"/>
              </w:rPr>
            </w:pPr>
          </w:p>
        </w:tc>
        <w:tc>
          <w:tcPr>
            <w:tcW w:w="340" w:type="dxa"/>
            <w:vAlign w:val="bottom"/>
            <w:tcBorders>
              <w:bottom w:val="single" w:sz="8" w:color="0077C0"/>
            </w:tcBorders>
            <w:shd w:val="clear" w:color="auto" w:fill="CCEEFF"/>
          </w:tcPr>
          <w:p>
            <w:pPr>
              <w:spacing w:after="0"/>
              <w:rPr>
                <w:sz w:val="15"/>
                <w:szCs w:val="15"/>
                <w:color w:val="auto"/>
              </w:rPr>
            </w:pPr>
          </w:p>
        </w:tc>
        <w:tc>
          <w:tcPr>
            <w:tcW w:w="920" w:type="dxa"/>
            <w:vAlign w:val="bottom"/>
            <w:tcBorders>
              <w:bottom w:val="single" w:sz="8" w:color="0077C0"/>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3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3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1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3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0077C0"/>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w:t>
            </w:r>
          </w:p>
        </w:tc>
        <w:tc>
          <w:tcPr>
            <w:tcW w:w="1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(2,269)</w:t>
            </w:r>
          </w:p>
        </w:tc>
        <w:tc>
          <w:tcPr>
            <w:tcW w:w="340" w:type="dxa"/>
            <w:vAlign w:val="bottom"/>
            <w:tcBorders>
              <w:bottom w:val="single" w:sz="8" w:color="0077C0"/>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(2,464)</w:t>
            </w:r>
          </w:p>
        </w:tc>
        <w:tc>
          <w:tcPr>
            <w:tcW w:w="0" w:type="dxa"/>
            <w:vAlign w:val="bottom"/>
          </w:tcPr>
          <w:p>
            <w:pPr>
              <w:spacing w:after="0"/>
              <w:rPr>
                <w:sz w:val="1"/>
                <w:szCs w:val="1"/>
                <w:color w:val="auto"/>
              </w:rPr>
            </w:pPr>
          </w:p>
        </w:tc>
      </w:tr>
      <w:tr>
        <w:trPr>
          <w:trHeight w:val="23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Other Comprehensive Income (Loss):</w:t>
            </w: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Before Reclassifications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402</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Reclassifications</w:t>
            </w:r>
            <w:r>
              <w:rPr>
                <w:rFonts w:ascii="Times New Roman" w:cs="Times New Roman" w:eastAsia="Times New Roman" w:hAnsi="Times New Roman"/>
                <w:sz w:val="23"/>
                <w:szCs w:val="23"/>
                <w:color w:val="auto"/>
                <w:vertAlign w:val="superscript"/>
              </w:rPr>
              <w:t>(2) (3)</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184</w:t>
            </w: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43"/>
        </w:trPr>
        <w:tc>
          <w:tcPr>
            <w:tcW w:w="43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300" w:type="dxa"/>
            <w:vAlign w:val="bottom"/>
            <w:tcBorders>
              <w:bottom w:val="single" w:sz="8" w:color="0077C0"/>
            </w:tcBorders>
          </w:tcPr>
          <w:p>
            <w:pPr>
              <w:spacing w:after="0"/>
              <w:rPr>
                <w:sz w:val="21"/>
                <w:szCs w:val="21"/>
                <w:color w:val="auto"/>
              </w:rPr>
            </w:pPr>
          </w:p>
        </w:tc>
        <w:tc>
          <w:tcPr>
            <w:tcW w:w="11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Borders>
              <w:bottom w:val="single" w:sz="8" w:color="0077C0"/>
            </w:tcBorders>
          </w:tcPr>
          <w:p>
            <w:pPr>
              <w:spacing w:after="0"/>
              <w:rPr>
                <w:sz w:val="21"/>
                <w:szCs w:val="21"/>
                <w:color w:val="auto"/>
              </w:rPr>
            </w:pPr>
          </w:p>
        </w:tc>
        <w:tc>
          <w:tcPr>
            <w:tcW w:w="12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0077C0"/>
            </w:tcBorders>
          </w:tcPr>
          <w:p>
            <w:pPr>
              <w:spacing w:after="0"/>
              <w:rPr>
                <w:sz w:val="21"/>
                <w:szCs w:val="21"/>
                <w:color w:val="auto"/>
              </w:rPr>
            </w:pPr>
          </w:p>
        </w:tc>
        <w:tc>
          <w:tcPr>
            <w:tcW w:w="11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Borders>
              <w:bottom w:val="single" w:sz="8" w:color="0077C0"/>
            </w:tcBorders>
          </w:tcPr>
          <w:p>
            <w:pPr>
              <w:spacing w:after="0"/>
              <w:rPr>
                <w:sz w:val="21"/>
                <w:szCs w:val="21"/>
                <w:color w:val="auto"/>
              </w:rPr>
            </w:pPr>
          </w:p>
        </w:tc>
        <w:tc>
          <w:tcPr>
            <w:tcW w:w="1160" w:type="dxa"/>
            <w:vAlign w:val="bottom"/>
            <w:tcBorders>
              <w:bottom w:val="single" w:sz="8" w:color="0077C0"/>
            </w:tcBorders>
          </w:tcPr>
          <w:p>
            <w:pPr>
              <w:jc w:val="right"/>
              <w:ind w:right="13"/>
              <w:spacing w:after="0"/>
              <w:rPr>
                <w:sz w:val="20"/>
                <w:szCs w:val="20"/>
                <w:color w:val="auto"/>
              </w:rPr>
            </w:pPr>
            <w:r>
              <w:rPr>
                <w:rFonts w:ascii="Times New Roman" w:cs="Times New Roman" w:eastAsia="Times New Roman" w:hAnsi="Times New Roman"/>
                <w:sz w:val="18"/>
                <w:szCs w:val="18"/>
                <w:color w:val="auto"/>
              </w:rPr>
              <w:t>586</w:t>
            </w:r>
          </w:p>
        </w:tc>
        <w:tc>
          <w:tcPr>
            <w:tcW w:w="340" w:type="dxa"/>
            <w:vAlign w:val="bottom"/>
            <w:tcBorders>
              <w:bottom w:val="single" w:sz="8" w:color="0077C0"/>
            </w:tcBorders>
          </w:tcPr>
          <w:p>
            <w:pPr>
              <w:spacing w:after="0"/>
              <w:rPr>
                <w:sz w:val="21"/>
                <w:szCs w:val="21"/>
                <w:color w:val="auto"/>
              </w:rPr>
            </w:pP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3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w:t>
            </w:r>
          </w:p>
        </w:tc>
        <w:tc>
          <w:tcPr>
            <w:tcW w:w="1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3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(1,683)</w:t>
            </w:r>
          </w:p>
        </w:tc>
        <w:tc>
          <w:tcPr>
            <w:tcW w:w="340" w:type="dxa"/>
            <w:vAlign w:val="bottom"/>
            <w:tcBorders>
              <w:bottom w:val="single" w:sz="8" w:color="0077C0"/>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(1,984)</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60" w:hanging="152"/>
        <w:spacing w:after="0"/>
        <w:tabs>
          <w:tab w:leader="none" w:pos="1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amounts are net of tax.</w:t>
      </w:r>
    </w:p>
    <w:p>
      <w:pPr>
        <w:spacing w:after="0" w:line="16"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Refer to </w:t>
      </w:r>
      <w:r>
        <w:rPr>
          <w:rFonts w:ascii="Times New Roman" w:cs="Times New Roman" w:eastAsia="Times New Roman" w:hAnsi="Times New Roman"/>
          <w:sz w:val="14"/>
          <w:szCs w:val="14"/>
          <w:u w:val="single" w:color="auto"/>
          <w:color w:val="0000FF"/>
        </w:rPr>
        <w:t>Note 14 Financial and Derivative Instruments</w:t>
      </w:r>
      <w:r>
        <w:rPr>
          <w:rFonts w:ascii="Times New Roman" w:cs="Times New Roman" w:eastAsia="Times New Roman" w:hAnsi="Times New Roman"/>
          <w:sz w:val="14"/>
          <w:szCs w:val="14"/>
          <w:color w:val="auto"/>
        </w:rPr>
        <w:t xml:space="preserve"> for reclassified components of cash flow hedging.</w:t>
      </w:r>
    </w:p>
    <w:p>
      <w:pPr>
        <w:spacing w:after="0" w:line="12" w:lineRule="exact"/>
        <w:rPr>
          <w:rFonts w:ascii="Times New Roman" w:cs="Times New Roman" w:eastAsia="Times New Roman" w:hAnsi="Times New Roman"/>
          <w:sz w:val="9"/>
          <w:szCs w:val="9"/>
          <w:color w:val="auto"/>
        </w:rPr>
      </w:pPr>
    </w:p>
    <w:p>
      <w:pPr>
        <w:jc w:val="both"/>
        <w:ind w:left="180" w:hanging="172"/>
        <w:spacing w:after="0" w:line="281" w:lineRule="auto"/>
        <w:tabs>
          <w:tab w:leader="none" w:pos="167"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Refer to </w:t>
      </w:r>
      <w:r>
        <w:rPr>
          <w:rFonts w:ascii="Times New Roman" w:cs="Times New Roman" w:eastAsia="Times New Roman" w:hAnsi="Times New Roman"/>
          <w:sz w:val="14"/>
          <w:szCs w:val="14"/>
          <w:u w:val="single" w:color="auto"/>
          <w:color w:val="0000FF"/>
        </w:rPr>
        <w:t>Note 8 Employee Benefits</w:t>
      </w:r>
      <w:r>
        <w:rPr>
          <w:rFonts w:ascii="Times New Roman" w:cs="Times New Roman" w:eastAsia="Times New Roman" w:hAnsi="Times New Roman"/>
          <w:sz w:val="14"/>
          <w:szCs w:val="14"/>
          <w:color w:val="auto"/>
        </w:rPr>
        <w:t xml:space="preserve"> for reclassified components, including amortization of actuarial gains or losses, amortization of prior service costs, and special events, including settlements, totaling $243 that are included in employee benefit costs for the nine months ended September 30, 2026. Related income taxes for the same period, totaling $59, are reflected in “Income Tax Expense (Benefit)” on the Consolidated Statement of Income. All other reclassified amounts were insignificant.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Information Relating to the Consolidated Statement of Cash Flows</w:t>
      </w:r>
    </w:p>
    <w:p>
      <w:pPr>
        <w:spacing w:after="0" w:line="6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13335</wp:posOffset>
            </wp:positionV>
            <wp:extent cx="17056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560" w:type="dxa"/>
            <w:vAlign w:val="bottom"/>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2380" w:type="dxa"/>
            <w:vAlign w:val="bottom"/>
            <w:tcBorders>
              <w:bottom w:val="single" w:sz="8" w:color="0077C0"/>
            </w:tcBorders>
            <w:gridSpan w:val="3"/>
          </w:tcPr>
          <w:p>
            <w:pPr>
              <w:spacing w:after="0"/>
              <w:rPr>
                <w:sz w:val="2"/>
                <w:szCs w:val="2"/>
                <w:color w:val="auto"/>
              </w:rPr>
            </w:pPr>
          </w:p>
        </w:tc>
      </w:tr>
      <w:tr>
        <w:trPr>
          <w:trHeight w:val="186"/>
        </w:trPr>
        <w:tc>
          <w:tcPr>
            <w:tcW w:w="8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3"/>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(Millions of dollars)</w:t>
            </w:r>
          </w:p>
        </w:tc>
      </w:tr>
      <w:tr>
        <w:trPr>
          <w:trHeight w:val="23"/>
        </w:trPr>
        <w:tc>
          <w:tcPr>
            <w:tcW w:w="856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1040" w:type="dxa"/>
            <w:vAlign w:val="bottom"/>
            <w:tcBorders>
              <w:bottom w:val="single" w:sz="8" w:color="0077C0"/>
            </w:tcBorders>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980" w:type="dxa"/>
            <w:vAlign w:val="bottom"/>
            <w:tcBorders>
              <w:bottom w:val="single" w:sz="8" w:color="0077C0"/>
            </w:tcBorders>
          </w:tcPr>
          <w:p>
            <w:pPr>
              <w:spacing w:after="0"/>
              <w:rPr>
                <w:sz w:val="2"/>
                <w:szCs w:val="2"/>
                <w:color w:val="auto"/>
              </w:rPr>
            </w:pPr>
          </w:p>
        </w:tc>
      </w:tr>
      <w:tr>
        <w:trPr>
          <w:trHeight w:val="237"/>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more (less) than income from equity affiliates included the following:</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from equity affiliates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5,764</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r>
      <w:tr>
        <w:trPr>
          <w:trHeight w:val="243"/>
        </w:trPr>
        <w:tc>
          <w:tcPr>
            <w:tcW w:w="8560" w:type="dxa"/>
            <w:vAlign w:val="bottom"/>
            <w:tcBorders>
              <w:bottom w:val="single" w:sz="8" w:color="0077C0"/>
            </w:tcBorders>
          </w:tcPr>
          <w:p>
            <w:pPr>
              <w:ind w:left="140"/>
              <w:spacing w:after="0"/>
              <w:rPr>
                <w:sz w:val="20"/>
                <w:szCs w:val="20"/>
                <w:color w:val="auto"/>
              </w:rPr>
            </w:pPr>
            <w:r>
              <w:rPr>
                <w:rFonts w:ascii="Times New Roman" w:cs="Times New Roman" w:eastAsia="Times New Roman" w:hAnsi="Times New Roman"/>
                <w:sz w:val="18"/>
                <w:szCs w:val="18"/>
                <w:color w:val="auto"/>
              </w:rPr>
              <w:t>(Income) loss from equity affiliates</w:t>
            </w:r>
          </w:p>
        </w:tc>
        <w:tc>
          <w:tcPr>
            <w:tcW w:w="300" w:type="dxa"/>
            <w:vAlign w:val="bottom"/>
            <w:tcBorders>
              <w:bottom w:val="single" w:sz="8" w:color="0077C0"/>
            </w:tcBorders>
          </w:tcPr>
          <w:p>
            <w:pPr>
              <w:spacing w:after="0"/>
              <w:rPr>
                <w:sz w:val="21"/>
                <w:szCs w:val="21"/>
                <w:color w:val="auto"/>
              </w:rPr>
            </w:pPr>
          </w:p>
        </w:tc>
        <w:tc>
          <w:tcPr>
            <w:tcW w:w="1040" w:type="dxa"/>
            <w:vAlign w:val="bottom"/>
            <w:tcBorders>
              <w:bottom w:val="single" w:sz="8" w:color="0077C0"/>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(4,967)</w:t>
            </w:r>
          </w:p>
        </w:tc>
        <w:tc>
          <w:tcPr>
            <w:tcW w:w="360" w:type="dxa"/>
            <w:vAlign w:val="bottom"/>
            <w:tcBorders>
              <w:bottom w:val="single" w:sz="8" w:color="0077C0"/>
            </w:tcBorders>
          </w:tcPr>
          <w:p>
            <w:pPr>
              <w:spacing w:after="0"/>
              <w:rPr>
                <w:sz w:val="21"/>
                <w:szCs w:val="21"/>
                <w:color w:val="auto"/>
              </w:rPr>
            </w:pPr>
          </w:p>
        </w:tc>
        <w:tc>
          <w:tcPr>
            <w:tcW w:w="9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(2,337)</w:t>
            </w:r>
          </w:p>
        </w:tc>
      </w:tr>
      <w:tr>
        <w:trPr>
          <w:trHeight w:val="237"/>
        </w:trPr>
        <w:tc>
          <w:tcPr>
            <w:tcW w:w="856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Distributions more (less) than income from equity affiliates</w:t>
            </w:r>
          </w:p>
        </w:tc>
        <w:tc>
          <w:tcPr>
            <w:tcW w:w="300" w:type="dxa"/>
            <w:vAlign w:val="bottom"/>
            <w:tcBorders>
              <w:bottom w:val="single" w:sz="8" w:color="0077C0"/>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0077C0"/>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797</w:t>
            </w:r>
          </w:p>
        </w:tc>
        <w:tc>
          <w:tcPr>
            <w:tcW w:w="360" w:type="dxa"/>
            <w:vAlign w:val="bottom"/>
            <w:tcBorders>
              <w:bottom w:val="single" w:sz="8" w:color="0077C0"/>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r>
      <w:tr>
        <w:trPr>
          <w:trHeight w:val="236"/>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operating working capital was composed of the following:</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Decrease (increase) in accounts and notes receivable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(8,098)</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r>
      <w:tr>
        <w:trPr>
          <w:trHeight w:val="243"/>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(1,675)</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43"/>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Decrease (increase) in prepaid expenses and other current assets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(1,182)</w:t>
            </w: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43"/>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(decrease) in accounts payable and accrued liabilities</w:t>
            </w:r>
          </w:p>
        </w:tc>
        <w:tc>
          <w:tcPr>
            <w:tcW w:w="30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7,242</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w:t>
            </w:r>
          </w:p>
        </w:tc>
      </w:tr>
      <w:tr>
        <w:trPr>
          <w:trHeight w:val="243"/>
        </w:trPr>
        <w:tc>
          <w:tcPr>
            <w:tcW w:w="8560" w:type="dxa"/>
            <w:vAlign w:val="bottom"/>
            <w:tcBorders>
              <w:bottom w:val="single" w:sz="8" w:color="0077C0"/>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(decrease) in income and other taxes payable</w:t>
            </w:r>
          </w:p>
        </w:tc>
        <w:tc>
          <w:tcPr>
            <w:tcW w:w="300" w:type="dxa"/>
            <w:vAlign w:val="bottom"/>
            <w:tcBorders>
              <w:bottom w:val="single" w:sz="8" w:color="0077C0"/>
            </w:tcBorders>
            <w:shd w:val="clear" w:color="auto" w:fill="CCEEFF"/>
          </w:tcPr>
          <w:p>
            <w:pPr>
              <w:spacing w:after="0"/>
              <w:rPr>
                <w:sz w:val="21"/>
                <w:szCs w:val="21"/>
                <w:color w:val="auto"/>
              </w:rPr>
            </w:pPr>
          </w:p>
        </w:tc>
        <w:tc>
          <w:tcPr>
            <w:tcW w:w="1040" w:type="dxa"/>
            <w:vAlign w:val="bottom"/>
            <w:tcBorders>
              <w:bottom w:val="single" w:sz="8" w:color="0077C0"/>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1,495</w:t>
            </w:r>
          </w:p>
        </w:tc>
        <w:tc>
          <w:tcPr>
            <w:tcW w:w="360" w:type="dxa"/>
            <w:vAlign w:val="bottom"/>
            <w:tcBorders>
              <w:bottom w:val="single" w:sz="8" w:color="0077C0"/>
            </w:tcBorders>
            <w:shd w:val="clear" w:color="auto" w:fill="CCEEFF"/>
          </w:tcPr>
          <w:p>
            <w:pPr>
              <w:spacing w:after="0"/>
              <w:rPr>
                <w:sz w:val="21"/>
                <w:szCs w:val="21"/>
                <w:color w:val="auto"/>
              </w:rPr>
            </w:pPr>
          </w:p>
        </w:tc>
        <w:tc>
          <w:tcPr>
            <w:tcW w:w="9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r>
      <w:tr>
        <w:trPr>
          <w:trHeight w:val="237"/>
        </w:trPr>
        <w:tc>
          <w:tcPr>
            <w:tcW w:w="85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operating working capital</w:t>
            </w:r>
          </w:p>
        </w:tc>
        <w:tc>
          <w:tcPr>
            <w:tcW w:w="300" w:type="dxa"/>
            <w:vAlign w:val="bottom"/>
            <w:tcBorders>
              <w:bottom w:val="single" w:sz="8" w:color="0077C0"/>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0077C0"/>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(2,218)</w:t>
            </w:r>
          </w:p>
        </w:tc>
        <w:tc>
          <w:tcPr>
            <w:tcW w:w="360" w:type="dxa"/>
            <w:vAlign w:val="bottom"/>
            <w:tcBorders>
              <w:bottom w:val="single" w:sz="8" w:color="0077C0"/>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(2,685)</w:t>
            </w:r>
          </w:p>
        </w:tc>
      </w:tr>
      <w:tr>
        <w:trPr>
          <w:trHeight w:val="237"/>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 included the following cash payments: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43"/>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debt (net of capitalized interest)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1,002</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43"/>
        </w:trPr>
        <w:tc>
          <w:tcPr>
            <w:tcW w:w="8560" w:type="dxa"/>
            <w:vAlign w:val="bottom"/>
            <w:tcBorders>
              <w:bottom w:val="single" w:sz="8" w:color="0077C0"/>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tcBorders>
              <w:bottom w:val="single" w:sz="8" w:color="0077C0"/>
            </w:tcBorders>
            <w:shd w:val="clear" w:color="auto" w:fill="CCEEFF"/>
          </w:tcPr>
          <w:p>
            <w:pPr>
              <w:spacing w:after="0"/>
              <w:rPr>
                <w:sz w:val="21"/>
                <w:szCs w:val="21"/>
                <w:color w:val="auto"/>
              </w:rPr>
            </w:pPr>
          </w:p>
        </w:tc>
        <w:tc>
          <w:tcPr>
            <w:tcW w:w="1040" w:type="dxa"/>
            <w:vAlign w:val="bottom"/>
            <w:tcBorders>
              <w:bottom w:val="single" w:sz="8" w:color="0077C0"/>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8,007</w:t>
            </w:r>
          </w:p>
        </w:tc>
        <w:tc>
          <w:tcPr>
            <w:tcW w:w="360" w:type="dxa"/>
            <w:vAlign w:val="bottom"/>
            <w:tcBorders>
              <w:bottom w:val="single" w:sz="8" w:color="0077C0"/>
            </w:tcBorders>
            <w:shd w:val="clear" w:color="auto" w:fill="CCEEFF"/>
          </w:tcPr>
          <w:p>
            <w:pPr>
              <w:spacing w:after="0"/>
              <w:rPr>
                <w:sz w:val="21"/>
                <w:szCs w:val="21"/>
                <w:color w:val="auto"/>
              </w:rPr>
            </w:pPr>
          </w:p>
        </w:tc>
        <w:tc>
          <w:tcPr>
            <w:tcW w:w="9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w:t>
            </w:r>
          </w:p>
        </w:tc>
      </w:tr>
      <w:tr>
        <w:trPr>
          <w:trHeight w:val="237"/>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and deposits related to asset sales and returns of investment consisted of the following gross amounts: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and deposits related to asset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941</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r>
      <w:tr>
        <w:trPr>
          <w:trHeight w:val="243"/>
        </w:trPr>
        <w:tc>
          <w:tcPr>
            <w:tcW w:w="8560" w:type="dxa"/>
            <w:vAlign w:val="bottom"/>
            <w:tcBorders>
              <w:bottom w:val="single" w:sz="8" w:color="0077C0"/>
            </w:tcBorders>
          </w:tcPr>
          <w:p>
            <w:pPr>
              <w:ind w:left="140"/>
              <w:spacing w:after="0"/>
              <w:rPr>
                <w:sz w:val="20"/>
                <w:szCs w:val="20"/>
                <w:color w:val="auto"/>
              </w:rPr>
            </w:pPr>
            <w:r>
              <w:rPr>
                <w:rFonts w:ascii="Times New Roman" w:cs="Times New Roman" w:eastAsia="Times New Roman" w:hAnsi="Times New Roman"/>
                <w:sz w:val="18"/>
                <w:szCs w:val="18"/>
                <w:color w:val="auto"/>
              </w:rPr>
              <w:t>Returns of investment from equity affiliates</w:t>
            </w:r>
          </w:p>
        </w:tc>
        <w:tc>
          <w:tcPr>
            <w:tcW w:w="300" w:type="dxa"/>
            <w:vAlign w:val="bottom"/>
            <w:tcBorders>
              <w:bottom w:val="single" w:sz="8" w:color="0077C0"/>
            </w:tcBorders>
          </w:tcPr>
          <w:p>
            <w:pPr>
              <w:spacing w:after="0"/>
              <w:rPr>
                <w:sz w:val="21"/>
                <w:szCs w:val="21"/>
                <w:color w:val="auto"/>
              </w:rPr>
            </w:pPr>
          </w:p>
        </w:tc>
        <w:tc>
          <w:tcPr>
            <w:tcW w:w="1040" w:type="dxa"/>
            <w:vAlign w:val="bottom"/>
            <w:tcBorders>
              <w:bottom w:val="single" w:sz="8" w:color="0077C0"/>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124</w:t>
            </w:r>
          </w:p>
        </w:tc>
        <w:tc>
          <w:tcPr>
            <w:tcW w:w="360" w:type="dxa"/>
            <w:vAlign w:val="bottom"/>
            <w:tcBorders>
              <w:bottom w:val="single" w:sz="8" w:color="0077C0"/>
            </w:tcBorders>
          </w:tcPr>
          <w:p>
            <w:pPr>
              <w:spacing w:after="0"/>
              <w:rPr>
                <w:sz w:val="21"/>
                <w:szCs w:val="21"/>
                <w:color w:val="auto"/>
              </w:rPr>
            </w:pPr>
          </w:p>
        </w:tc>
        <w:tc>
          <w:tcPr>
            <w:tcW w:w="9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7"/>
        </w:trPr>
        <w:tc>
          <w:tcPr>
            <w:tcW w:w="856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Proceeds and deposits related to asset sales and returns of investment</w:t>
            </w:r>
          </w:p>
        </w:tc>
        <w:tc>
          <w:tcPr>
            <w:tcW w:w="300" w:type="dxa"/>
            <w:vAlign w:val="bottom"/>
            <w:tcBorders>
              <w:bottom w:val="single" w:sz="8" w:color="0077C0"/>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0077C0"/>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1,065</w:t>
            </w:r>
          </w:p>
        </w:tc>
        <w:tc>
          <w:tcPr>
            <w:tcW w:w="360" w:type="dxa"/>
            <w:vAlign w:val="bottom"/>
            <w:tcBorders>
              <w:bottom w:val="single" w:sz="8" w:color="0077C0"/>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r>
      <w:tr>
        <w:trPr>
          <w:trHeight w:val="236"/>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maturities of (investments in) time deposits consisted of the following gross amounts: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in time deposits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8560" w:type="dxa"/>
            <w:vAlign w:val="bottom"/>
            <w:tcBorders>
              <w:bottom w:val="single" w:sz="8" w:color="0077C0"/>
            </w:tcBorders>
          </w:tcPr>
          <w:p>
            <w:pPr>
              <w:ind w:left="140"/>
              <w:spacing w:after="0"/>
              <w:rPr>
                <w:sz w:val="20"/>
                <w:szCs w:val="20"/>
                <w:color w:val="auto"/>
              </w:rPr>
            </w:pPr>
            <w:r>
              <w:rPr>
                <w:rFonts w:ascii="Times New Roman" w:cs="Times New Roman" w:eastAsia="Times New Roman" w:hAnsi="Times New Roman"/>
                <w:sz w:val="18"/>
                <w:szCs w:val="18"/>
                <w:color w:val="auto"/>
              </w:rPr>
              <w:t>Maturities of time deposits</w:t>
            </w:r>
          </w:p>
        </w:tc>
        <w:tc>
          <w:tcPr>
            <w:tcW w:w="300" w:type="dxa"/>
            <w:vAlign w:val="bottom"/>
            <w:tcBorders>
              <w:bottom w:val="single" w:sz="8" w:color="0077C0"/>
            </w:tcBorders>
          </w:tcPr>
          <w:p>
            <w:pPr>
              <w:spacing w:after="0"/>
              <w:rPr>
                <w:sz w:val="21"/>
                <w:szCs w:val="21"/>
                <w:color w:val="auto"/>
              </w:rPr>
            </w:pPr>
          </w:p>
        </w:tc>
        <w:tc>
          <w:tcPr>
            <w:tcW w:w="1040" w:type="dxa"/>
            <w:vAlign w:val="bottom"/>
            <w:tcBorders>
              <w:bottom w:val="single" w:sz="8" w:color="0077C0"/>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10</w:t>
            </w:r>
          </w:p>
        </w:tc>
        <w:tc>
          <w:tcPr>
            <w:tcW w:w="360" w:type="dxa"/>
            <w:vAlign w:val="bottom"/>
            <w:tcBorders>
              <w:bottom w:val="single" w:sz="8" w:color="0077C0"/>
            </w:tcBorders>
          </w:tcPr>
          <w:p>
            <w:pPr>
              <w:spacing w:after="0"/>
              <w:rPr>
                <w:sz w:val="21"/>
                <w:szCs w:val="21"/>
                <w:color w:val="auto"/>
              </w:rPr>
            </w:pPr>
          </w:p>
        </w:tc>
        <w:tc>
          <w:tcPr>
            <w:tcW w:w="9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7"/>
        </w:trPr>
        <w:tc>
          <w:tcPr>
            <w:tcW w:w="856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maturities of (investments in) time deposits</w:t>
            </w:r>
          </w:p>
        </w:tc>
        <w:tc>
          <w:tcPr>
            <w:tcW w:w="300" w:type="dxa"/>
            <w:vAlign w:val="bottom"/>
            <w:tcBorders>
              <w:bottom w:val="single" w:sz="8" w:color="0077C0"/>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0077C0"/>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w:t>
            </w:r>
          </w:p>
        </w:tc>
        <w:tc>
          <w:tcPr>
            <w:tcW w:w="360" w:type="dxa"/>
            <w:vAlign w:val="bottom"/>
            <w:tcBorders>
              <w:bottom w:val="single" w:sz="8" w:color="0077C0"/>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repayment (borrowing) of loans by equity affiliates consisted of the following gross amounts: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Borrowing of loans by equity affiliates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(93)</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43"/>
        </w:trPr>
        <w:tc>
          <w:tcPr>
            <w:tcW w:w="8560" w:type="dxa"/>
            <w:vAlign w:val="bottom"/>
            <w:tcBorders>
              <w:bottom w:val="single" w:sz="8" w:color="0077C0"/>
            </w:tcBorders>
          </w:tcPr>
          <w:p>
            <w:pPr>
              <w:ind w:left="140"/>
              <w:spacing w:after="0"/>
              <w:rPr>
                <w:sz w:val="20"/>
                <w:szCs w:val="20"/>
                <w:color w:val="auto"/>
              </w:rPr>
            </w:pPr>
            <w:r>
              <w:rPr>
                <w:rFonts w:ascii="Times New Roman" w:cs="Times New Roman" w:eastAsia="Times New Roman" w:hAnsi="Times New Roman"/>
                <w:sz w:val="18"/>
                <w:szCs w:val="18"/>
                <w:color w:val="auto"/>
              </w:rPr>
              <w:t>Repayment of loans by equity affiliates</w:t>
            </w:r>
          </w:p>
        </w:tc>
        <w:tc>
          <w:tcPr>
            <w:tcW w:w="300" w:type="dxa"/>
            <w:vAlign w:val="bottom"/>
            <w:tcBorders>
              <w:bottom w:val="single" w:sz="8" w:color="0077C0"/>
            </w:tcBorders>
          </w:tcPr>
          <w:p>
            <w:pPr>
              <w:spacing w:after="0"/>
              <w:rPr>
                <w:sz w:val="21"/>
                <w:szCs w:val="21"/>
                <w:color w:val="auto"/>
              </w:rPr>
            </w:pPr>
          </w:p>
        </w:tc>
        <w:tc>
          <w:tcPr>
            <w:tcW w:w="1040" w:type="dxa"/>
            <w:vAlign w:val="bottom"/>
            <w:tcBorders>
              <w:bottom w:val="single" w:sz="8" w:color="0077C0"/>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2,064</w:t>
            </w:r>
          </w:p>
        </w:tc>
        <w:tc>
          <w:tcPr>
            <w:tcW w:w="360" w:type="dxa"/>
            <w:vAlign w:val="bottom"/>
            <w:tcBorders>
              <w:bottom w:val="single" w:sz="8" w:color="0077C0"/>
            </w:tcBorders>
          </w:tcPr>
          <w:p>
            <w:pPr>
              <w:spacing w:after="0"/>
              <w:rPr>
                <w:sz w:val="21"/>
                <w:szCs w:val="21"/>
                <w:color w:val="auto"/>
              </w:rPr>
            </w:pPr>
          </w:p>
        </w:tc>
        <w:tc>
          <w:tcPr>
            <w:tcW w:w="9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36"/>
        </w:trPr>
        <w:tc>
          <w:tcPr>
            <w:tcW w:w="856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repayment (borrowing) of loans by equity affiliates</w:t>
            </w:r>
          </w:p>
        </w:tc>
        <w:tc>
          <w:tcPr>
            <w:tcW w:w="300" w:type="dxa"/>
            <w:vAlign w:val="bottom"/>
            <w:tcBorders>
              <w:bottom w:val="single" w:sz="8" w:color="0077C0"/>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0077C0"/>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1,971</w:t>
            </w:r>
          </w:p>
        </w:tc>
        <w:tc>
          <w:tcPr>
            <w:tcW w:w="360" w:type="dxa"/>
            <w:vAlign w:val="bottom"/>
            <w:tcBorders>
              <w:bottom w:val="single" w:sz="8" w:color="0077C0"/>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37"/>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borrowings (repayments) of short-term obligations consisted of the following gross and net amounts: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issuances of short-term debt obligations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4,882</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w:t>
            </w:r>
          </w:p>
        </w:tc>
      </w:tr>
      <w:tr>
        <w:trPr>
          <w:trHeight w:val="243"/>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short-term debt obligations</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(6,094)</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(5,944)</w:t>
            </w:r>
          </w:p>
        </w:tc>
      </w:tr>
      <w:tr>
        <w:trPr>
          <w:trHeight w:val="243"/>
        </w:trPr>
        <w:tc>
          <w:tcPr>
            <w:tcW w:w="8560" w:type="dxa"/>
            <w:vAlign w:val="bottom"/>
            <w:tcBorders>
              <w:bottom w:val="single" w:sz="8" w:color="0077C0"/>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borrowings (repayments) of short-term debt obligations with three months or less maturity</w:t>
            </w:r>
          </w:p>
        </w:tc>
        <w:tc>
          <w:tcPr>
            <w:tcW w:w="300" w:type="dxa"/>
            <w:vAlign w:val="bottom"/>
            <w:tcBorders>
              <w:bottom w:val="single" w:sz="8" w:color="0077C0"/>
            </w:tcBorders>
            <w:shd w:val="clear" w:color="auto" w:fill="CCEEFF"/>
          </w:tcPr>
          <w:p>
            <w:pPr>
              <w:spacing w:after="0"/>
              <w:rPr>
                <w:sz w:val="21"/>
                <w:szCs w:val="21"/>
                <w:color w:val="auto"/>
              </w:rPr>
            </w:pPr>
          </w:p>
        </w:tc>
        <w:tc>
          <w:tcPr>
            <w:tcW w:w="1040" w:type="dxa"/>
            <w:vAlign w:val="bottom"/>
            <w:tcBorders>
              <w:bottom w:val="single" w:sz="8" w:color="0077C0"/>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(3,093)</w:t>
            </w:r>
          </w:p>
        </w:tc>
        <w:tc>
          <w:tcPr>
            <w:tcW w:w="360" w:type="dxa"/>
            <w:vAlign w:val="bottom"/>
            <w:tcBorders>
              <w:bottom w:val="single" w:sz="8" w:color="0077C0"/>
            </w:tcBorders>
            <w:shd w:val="clear" w:color="auto" w:fill="CCEEFF"/>
          </w:tcPr>
          <w:p>
            <w:pPr>
              <w:spacing w:after="0"/>
              <w:rPr>
                <w:sz w:val="21"/>
                <w:szCs w:val="21"/>
                <w:color w:val="auto"/>
              </w:rPr>
            </w:pPr>
          </w:p>
        </w:tc>
        <w:tc>
          <w:tcPr>
            <w:tcW w:w="9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r>
      <w:tr>
        <w:trPr>
          <w:trHeight w:val="237"/>
        </w:trPr>
        <w:tc>
          <w:tcPr>
            <w:tcW w:w="85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borrowings (repayments) of short-term obligations</w:t>
            </w:r>
          </w:p>
        </w:tc>
        <w:tc>
          <w:tcPr>
            <w:tcW w:w="300" w:type="dxa"/>
            <w:vAlign w:val="bottom"/>
            <w:tcBorders>
              <w:bottom w:val="single" w:sz="8" w:color="0077C0"/>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0077C0"/>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(4,305)</w:t>
            </w:r>
          </w:p>
        </w:tc>
        <w:tc>
          <w:tcPr>
            <w:tcW w:w="360" w:type="dxa"/>
            <w:vAlign w:val="bottom"/>
            <w:tcBorders>
              <w:bottom w:val="single" w:sz="8" w:color="0077C0"/>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36"/>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contributions from (distributions to) noncontrolling interests consisted of the following gross amounts: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43"/>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(426)</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43"/>
        </w:trPr>
        <w:tc>
          <w:tcPr>
            <w:tcW w:w="8560" w:type="dxa"/>
            <w:vAlign w:val="bottom"/>
            <w:tcBorders>
              <w:bottom w:val="single" w:sz="8" w:color="0077C0"/>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300" w:type="dxa"/>
            <w:vAlign w:val="bottom"/>
            <w:tcBorders>
              <w:bottom w:val="single" w:sz="8" w:color="0077C0"/>
            </w:tcBorders>
            <w:shd w:val="clear" w:color="auto" w:fill="CCEEFF"/>
          </w:tcPr>
          <w:p>
            <w:pPr>
              <w:spacing w:after="0"/>
              <w:rPr>
                <w:sz w:val="21"/>
                <w:szCs w:val="21"/>
                <w:color w:val="auto"/>
              </w:rPr>
            </w:pPr>
          </w:p>
        </w:tc>
        <w:tc>
          <w:tcPr>
            <w:tcW w:w="1040" w:type="dxa"/>
            <w:vAlign w:val="bottom"/>
            <w:tcBorders>
              <w:bottom w:val="single" w:sz="8" w:color="0077C0"/>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9</w:t>
            </w:r>
          </w:p>
        </w:tc>
        <w:tc>
          <w:tcPr>
            <w:tcW w:w="360" w:type="dxa"/>
            <w:vAlign w:val="bottom"/>
            <w:tcBorders>
              <w:bottom w:val="single" w:sz="8" w:color="0077C0"/>
            </w:tcBorders>
            <w:shd w:val="clear" w:color="auto" w:fill="CCEEFF"/>
          </w:tcPr>
          <w:p>
            <w:pPr>
              <w:spacing w:after="0"/>
              <w:rPr>
                <w:sz w:val="21"/>
                <w:szCs w:val="21"/>
                <w:color w:val="auto"/>
              </w:rPr>
            </w:pPr>
          </w:p>
        </w:tc>
        <w:tc>
          <w:tcPr>
            <w:tcW w:w="9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6"/>
        </w:trPr>
        <w:tc>
          <w:tcPr>
            <w:tcW w:w="85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contributions from (distributions to) noncontrolling interests</w:t>
            </w:r>
          </w:p>
        </w:tc>
        <w:tc>
          <w:tcPr>
            <w:tcW w:w="300" w:type="dxa"/>
            <w:vAlign w:val="bottom"/>
            <w:tcBorders>
              <w:bottom w:val="single" w:sz="8" w:color="0077C0"/>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0077C0"/>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(417)</w:t>
            </w:r>
          </w:p>
        </w:tc>
        <w:tc>
          <w:tcPr>
            <w:tcW w:w="360" w:type="dxa"/>
            <w:vAlign w:val="bottom"/>
            <w:tcBorders>
              <w:bottom w:val="single" w:sz="8" w:color="0077C0"/>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37"/>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(purchases) of treasury shares consisted of the following gross and net amounts: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43"/>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issued for share-based compensation plans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1,483</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43"/>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purchased under share repurchase and executive compensation plans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(8,077)</w:t>
            </w: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w:t>
            </w:r>
          </w:p>
        </w:tc>
      </w:tr>
      <w:tr>
        <w:trPr>
          <w:trHeight w:val="243"/>
        </w:trPr>
        <w:tc>
          <w:tcPr>
            <w:tcW w:w="8560" w:type="dxa"/>
            <w:vAlign w:val="bottom"/>
            <w:tcBorders>
              <w:bottom w:val="single" w:sz="8" w:color="0077C0"/>
            </w:tcBorders>
          </w:tcPr>
          <w:p>
            <w:pPr>
              <w:ind w:left="140"/>
              <w:spacing w:after="0"/>
              <w:rPr>
                <w:sz w:val="20"/>
                <w:szCs w:val="20"/>
                <w:color w:val="auto"/>
              </w:rPr>
            </w:pPr>
            <w:r>
              <w:rPr>
                <w:rFonts w:ascii="Times New Roman" w:cs="Times New Roman" w:eastAsia="Times New Roman" w:hAnsi="Times New Roman"/>
                <w:sz w:val="18"/>
                <w:szCs w:val="18"/>
                <w:color w:val="auto"/>
              </w:rPr>
              <w:t>Share repurchase excise tax payment</w:t>
            </w:r>
          </w:p>
        </w:tc>
        <w:tc>
          <w:tcPr>
            <w:tcW w:w="300" w:type="dxa"/>
            <w:vAlign w:val="bottom"/>
            <w:tcBorders>
              <w:bottom w:val="single" w:sz="8" w:color="0077C0"/>
            </w:tcBorders>
          </w:tcPr>
          <w:p>
            <w:pPr>
              <w:spacing w:after="0"/>
              <w:rPr>
                <w:sz w:val="21"/>
                <w:szCs w:val="21"/>
                <w:color w:val="auto"/>
              </w:rPr>
            </w:pPr>
          </w:p>
        </w:tc>
        <w:tc>
          <w:tcPr>
            <w:tcW w:w="1040" w:type="dxa"/>
            <w:vAlign w:val="bottom"/>
            <w:tcBorders>
              <w:bottom w:val="single" w:sz="8" w:color="0077C0"/>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(114)</w:t>
            </w:r>
          </w:p>
        </w:tc>
        <w:tc>
          <w:tcPr>
            <w:tcW w:w="360" w:type="dxa"/>
            <w:vAlign w:val="bottom"/>
            <w:tcBorders>
              <w:bottom w:val="single" w:sz="8" w:color="0077C0"/>
            </w:tcBorders>
          </w:tcPr>
          <w:p>
            <w:pPr>
              <w:spacing w:after="0"/>
              <w:rPr>
                <w:sz w:val="21"/>
                <w:szCs w:val="21"/>
                <w:color w:val="auto"/>
              </w:rPr>
            </w:pPr>
          </w:p>
        </w:tc>
        <w:tc>
          <w:tcPr>
            <w:tcW w:w="9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6"/>
        </w:trPr>
        <w:tc>
          <w:tcPr>
            <w:tcW w:w="856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(purchases) of treasury shares</w:t>
            </w:r>
          </w:p>
        </w:tc>
        <w:tc>
          <w:tcPr>
            <w:tcW w:w="300" w:type="dxa"/>
            <w:vAlign w:val="bottom"/>
            <w:tcBorders>
              <w:bottom w:val="single" w:sz="8" w:color="0077C0"/>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0077C0"/>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(6,708)</w:t>
            </w:r>
          </w:p>
        </w:tc>
        <w:tc>
          <w:tcPr>
            <w:tcW w:w="360" w:type="dxa"/>
            <w:vAlign w:val="bottom"/>
            <w:tcBorders>
              <w:bottom w:val="single" w:sz="8" w:color="0077C0"/>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Statement of Cash Flows excludes changes to the Consolidated Balance Sheet that did not affect cash.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“Other” line in the Operating Activities section includes changes in asset retirement obligations, abandonment and decommissioning obligations associated with previously sold assets, postretirement benefits obligations, equity-based compensation adjustments, and other long-term liabilities.</w:t>
      </w:r>
    </w:p>
    <w:p>
      <w:pPr>
        <w:spacing w:after="0" w:line="2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company paid dividends of $1.78 per share of common stock in third quarter 2026. This compares to dividends of $1.71 per share paid in the year-ago corresponding period.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“Capital expenditures” are presented in the following table:</w:t>
      </w:r>
    </w:p>
    <w:p>
      <w:pPr>
        <w:spacing w:after="0" w:line="97"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13335</wp:posOffset>
            </wp:positionV>
            <wp:extent cx="17056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6"/>
                <w:szCs w:val="16"/>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560" w:type="dxa"/>
            <w:vAlign w:val="bottom"/>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2380" w:type="dxa"/>
            <w:vAlign w:val="bottom"/>
            <w:tcBorders>
              <w:bottom w:val="single" w:sz="8" w:color="0077C0"/>
            </w:tcBorders>
            <w:gridSpan w:val="3"/>
          </w:tcPr>
          <w:p>
            <w:pPr>
              <w:spacing w:after="0"/>
              <w:rPr>
                <w:sz w:val="2"/>
                <w:szCs w:val="2"/>
                <w:color w:val="auto"/>
              </w:rPr>
            </w:pPr>
          </w:p>
        </w:tc>
      </w:tr>
      <w:tr>
        <w:trPr>
          <w:trHeight w:val="186"/>
        </w:trPr>
        <w:tc>
          <w:tcPr>
            <w:tcW w:w="8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3"/>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(Millions of dollars)</w:t>
            </w:r>
          </w:p>
        </w:tc>
      </w:tr>
      <w:tr>
        <w:trPr>
          <w:trHeight w:val="23"/>
        </w:trPr>
        <w:tc>
          <w:tcPr>
            <w:tcW w:w="856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400" w:type="dxa"/>
            <w:vAlign w:val="bottom"/>
            <w:tcBorders>
              <w:bottom w:val="single" w:sz="8" w:color="0077C0"/>
            </w:tcBorders>
          </w:tcPr>
          <w:p>
            <w:pPr>
              <w:spacing w:after="0"/>
              <w:rPr>
                <w:sz w:val="2"/>
                <w:szCs w:val="2"/>
                <w:color w:val="auto"/>
              </w:rPr>
            </w:pPr>
          </w:p>
        </w:tc>
        <w:tc>
          <w:tcPr>
            <w:tcW w:w="980" w:type="dxa"/>
            <w:vAlign w:val="bottom"/>
            <w:tcBorders>
              <w:bottom w:val="single" w:sz="8" w:color="0077C0"/>
            </w:tcBorders>
          </w:tcPr>
          <w:p>
            <w:pPr>
              <w:spacing w:after="0"/>
              <w:rPr>
                <w:sz w:val="2"/>
                <w:szCs w:val="2"/>
                <w:color w:val="auto"/>
              </w:rPr>
            </w:pPr>
          </w:p>
        </w:tc>
      </w:tr>
      <w:tr>
        <w:trPr>
          <w:trHeight w:val="237"/>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properties, plant and equipment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12,091</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11,715</w:t>
            </w:r>
          </w:p>
        </w:tc>
      </w:tr>
      <w:tr>
        <w:trPr>
          <w:trHeight w:val="24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investments</w:t>
            </w:r>
          </w:p>
        </w:tc>
        <w:tc>
          <w:tcPr>
            <w:tcW w:w="30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330</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43"/>
        </w:trPr>
        <w:tc>
          <w:tcPr>
            <w:tcW w:w="856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Current-year dry hole expenditures</w:t>
            </w:r>
          </w:p>
        </w:tc>
        <w:tc>
          <w:tcPr>
            <w:tcW w:w="300" w:type="dxa"/>
            <w:vAlign w:val="bottom"/>
            <w:tcBorders>
              <w:bottom w:val="single" w:sz="8" w:color="0077C0"/>
            </w:tcBorders>
            <w:shd w:val="clear" w:color="auto" w:fill="CCEEFF"/>
          </w:tcPr>
          <w:p>
            <w:pPr>
              <w:spacing w:after="0"/>
              <w:rPr>
                <w:sz w:val="21"/>
                <w:szCs w:val="21"/>
                <w:color w:val="auto"/>
              </w:rPr>
            </w:pPr>
          </w:p>
        </w:tc>
        <w:tc>
          <w:tcPr>
            <w:tcW w:w="1000" w:type="dxa"/>
            <w:vAlign w:val="bottom"/>
            <w:tcBorders>
              <w:bottom w:val="single" w:sz="8" w:color="0077C0"/>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191</w:t>
            </w:r>
          </w:p>
        </w:tc>
        <w:tc>
          <w:tcPr>
            <w:tcW w:w="400" w:type="dxa"/>
            <w:vAlign w:val="bottom"/>
            <w:tcBorders>
              <w:bottom w:val="single" w:sz="8" w:color="0077C0"/>
            </w:tcBorders>
            <w:shd w:val="clear" w:color="auto" w:fill="CCEEFF"/>
          </w:tcPr>
          <w:p>
            <w:pPr>
              <w:spacing w:after="0"/>
              <w:rPr>
                <w:sz w:val="21"/>
                <w:szCs w:val="21"/>
                <w:color w:val="auto"/>
              </w:rPr>
            </w:pPr>
          </w:p>
        </w:tc>
        <w:tc>
          <w:tcPr>
            <w:tcW w:w="9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37"/>
        </w:trPr>
        <w:tc>
          <w:tcPr>
            <w:tcW w:w="85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00" w:type="dxa"/>
            <w:vAlign w:val="bottom"/>
            <w:tcBorders>
              <w:bottom w:val="single" w:sz="8" w:color="0077C0"/>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0077C0"/>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12,612</w:t>
            </w:r>
          </w:p>
        </w:tc>
        <w:tc>
          <w:tcPr>
            <w:tcW w:w="400" w:type="dxa"/>
            <w:vAlign w:val="bottom"/>
            <w:tcBorders>
              <w:bottom w:val="single" w:sz="8" w:color="0077C0"/>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12,083</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quantifies the beginning and ending balances of restricted cash and restricted cash equivalents in the Consolidated Balance Sheet: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gridSpan w:val="2"/>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At September 30</w:t>
            </w: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20" w:type="dxa"/>
            <w:vAlign w:val="bottom"/>
            <w:gridSpan w:val="2"/>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480" w:type="dxa"/>
            <w:vAlign w:val="bottom"/>
          </w:tcPr>
          <w:p>
            <w:pPr>
              <w:spacing w:after="0"/>
              <w:rPr>
                <w:sz w:val="16"/>
                <w:szCs w:val="16"/>
                <w:color w:val="auto"/>
              </w:rPr>
            </w:pPr>
          </w:p>
        </w:tc>
      </w:tr>
      <w:tr>
        <w:trPr>
          <w:trHeight w:val="23"/>
        </w:trPr>
        <w:tc>
          <w:tcPr>
            <w:tcW w:w="5740" w:type="dxa"/>
            <w:vAlign w:val="bottom"/>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480" w:type="dxa"/>
            <w:vAlign w:val="bottom"/>
            <w:tcBorders>
              <w:bottom w:val="single" w:sz="8" w:color="0077C0"/>
            </w:tcBorders>
          </w:tcPr>
          <w:p>
            <w:pPr>
              <w:spacing w:after="0"/>
              <w:rPr>
                <w:sz w:val="2"/>
                <w:szCs w:val="2"/>
                <w:color w:val="auto"/>
              </w:rPr>
            </w:pPr>
          </w:p>
        </w:tc>
      </w:tr>
      <w:tr>
        <w:trPr>
          <w:trHeight w:val="186"/>
        </w:trPr>
        <w:tc>
          <w:tcPr>
            <w:tcW w:w="5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r>
      <w:tr>
        <w:trPr>
          <w:trHeight w:val="23"/>
        </w:trPr>
        <w:tc>
          <w:tcPr>
            <w:tcW w:w="5740" w:type="dxa"/>
            <w:vAlign w:val="bottom"/>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1900" w:type="dxa"/>
            <w:vAlign w:val="bottom"/>
            <w:tcBorders>
              <w:bottom w:val="single" w:sz="8" w:color="0077C0"/>
            </w:tcBorders>
            <w:gridSpan w:val="2"/>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2300" w:type="dxa"/>
            <w:vAlign w:val="bottom"/>
            <w:tcBorders>
              <w:bottom w:val="single" w:sz="8" w:color="0077C0"/>
            </w:tcBorders>
            <w:gridSpan w:val="3"/>
          </w:tcPr>
          <w:p>
            <w:pPr>
              <w:spacing w:after="0"/>
              <w:rPr>
                <w:sz w:val="2"/>
                <w:szCs w:val="2"/>
                <w:color w:val="auto"/>
              </w:rPr>
            </w:pPr>
          </w:p>
        </w:tc>
        <w:tc>
          <w:tcPr>
            <w:tcW w:w="480" w:type="dxa"/>
            <w:vAlign w:val="bottom"/>
            <w:tcBorders>
              <w:bottom w:val="single" w:sz="8" w:color="0077C0"/>
            </w:tcBorders>
          </w:tcPr>
          <w:p>
            <w:pPr>
              <w:spacing w:after="0"/>
              <w:rPr>
                <w:sz w:val="2"/>
                <w:szCs w:val="2"/>
                <w:color w:val="auto"/>
              </w:rPr>
            </w:pPr>
          </w:p>
        </w:tc>
      </w:tr>
      <w:tr>
        <w:trPr>
          <w:trHeight w:val="186"/>
        </w:trPr>
        <w:tc>
          <w:tcPr>
            <w:tcW w:w="5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520" w:type="dxa"/>
            <w:vAlign w:val="bottom"/>
          </w:tcPr>
          <w:p>
            <w:pPr>
              <w:spacing w:after="0"/>
              <w:rPr>
                <w:sz w:val="16"/>
                <w:szCs w:val="16"/>
                <w:color w:val="auto"/>
              </w:rPr>
            </w:pPr>
          </w:p>
        </w:tc>
        <w:tc>
          <w:tcPr>
            <w:tcW w:w="2300" w:type="dxa"/>
            <w:vAlign w:val="bottom"/>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480" w:type="dxa"/>
            <w:vAlign w:val="bottom"/>
          </w:tcPr>
          <w:p>
            <w:pPr>
              <w:spacing w:after="0"/>
              <w:rPr>
                <w:sz w:val="16"/>
                <w:szCs w:val="16"/>
                <w:color w:val="auto"/>
              </w:rPr>
            </w:pPr>
          </w:p>
        </w:tc>
      </w:tr>
      <w:tr>
        <w:trPr>
          <w:trHeight w:val="23"/>
        </w:trPr>
        <w:tc>
          <w:tcPr>
            <w:tcW w:w="574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480" w:type="dxa"/>
            <w:vAlign w:val="bottom"/>
            <w:tcBorders>
              <w:bottom w:val="single" w:sz="8" w:color="0077C0"/>
            </w:tcBorders>
          </w:tcPr>
          <w:p>
            <w:pPr>
              <w:spacing w:after="0"/>
              <w:rPr>
                <w:sz w:val="2"/>
                <w:szCs w:val="2"/>
                <w:color w:val="auto"/>
              </w:rPr>
            </w:pPr>
          </w:p>
        </w:tc>
      </w:tr>
      <w:tr>
        <w:trPr>
          <w:trHeight w:val="23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12,804</w:t>
            </w:r>
          </w:p>
        </w:tc>
        <w:tc>
          <w:tcPr>
            <w:tcW w:w="8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7,725</w:t>
            </w:r>
          </w:p>
        </w:tc>
        <w:tc>
          <w:tcPr>
            <w:tcW w:w="8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98"/>
              </w:rPr>
              <w:t>6,293</w:t>
            </w:r>
          </w:p>
        </w:tc>
        <w:tc>
          <w:tcPr>
            <w:tcW w:w="9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6,781</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30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289</w:t>
            </w:r>
          </w:p>
        </w:tc>
        <w:tc>
          <w:tcPr>
            <w:tcW w:w="8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c>
          <w:tcPr>
            <w:tcW w:w="880" w:type="dxa"/>
            <w:vAlign w:val="bottom"/>
          </w:tcPr>
          <w:p>
            <w:pPr>
              <w:spacing w:after="0"/>
              <w:rPr>
                <w:sz w:val="21"/>
                <w:szCs w:val="21"/>
                <w:color w:val="auto"/>
              </w:rPr>
            </w:pP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174</w:t>
            </w: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43"/>
        </w:trPr>
        <w:tc>
          <w:tcPr>
            <w:tcW w:w="574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“Deferred charges and other assets”</w:t>
            </w:r>
          </w:p>
        </w:tc>
        <w:tc>
          <w:tcPr>
            <w:tcW w:w="300" w:type="dxa"/>
            <w:vAlign w:val="bottom"/>
            <w:tcBorders>
              <w:bottom w:val="single" w:sz="8" w:color="0077C0"/>
            </w:tcBorders>
            <w:shd w:val="clear" w:color="auto" w:fill="CCEEFF"/>
          </w:tcPr>
          <w:p>
            <w:pPr>
              <w:spacing w:after="0"/>
              <w:rPr>
                <w:sz w:val="21"/>
                <w:szCs w:val="21"/>
                <w:color w:val="auto"/>
              </w:rPr>
            </w:pPr>
          </w:p>
        </w:tc>
        <w:tc>
          <w:tcPr>
            <w:tcW w:w="1020" w:type="dxa"/>
            <w:vAlign w:val="bottom"/>
            <w:tcBorders>
              <w:bottom w:val="single" w:sz="8" w:color="0077C0"/>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826</w:t>
            </w:r>
          </w:p>
        </w:tc>
        <w:tc>
          <w:tcPr>
            <w:tcW w:w="880" w:type="dxa"/>
            <w:vAlign w:val="bottom"/>
            <w:tcBorders>
              <w:bottom w:val="single" w:sz="8" w:color="0077C0"/>
            </w:tcBorders>
            <w:shd w:val="clear" w:color="auto" w:fill="CCEEFF"/>
          </w:tcPr>
          <w:p>
            <w:pPr>
              <w:spacing w:after="0"/>
              <w:rPr>
                <w:sz w:val="21"/>
                <w:szCs w:val="21"/>
                <w:color w:val="auto"/>
              </w:rPr>
            </w:pPr>
          </w:p>
        </w:tc>
        <w:tc>
          <w:tcPr>
            <w:tcW w:w="520" w:type="dxa"/>
            <w:vAlign w:val="bottom"/>
            <w:tcBorders>
              <w:bottom w:val="single" w:sz="8" w:color="0077C0"/>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811</w:t>
            </w:r>
          </w:p>
        </w:tc>
        <w:tc>
          <w:tcPr>
            <w:tcW w:w="880" w:type="dxa"/>
            <w:vAlign w:val="bottom"/>
            <w:tcBorders>
              <w:bottom w:val="single" w:sz="8" w:color="0077C0"/>
            </w:tcBorders>
            <w:shd w:val="clear" w:color="auto" w:fill="CCEEFF"/>
          </w:tcPr>
          <w:p>
            <w:pPr>
              <w:spacing w:after="0"/>
              <w:rPr>
                <w:sz w:val="21"/>
                <w:szCs w:val="21"/>
                <w:color w:val="auto"/>
              </w:rPr>
            </w:pPr>
          </w:p>
        </w:tc>
        <w:tc>
          <w:tcPr>
            <w:tcW w:w="520" w:type="dxa"/>
            <w:vAlign w:val="bottom"/>
            <w:tcBorders>
              <w:bottom w:val="single" w:sz="8" w:color="0077C0"/>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818</w:t>
            </w:r>
          </w:p>
        </w:tc>
        <w:tc>
          <w:tcPr>
            <w:tcW w:w="900" w:type="dxa"/>
            <w:vAlign w:val="bottom"/>
            <w:tcBorders>
              <w:bottom w:val="single" w:sz="8" w:color="0077C0"/>
            </w:tcBorders>
            <w:shd w:val="clear" w:color="auto" w:fill="CCEEFF"/>
          </w:tcPr>
          <w:p>
            <w:pPr>
              <w:spacing w:after="0"/>
              <w:rPr>
                <w:sz w:val="21"/>
                <w:szCs w:val="21"/>
                <w:color w:val="auto"/>
              </w:rPr>
            </w:pPr>
          </w:p>
        </w:tc>
        <w:tc>
          <w:tcPr>
            <w:tcW w:w="4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1,200</w:t>
            </w:r>
          </w:p>
        </w:tc>
      </w:tr>
      <w:tr>
        <w:trPr>
          <w:trHeight w:val="237"/>
        </w:trPr>
        <w:tc>
          <w:tcPr>
            <w:tcW w:w="57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00" w:type="dxa"/>
            <w:vAlign w:val="bottom"/>
            <w:tcBorders>
              <w:bottom w:val="single" w:sz="8" w:color="0077C0"/>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0077C0"/>
            </w:tcBorders>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13,919</w:t>
            </w:r>
          </w:p>
        </w:tc>
        <w:tc>
          <w:tcPr>
            <w:tcW w:w="880" w:type="dxa"/>
            <w:vAlign w:val="bottom"/>
            <w:tcBorders>
              <w:bottom w:val="single" w:sz="8" w:color="0077C0"/>
            </w:tcBorders>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0077C0"/>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8,783</w:t>
            </w:r>
          </w:p>
        </w:tc>
        <w:tc>
          <w:tcPr>
            <w:tcW w:w="880" w:type="dxa"/>
            <w:vAlign w:val="bottom"/>
            <w:tcBorders>
              <w:bottom w:val="single" w:sz="8" w:color="0077C0"/>
            </w:tcBorders>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0077C0"/>
            </w:tcBorders>
          </w:tcPr>
          <w:p>
            <w:pPr>
              <w:jc w:val="right"/>
              <w:ind w:right="14"/>
              <w:spacing w:after="0"/>
              <w:rPr>
                <w:sz w:val="20"/>
                <w:szCs w:val="20"/>
                <w:color w:val="auto"/>
              </w:rPr>
            </w:pPr>
            <w:r>
              <w:rPr>
                <w:rFonts w:ascii="Times New Roman" w:cs="Times New Roman" w:eastAsia="Times New Roman" w:hAnsi="Times New Roman"/>
                <w:sz w:val="18"/>
                <w:szCs w:val="18"/>
                <w:color w:val="auto"/>
                <w:w w:val="98"/>
              </w:rPr>
              <w:t>7,285</w:t>
            </w:r>
          </w:p>
        </w:tc>
        <w:tc>
          <w:tcPr>
            <w:tcW w:w="900" w:type="dxa"/>
            <w:vAlign w:val="bottom"/>
            <w:tcBorders>
              <w:bottom w:val="single" w:sz="8" w:color="0077C0"/>
            </w:tcBorders>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w w:val="93"/>
              </w:rPr>
              <w:t>8,262</w:t>
            </w:r>
          </w:p>
        </w:tc>
      </w:tr>
    </w:tbl>
    <w:p>
      <w:pPr>
        <w:spacing w:after="0" w:line="130" w:lineRule="exact"/>
        <w:rPr>
          <w:sz w:val="20"/>
          <w:szCs w:val="20"/>
          <w:color w:val="auto"/>
        </w:rPr>
      </w:pPr>
    </w:p>
    <w:p>
      <w:pPr>
        <w:ind w:right="1540"/>
        <w:spacing w:after="0" w:line="398" w:lineRule="auto"/>
        <w:rPr>
          <w:sz w:val="20"/>
          <w:szCs w:val="20"/>
          <w:color w:val="auto"/>
        </w:rPr>
      </w:pPr>
      <w:r>
        <w:rPr>
          <w:rFonts w:ascii="Times New Roman" w:cs="Times New Roman" w:eastAsia="Times New Roman" w:hAnsi="Times New Roman"/>
          <w:sz w:val="18"/>
          <w:szCs w:val="18"/>
          <w:color w:val="auto"/>
        </w:rPr>
        <w:t xml:space="preserve">Additional information related to restricted cash is included in </w:t>
      </w:r>
      <w:r>
        <w:rPr>
          <w:rFonts w:ascii="Times New Roman" w:cs="Times New Roman" w:eastAsia="Times New Roman" w:hAnsi="Times New Roman"/>
          <w:sz w:val="18"/>
          <w:szCs w:val="18"/>
          <w:u w:val="single" w:color="auto"/>
          <w:color w:val="0000FF"/>
        </w:rPr>
        <w:t>Note 13 Fair Value Measurements</w:t>
      </w:r>
      <w:r>
        <w:rPr>
          <w:rFonts w:ascii="Times New Roman" w:cs="Times New Roman" w:eastAsia="Times New Roman" w:hAnsi="Times New Roman"/>
          <w:sz w:val="18"/>
          <w:szCs w:val="18"/>
          <w:color w:val="auto"/>
        </w:rPr>
        <w:t xml:space="preserve"> under the heading “Restricted Cash.” </w:t>
      </w:r>
      <w:r>
        <w:rPr>
          <w:rFonts w:ascii="Times New Roman" w:cs="Times New Roman" w:eastAsia="Times New Roman" w:hAnsi="Times New Roman"/>
          <w:sz w:val="18"/>
          <w:szCs w:val="18"/>
          <w:b w:val="1"/>
          <w:bCs w:val="1"/>
          <w:color w:val="auto"/>
        </w:rPr>
        <w:t>Note 4. New Accounting Standards</w:t>
      </w:r>
    </w:p>
    <w:p>
      <w:pPr>
        <w:jc w:val="both"/>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Income Statement (Topic 220) Reporting Comprehensive Income - Expense Disaggregation Disclosures </w:t>
      </w:r>
      <w:r>
        <w:rPr>
          <w:rFonts w:ascii="Times New Roman" w:cs="Times New Roman" w:eastAsia="Times New Roman" w:hAnsi="Times New Roman"/>
          <w:sz w:val="18"/>
          <w:szCs w:val="18"/>
          <w:color w:val="auto"/>
        </w:rPr>
        <w:t>In November 2024, the FASB issued ASU 2024-03, which becomes effective for fiscal years beginning after December 15, 2026, and interim periods within fiscal years beginning after December 15, 2027. The standard requires companies to disclose disaggregated information about certain income statement expense line items. The company does not expect the standard to have a material effect on its consolidated financial statements and has begun evaluating disclosure presentation alternatives.</w:t>
      </w:r>
    </w:p>
    <w:p>
      <w:pPr>
        <w:spacing w:after="0" w:line="4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Environmental Credits and Environmental Credit Obligations (Topic 818) </w:t>
      </w:r>
      <w:r>
        <w:rPr>
          <w:rFonts w:ascii="Times New Roman" w:cs="Times New Roman" w:eastAsia="Times New Roman" w:hAnsi="Times New Roman"/>
          <w:sz w:val="18"/>
          <w:szCs w:val="18"/>
          <w:color w:val="auto"/>
        </w:rPr>
        <w:t>In May 2026, the FASB issued ASU 2026-02, which becomes effective for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beginning after December 15, 2027, and interim periods within those annual reporting periods. The standard provides specific authoritative guidance on the recognition, measurement, presentation and disclosure of environmental credits and environmental credit obligations. The company is evaluating the effect of the standard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Summarized Financial Data — Tengizchevroil LLP</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Chevron has a 50 percent equity ownership interest in Tengizchevroil LLP (TCO). Summarized financial information for 100 percent of TCO is presented in the following table:</w:t>
      </w:r>
    </w:p>
    <w:p>
      <w:pPr>
        <w:spacing w:after="0" w:line="39"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8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22225</wp:posOffset>
            </wp:positionV>
            <wp:extent cx="21170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900" w:type="dxa"/>
            <w:vAlign w:val="bottom"/>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1340" w:type="dxa"/>
            <w:vAlign w:val="bottom"/>
            <w:tcBorders>
              <w:bottom w:val="single" w:sz="8" w:color="0077C0"/>
            </w:tcBorders>
            <w:gridSpan w:val="2"/>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r>
      <w:tr>
        <w:trPr>
          <w:trHeight w:val="186"/>
        </w:trPr>
        <w:tc>
          <w:tcPr>
            <w:tcW w:w="7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000" w:type="dxa"/>
            <w:vAlign w:val="bottom"/>
          </w:tcPr>
          <w:p>
            <w:pPr>
              <w:spacing w:after="0"/>
              <w:rPr>
                <w:sz w:val="16"/>
                <w:szCs w:val="16"/>
                <w:color w:val="auto"/>
              </w:rPr>
            </w:pPr>
          </w:p>
        </w:tc>
      </w:tr>
      <w:tr>
        <w:trPr>
          <w:trHeight w:val="23"/>
        </w:trPr>
        <w:tc>
          <w:tcPr>
            <w:tcW w:w="790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r>
      <w:tr>
        <w:trPr>
          <w:trHeight w:val="23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other operating revenues</w:t>
            </w: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21,786</w:t>
            </w:r>
          </w:p>
        </w:tc>
        <w:tc>
          <w:tcPr>
            <w:tcW w:w="7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17,101</w:t>
            </w: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other deductions</w:t>
            </w:r>
          </w:p>
        </w:tc>
        <w:tc>
          <w:tcPr>
            <w:tcW w:w="1000" w:type="dxa"/>
            <w:vAlign w:val="bottom"/>
          </w:tcPr>
          <w:p>
            <w:pPr>
              <w:spacing w:after="0"/>
              <w:rPr>
                <w:sz w:val="21"/>
                <w:szCs w:val="21"/>
                <w:color w:val="auto"/>
              </w:rPr>
            </w:pPr>
          </w:p>
        </w:tc>
        <w:tc>
          <w:tcPr>
            <w:tcW w:w="64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15,313</w:t>
            </w:r>
          </w:p>
        </w:tc>
        <w:tc>
          <w:tcPr>
            <w:tcW w:w="7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14,101</w:t>
            </w:r>
          </w:p>
        </w:tc>
      </w:tr>
      <w:tr>
        <w:trPr>
          <w:trHeight w:val="243"/>
        </w:trPr>
        <w:tc>
          <w:tcPr>
            <w:tcW w:w="790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TCO</w:t>
            </w:r>
          </w:p>
        </w:tc>
        <w:tc>
          <w:tcPr>
            <w:tcW w:w="1000" w:type="dxa"/>
            <w:vAlign w:val="bottom"/>
            <w:tcBorders>
              <w:bottom w:val="single" w:sz="8" w:color="0077C0"/>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0077C0"/>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4,618</w:t>
            </w:r>
          </w:p>
        </w:tc>
        <w:tc>
          <w:tcPr>
            <w:tcW w:w="700" w:type="dxa"/>
            <w:vAlign w:val="bottom"/>
            <w:tcBorders>
              <w:bottom w:val="single" w:sz="8" w:color="0077C0"/>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Summarized Financial Data — Chevron U.S.A. Inc.</w:t>
      </w:r>
    </w:p>
    <w:p>
      <w:pPr>
        <w:spacing w:after="0" w:line="10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Chevron U.S.A. Inc. (CUSA) is a major subsidiary of Chevron Corporation. CUSA and its subsidiaries manage and operate most of Chevron’s U.S. businesses. Assets include those related to the exploration and production of crude oil, natural gas liquids and natural gas and those associated with refining, marketing, and supply and distribution of products derived from petroleum, excluding most of the regulated pipeline operations of Chevron. CUSA also holds the company’s investments in the Chevron Phillips Chemical Company LLC (CPChem) and the Energy Forge LLC joint ventures, which are accounted for using the equity method.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summarized financial information for CUSA and its consolidated subsidiaries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0" w:type="dxa"/>
            <w:vAlign w:val="bottom"/>
            <w:gridSpan w:val="3"/>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7820" w:type="dxa"/>
            <w:vAlign w:val="bottom"/>
          </w:tcPr>
          <w:p>
            <w:pPr>
              <w:spacing w:after="0"/>
              <w:rPr>
                <w:sz w:val="16"/>
                <w:szCs w:val="16"/>
                <w:color w:val="auto"/>
              </w:rPr>
            </w:pPr>
          </w:p>
        </w:tc>
        <w:tc>
          <w:tcPr>
            <w:tcW w:w="220" w:type="dxa"/>
            <w:vAlign w:val="bottom"/>
            <w:tcBorders>
              <w:bottom w:val="single" w:sz="8" w:color="0077C0"/>
            </w:tcBorders>
          </w:tcPr>
          <w:p>
            <w:pPr>
              <w:spacing w:after="0"/>
              <w:rPr>
                <w:sz w:val="16"/>
                <w:szCs w:val="16"/>
                <w:color w:val="auto"/>
              </w:rPr>
            </w:pPr>
          </w:p>
        </w:tc>
        <w:tc>
          <w:tcPr>
            <w:tcW w:w="3200" w:type="dxa"/>
            <w:vAlign w:val="bottom"/>
            <w:tcBorders>
              <w:bottom w:val="single" w:sz="8" w:color="0077C0"/>
            </w:tcBorders>
            <w:gridSpan w:val="3"/>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1"/>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6"/>
                <w:szCs w:val="16"/>
                <w:color w:val="auto"/>
              </w:rPr>
            </w:pPr>
          </w:p>
        </w:tc>
        <w:tc>
          <w:tcPr>
            <w:tcW w:w="14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820" w:type="dxa"/>
            <w:vAlign w:val="bottom"/>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3200" w:type="dxa"/>
            <w:vAlign w:val="bottom"/>
            <w:tcBorders>
              <w:bottom w:val="single" w:sz="8" w:color="0077C0"/>
            </w:tcBorders>
            <w:gridSpan w:val="3"/>
          </w:tcPr>
          <w:p>
            <w:pPr>
              <w:spacing w:after="0"/>
              <w:rPr>
                <w:sz w:val="2"/>
                <w:szCs w:val="2"/>
                <w:color w:val="auto"/>
              </w:rPr>
            </w:pPr>
          </w:p>
        </w:tc>
      </w:tr>
      <w:tr>
        <w:trPr>
          <w:trHeight w:val="186"/>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3"/>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(Millions of dollars)</w:t>
            </w:r>
          </w:p>
        </w:tc>
      </w:tr>
      <w:tr>
        <w:trPr>
          <w:trHeight w:val="23"/>
        </w:trPr>
        <w:tc>
          <w:tcPr>
            <w:tcW w:w="782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150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1400" w:type="dxa"/>
            <w:vAlign w:val="bottom"/>
            <w:tcBorders>
              <w:bottom w:val="single" w:sz="8" w:color="0077C0"/>
            </w:tcBorders>
          </w:tcPr>
          <w:p>
            <w:pPr>
              <w:spacing w:after="0"/>
              <w:rPr>
                <w:sz w:val="2"/>
                <w:szCs w:val="2"/>
                <w:color w:val="auto"/>
              </w:rPr>
            </w:pPr>
          </w:p>
        </w:tc>
      </w:tr>
      <w:tr>
        <w:trPr>
          <w:trHeight w:val="23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other operating revenues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143,600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107,295</w:t>
            </w: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other deductions</w:t>
            </w:r>
          </w:p>
        </w:tc>
        <w:tc>
          <w:tcPr>
            <w:tcW w:w="220" w:type="dxa"/>
            <w:vAlign w:val="bottom"/>
          </w:tcPr>
          <w:p>
            <w:pPr>
              <w:spacing w:after="0"/>
              <w:rPr>
                <w:sz w:val="21"/>
                <w:szCs w:val="21"/>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132,575</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102,605</w:t>
            </w:r>
          </w:p>
        </w:tc>
      </w:tr>
      <w:tr>
        <w:trPr>
          <w:trHeight w:val="243"/>
        </w:trPr>
        <w:tc>
          <w:tcPr>
            <w:tcW w:w="782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CUSA</w:t>
            </w:r>
          </w:p>
        </w:tc>
        <w:tc>
          <w:tcPr>
            <w:tcW w:w="220" w:type="dxa"/>
            <w:vAlign w:val="bottom"/>
            <w:tcBorders>
              <w:bottom w:val="single" w:sz="8" w:color="0077C0"/>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0077C0"/>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9,242</w:t>
            </w:r>
          </w:p>
        </w:tc>
        <w:tc>
          <w:tcPr>
            <w:tcW w:w="300" w:type="dxa"/>
            <w:vAlign w:val="bottom"/>
            <w:tcBorders>
              <w:bottom w:val="single" w:sz="8" w:color="0077C0"/>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w:t>
            </w:r>
          </w:p>
        </w:tc>
      </w:tr>
      <w:tr>
        <w:trPr>
          <w:trHeight w:val="360"/>
        </w:trPr>
        <w:tc>
          <w:tcPr>
            <w:tcW w:w="7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At September 30,</w:t>
            </w:r>
          </w:p>
        </w:tc>
        <w:tc>
          <w:tcPr>
            <w:tcW w:w="300" w:type="dxa"/>
            <w:vAlign w:val="bottom"/>
          </w:tcPr>
          <w:p>
            <w:pPr>
              <w:spacing w:after="0"/>
              <w:rPr>
                <w:sz w:val="24"/>
                <w:szCs w:val="24"/>
                <w:color w:val="auto"/>
              </w:rPr>
            </w:pPr>
          </w:p>
        </w:tc>
        <w:tc>
          <w:tcPr>
            <w:tcW w:w="14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At December 31,</w:t>
            </w:r>
          </w:p>
        </w:tc>
      </w:tr>
      <w:tr>
        <w:trPr>
          <w:trHeight w:val="195"/>
        </w:trPr>
        <w:tc>
          <w:tcPr>
            <w:tcW w:w="7820" w:type="dxa"/>
            <w:vAlign w:val="bottom"/>
          </w:tcPr>
          <w:p>
            <w:pPr>
              <w:spacing w:after="0"/>
              <w:rPr>
                <w:sz w:val="16"/>
                <w:szCs w:val="16"/>
                <w:color w:val="auto"/>
              </w:rPr>
            </w:pPr>
          </w:p>
        </w:tc>
        <w:tc>
          <w:tcPr>
            <w:tcW w:w="220" w:type="dxa"/>
            <w:vAlign w:val="bottom"/>
            <w:tcBorders>
              <w:bottom w:val="single" w:sz="8" w:color="0077C0"/>
            </w:tcBorders>
          </w:tcPr>
          <w:p>
            <w:pPr>
              <w:spacing w:after="0"/>
              <w:rPr>
                <w:sz w:val="16"/>
                <w:szCs w:val="16"/>
                <w:color w:val="auto"/>
              </w:rPr>
            </w:pPr>
          </w:p>
        </w:tc>
        <w:tc>
          <w:tcPr>
            <w:tcW w:w="1500" w:type="dxa"/>
            <w:vAlign w:val="bottom"/>
            <w:tcBorders>
              <w:bottom w:val="single" w:sz="8" w:color="0077C0"/>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0077C0"/>
            </w:tcBorders>
          </w:tcPr>
          <w:p>
            <w:pPr>
              <w:spacing w:after="0"/>
              <w:rPr>
                <w:sz w:val="16"/>
                <w:szCs w:val="16"/>
                <w:color w:val="auto"/>
              </w:rPr>
            </w:pPr>
          </w:p>
        </w:tc>
        <w:tc>
          <w:tcPr>
            <w:tcW w:w="1400" w:type="dxa"/>
            <w:vAlign w:val="bottom"/>
            <w:tcBorders>
              <w:bottom w:val="single" w:sz="8" w:color="0077C0"/>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1"/>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3"/>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(Millions of dollars)</w:t>
            </w:r>
          </w:p>
        </w:tc>
      </w:tr>
      <w:tr>
        <w:trPr>
          <w:trHeight w:val="23"/>
        </w:trPr>
        <w:tc>
          <w:tcPr>
            <w:tcW w:w="782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150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1400" w:type="dxa"/>
            <w:vAlign w:val="bottom"/>
            <w:tcBorders>
              <w:bottom w:val="single" w:sz="8" w:color="0077C0"/>
            </w:tcBorders>
          </w:tcPr>
          <w:p>
            <w:pPr>
              <w:spacing w:after="0"/>
              <w:rPr>
                <w:sz w:val="2"/>
                <w:szCs w:val="2"/>
                <w:color w:val="auto"/>
              </w:rPr>
            </w:pPr>
          </w:p>
        </w:tc>
      </w:tr>
      <w:tr>
        <w:trPr>
          <w:trHeight w:val="23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25,205</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18,442</w:t>
            </w: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1"/>
                <w:szCs w:val="21"/>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59,368</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59,166</w:t>
            </w: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27,172</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22,943</w:t>
            </w:r>
          </w:p>
        </w:tc>
      </w:tr>
      <w:tr>
        <w:trPr>
          <w:trHeight w:val="243"/>
        </w:trPr>
        <w:tc>
          <w:tcPr>
            <w:tcW w:w="7820" w:type="dxa"/>
            <w:vAlign w:val="bottom"/>
            <w:tcBorders>
              <w:bottom w:val="single" w:sz="8" w:color="3051F2"/>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3051F2"/>
            </w:tcBorders>
          </w:tcPr>
          <w:p>
            <w:pPr>
              <w:spacing w:after="0"/>
              <w:rPr>
                <w:sz w:val="21"/>
                <w:szCs w:val="21"/>
                <w:color w:val="auto"/>
              </w:rPr>
            </w:pPr>
          </w:p>
        </w:tc>
        <w:tc>
          <w:tcPr>
            <w:tcW w:w="1500" w:type="dxa"/>
            <w:vAlign w:val="bottom"/>
            <w:tcBorders>
              <w:bottom w:val="single" w:sz="8" w:color="3051F2"/>
            </w:tcBorders>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31,076</w:t>
            </w:r>
          </w:p>
        </w:tc>
        <w:tc>
          <w:tcPr>
            <w:tcW w:w="300" w:type="dxa"/>
            <w:vAlign w:val="bottom"/>
            <w:tcBorders>
              <w:bottom w:val="single" w:sz="8" w:color="3051F2"/>
            </w:tcBorders>
          </w:tcPr>
          <w:p>
            <w:pPr>
              <w:spacing w:after="0"/>
              <w:rPr>
                <w:sz w:val="21"/>
                <w:szCs w:val="21"/>
                <w:color w:val="auto"/>
              </w:rPr>
            </w:pPr>
          </w:p>
        </w:tc>
        <w:tc>
          <w:tcPr>
            <w:tcW w:w="1400" w:type="dxa"/>
            <w:vAlign w:val="bottom"/>
            <w:tcBorders>
              <w:bottom w:val="single" w:sz="8" w:color="3051F2"/>
            </w:tcBorders>
          </w:tcPr>
          <w:p>
            <w:pPr>
              <w:jc w:val="right"/>
              <w:spacing w:after="0"/>
              <w:rPr>
                <w:sz w:val="20"/>
                <w:szCs w:val="20"/>
                <w:color w:val="auto"/>
              </w:rPr>
            </w:pPr>
            <w:r>
              <w:rPr>
                <w:rFonts w:ascii="Times New Roman" w:cs="Times New Roman" w:eastAsia="Times New Roman" w:hAnsi="Times New Roman"/>
                <w:sz w:val="18"/>
                <w:szCs w:val="18"/>
                <w:color w:val="auto"/>
              </w:rPr>
              <w:t>31,646</w:t>
            </w:r>
          </w:p>
        </w:tc>
      </w:tr>
      <w:tr>
        <w:trPr>
          <w:trHeight w:val="237"/>
        </w:trPr>
        <w:tc>
          <w:tcPr>
            <w:tcW w:w="782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CUSA net equity</w:t>
            </w:r>
          </w:p>
        </w:tc>
        <w:tc>
          <w:tcPr>
            <w:tcW w:w="220" w:type="dxa"/>
            <w:vAlign w:val="bottom"/>
            <w:tcBorders>
              <w:bottom w:val="single" w:sz="8" w:color="0077C0"/>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0077C0"/>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26,325</w:t>
            </w:r>
          </w:p>
        </w:tc>
        <w:tc>
          <w:tcPr>
            <w:tcW w:w="300" w:type="dxa"/>
            <w:vAlign w:val="bottom"/>
            <w:tcBorders>
              <w:bottom w:val="single" w:sz="8" w:color="0077C0"/>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23,019</w:t>
            </w:r>
          </w:p>
        </w:tc>
      </w:tr>
      <w:tr>
        <w:trPr>
          <w:trHeight w:val="237"/>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Memo: Total debt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19,217</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Operating Segments and Geographic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Upstream</w:t>
            </w: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Downstream</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Int’l.</w:t>
            </w: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5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Int’l.</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Segment Total</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58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other operating revenues before elimination</w:t>
            </w: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15,293</w:t>
            </w:r>
          </w:p>
        </w:tc>
        <w:tc>
          <w:tcPr>
            <w:tcW w:w="50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17,543</w:t>
            </w: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26,957</w:t>
            </w: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24,084</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83,877</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84,053</w:t>
            </w:r>
          </w:p>
        </w:tc>
        <w:tc>
          <w:tcPr>
            <w:tcW w:w="0" w:type="dxa"/>
            <w:vAlign w:val="bottom"/>
          </w:tcPr>
          <w:p>
            <w:pPr>
              <w:spacing w:after="0"/>
              <w:rPr>
                <w:sz w:val="1"/>
                <w:szCs w:val="1"/>
                <w:color w:val="auto"/>
              </w:rPr>
            </w:pPr>
          </w:p>
        </w:tc>
      </w:tr>
      <w:tr>
        <w:trPr>
          <w:trHeight w:val="19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Intersegment revenue elimination</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(9,245)</w:t>
            </w: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(5,291)</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(3,216)</w:t>
            </w:r>
          </w:p>
        </w:tc>
        <w:tc>
          <w:tcPr>
            <w:tcW w:w="5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(18,665)</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(18,816)</w:t>
            </w:r>
          </w:p>
        </w:tc>
        <w:tc>
          <w:tcPr>
            <w:tcW w:w="0" w:type="dxa"/>
            <w:vAlign w:val="bottom"/>
          </w:tcPr>
          <w:p>
            <w:pPr>
              <w:spacing w:after="0"/>
              <w:rPr>
                <w:sz w:val="1"/>
                <w:szCs w:val="1"/>
                <w:color w:val="auto"/>
              </w:rPr>
            </w:pPr>
          </w:p>
        </w:tc>
      </w:tr>
      <w:tr>
        <w:trPr>
          <w:trHeight w:val="23"/>
        </w:trPr>
        <w:tc>
          <w:tcPr>
            <w:tcW w:w="358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Sales and Other Operating Revenues</w:t>
            </w:r>
          </w:p>
        </w:tc>
        <w:tc>
          <w:tcPr>
            <w:tcW w:w="3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6,048</w:t>
            </w:r>
          </w:p>
        </w:tc>
        <w:tc>
          <w:tcPr>
            <w:tcW w:w="5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12,252</w:t>
            </w:r>
          </w:p>
        </w:tc>
        <w:tc>
          <w:tcPr>
            <w:tcW w:w="3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23,741</w:t>
            </w:r>
          </w:p>
        </w:tc>
        <w:tc>
          <w:tcPr>
            <w:tcW w:w="5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23,171</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65,212</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3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65,237</w:t>
            </w:r>
          </w:p>
        </w:tc>
        <w:tc>
          <w:tcPr>
            <w:tcW w:w="0" w:type="dxa"/>
            <w:vAlign w:val="bottom"/>
          </w:tcPr>
          <w:p>
            <w:pPr>
              <w:spacing w:after="0"/>
              <w:rPr>
                <w:sz w:val="1"/>
                <w:szCs w:val="1"/>
                <w:color w:val="auto"/>
              </w:rPr>
            </w:pPr>
          </w:p>
        </w:tc>
      </w:tr>
      <w:tr>
        <w:trPr>
          <w:trHeight w:val="74"/>
        </w:trPr>
        <w:tc>
          <w:tcPr>
            <w:tcW w:w="3580" w:type="dxa"/>
            <w:vAlign w:val="bottom"/>
            <w:tcBorders>
              <w:top w:val="single" w:sz="8" w:color="0077C0"/>
            </w:tcBorders>
          </w:tcPr>
          <w:p>
            <w:pPr>
              <w:spacing w:after="0"/>
              <w:rPr>
                <w:sz w:val="6"/>
                <w:szCs w:val="6"/>
                <w:color w:val="auto"/>
              </w:rPr>
            </w:pPr>
          </w:p>
        </w:tc>
        <w:tc>
          <w:tcPr>
            <w:tcW w:w="380" w:type="dxa"/>
            <w:vAlign w:val="bottom"/>
            <w:tcBorders>
              <w:top w:val="single" w:sz="8" w:color="0077C0"/>
            </w:tcBorders>
          </w:tcPr>
          <w:p>
            <w:pPr>
              <w:spacing w:after="0"/>
              <w:rPr>
                <w:sz w:val="6"/>
                <w:szCs w:val="6"/>
                <w:color w:val="auto"/>
              </w:rPr>
            </w:pPr>
          </w:p>
        </w:tc>
        <w:tc>
          <w:tcPr>
            <w:tcW w:w="740" w:type="dxa"/>
            <w:vAlign w:val="bottom"/>
            <w:tcBorders>
              <w:top w:val="single" w:sz="8" w:color="0077C0"/>
            </w:tcBorders>
          </w:tcPr>
          <w:p>
            <w:pPr>
              <w:spacing w:after="0"/>
              <w:rPr>
                <w:sz w:val="6"/>
                <w:szCs w:val="6"/>
                <w:color w:val="auto"/>
              </w:rPr>
            </w:pPr>
          </w:p>
        </w:tc>
        <w:tc>
          <w:tcPr>
            <w:tcW w:w="500" w:type="dxa"/>
            <w:vAlign w:val="bottom"/>
            <w:tcBorders>
              <w:top w:val="single" w:sz="8" w:color="0077C0"/>
            </w:tcBorders>
          </w:tcPr>
          <w:p>
            <w:pPr>
              <w:spacing w:after="0"/>
              <w:rPr>
                <w:sz w:val="6"/>
                <w:szCs w:val="6"/>
                <w:color w:val="auto"/>
              </w:rPr>
            </w:pPr>
          </w:p>
        </w:tc>
        <w:tc>
          <w:tcPr>
            <w:tcW w:w="640" w:type="dxa"/>
            <w:vAlign w:val="bottom"/>
            <w:tcBorders>
              <w:top w:val="single" w:sz="8" w:color="0077C0"/>
            </w:tcBorders>
          </w:tcPr>
          <w:p>
            <w:pPr>
              <w:spacing w:after="0"/>
              <w:rPr>
                <w:sz w:val="6"/>
                <w:szCs w:val="6"/>
                <w:color w:val="auto"/>
              </w:rPr>
            </w:pPr>
          </w:p>
        </w:tc>
        <w:tc>
          <w:tcPr>
            <w:tcW w:w="380" w:type="dxa"/>
            <w:vAlign w:val="bottom"/>
            <w:tcBorders>
              <w:top w:val="single" w:sz="8" w:color="0077C0"/>
            </w:tcBorders>
          </w:tcPr>
          <w:p>
            <w:pPr>
              <w:spacing w:after="0"/>
              <w:rPr>
                <w:sz w:val="6"/>
                <w:szCs w:val="6"/>
                <w:color w:val="auto"/>
              </w:rPr>
            </w:pPr>
          </w:p>
        </w:tc>
        <w:tc>
          <w:tcPr>
            <w:tcW w:w="760" w:type="dxa"/>
            <w:vAlign w:val="bottom"/>
            <w:tcBorders>
              <w:top w:val="single" w:sz="8" w:color="0077C0"/>
            </w:tcBorders>
          </w:tcPr>
          <w:p>
            <w:pPr>
              <w:spacing w:after="0"/>
              <w:rPr>
                <w:sz w:val="6"/>
                <w:szCs w:val="6"/>
                <w:color w:val="auto"/>
              </w:rPr>
            </w:pPr>
          </w:p>
        </w:tc>
        <w:tc>
          <w:tcPr>
            <w:tcW w:w="520" w:type="dxa"/>
            <w:vAlign w:val="bottom"/>
            <w:tcBorders>
              <w:top w:val="single" w:sz="8" w:color="0077C0"/>
            </w:tcBorders>
          </w:tcPr>
          <w:p>
            <w:pPr>
              <w:spacing w:after="0"/>
              <w:rPr>
                <w:sz w:val="6"/>
                <w:szCs w:val="6"/>
                <w:color w:val="auto"/>
              </w:rPr>
            </w:pPr>
          </w:p>
        </w:tc>
        <w:tc>
          <w:tcPr>
            <w:tcW w:w="600" w:type="dxa"/>
            <w:vAlign w:val="bottom"/>
            <w:tcBorders>
              <w:top w:val="single" w:sz="8" w:color="0077C0"/>
            </w:tcBorders>
          </w:tcPr>
          <w:p>
            <w:pPr>
              <w:spacing w:after="0"/>
              <w:rPr>
                <w:sz w:val="6"/>
                <w:szCs w:val="6"/>
                <w:color w:val="auto"/>
              </w:rPr>
            </w:pPr>
          </w:p>
        </w:tc>
        <w:tc>
          <w:tcPr>
            <w:tcW w:w="180" w:type="dxa"/>
            <w:vAlign w:val="bottom"/>
            <w:tcBorders>
              <w:top w:val="single" w:sz="8" w:color="0077C0"/>
            </w:tcBorders>
          </w:tcPr>
          <w:p>
            <w:pPr>
              <w:spacing w:after="0"/>
              <w:rPr>
                <w:sz w:val="6"/>
                <w:szCs w:val="6"/>
                <w:color w:val="auto"/>
              </w:rPr>
            </w:pPr>
          </w:p>
        </w:tc>
        <w:tc>
          <w:tcPr>
            <w:tcW w:w="960" w:type="dxa"/>
            <w:vAlign w:val="bottom"/>
            <w:tcBorders>
              <w:top w:val="single" w:sz="8" w:color="0077C0"/>
            </w:tcBorders>
          </w:tcPr>
          <w:p>
            <w:pPr>
              <w:spacing w:after="0"/>
              <w:rPr>
                <w:sz w:val="6"/>
                <w:szCs w:val="6"/>
                <w:color w:val="auto"/>
              </w:rPr>
            </w:pPr>
          </w:p>
        </w:tc>
        <w:tc>
          <w:tcPr>
            <w:tcW w:w="220" w:type="dxa"/>
            <w:vAlign w:val="bottom"/>
            <w:tcBorders>
              <w:top w:val="single" w:sz="8" w:color="0077C0"/>
            </w:tcBorders>
          </w:tcPr>
          <w:p>
            <w:pPr>
              <w:spacing w:after="0"/>
              <w:rPr>
                <w:sz w:val="6"/>
                <w:szCs w:val="6"/>
                <w:color w:val="auto"/>
              </w:rPr>
            </w:pPr>
          </w:p>
        </w:tc>
        <w:tc>
          <w:tcPr>
            <w:tcW w:w="720" w:type="dxa"/>
            <w:vAlign w:val="bottom"/>
            <w:tcBorders>
              <w:top w:val="single" w:sz="8" w:color="0077C0"/>
            </w:tcBorders>
          </w:tcPr>
          <w:p>
            <w:pPr>
              <w:spacing w:after="0"/>
              <w:rPr>
                <w:sz w:val="6"/>
                <w:szCs w:val="6"/>
                <w:color w:val="auto"/>
              </w:rPr>
            </w:pPr>
          </w:p>
        </w:tc>
        <w:tc>
          <w:tcPr>
            <w:tcW w:w="320" w:type="dxa"/>
            <w:vAlign w:val="bottom"/>
            <w:tcBorders>
              <w:top w:val="single" w:sz="8" w:color="0077C0"/>
            </w:tcBorders>
          </w:tcPr>
          <w:p>
            <w:pPr>
              <w:spacing w:after="0"/>
              <w:rPr>
                <w:sz w:val="6"/>
                <w:szCs w:val="6"/>
                <w:color w:val="auto"/>
              </w:rPr>
            </w:pPr>
          </w:p>
        </w:tc>
        <w:tc>
          <w:tcPr>
            <w:tcW w:w="740" w:type="dxa"/>
            <w:vAlign w:val="bottom"/>
            <w:tcBorders>
              <w:top w:val="single" w:sz="8" w:color="0077C0"/>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equity affiliates</w:t>
            </w:r>
          </w:p>
        </w:tc>
        <w:tc>
          <w:tcPr>
            <w:tcW w:w="3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5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3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5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2,097</w:t>
            </w: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2,097</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Other income (loss)</w:t>
            </w:r>
            <w:r>
              <w:rPr>
                <w:rFonts w:ascii="Times New Roman" w:cs="Times New Roman" w:eastAsia="Times New Roman" w:hAnsi="Times New Roman"/>
                <w:sz w:val="18"/>
                <w:szCs w:val="18"/>
                <w:color w:val="auto"/>
                <w:vertAlign w:val="superscript"/>
              </w:rPr>
              <w:t>(1)</w:t>
            </w:r>
          </w:p>
        </w:tc>
        <w:tc>
          <w:tcPr>
            <w:tcW w:w="380" w:type="dxa"/>
            <w:vAlign w:val="bottom"/>
            <w:tcBorders>
              <w:bottom w:val="single" w:sz="8" w:color="0077C0"/>
            </w:tcBorders>
          </w:tcPr>
          <w:p>
            <w:pPr>
              <w:spacing w:after="0"/>
              <w:rPr>
                <w:sz w:val="18"/>
                <w:szCs w:val="18"/>
                <w:color w:val="auto"/>
              </w:rPr>
            </w:pP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500" w:type="dxa"/>
            <w:vAlign w:val="bottom"/>
            <w:tcBorders>
              <w:bottom w:val="single" w:sz="8" w:color="0077C0"/>
            </w:tcBorders>
          </w:tcPr>
          <w:p>
            <w:pPr>
              <w:spacing w:after="0"/>
              <w:rPr>
                <w:sz w:val="18"/>
                <w:szCs w:val="18"/>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380" w:type="dxa"/>
            <w:vAlign w:val="bottom"/>
            <w:tcBorders>
              <w:bottom w:val="single" w:sz="8" w:color="0077C0"/>
            </w:tcBorders>
          </w:tcPr>
          <w:p>
            <w:pPr>
              <w:spacing w:after="0"/>
              <w:rPr>
                <w:sz w:val="18"/>
                <w:szCs w:val="18"/>
                <w:color w:val="auto"/>
              </w:rPr>
            </w:pPr>
          </w:p>
        </w:tc>
        <w:tc>
          <w:tcPr>
            <w:tcW w:w="7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52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80" w:type="dxa"/>
            <w:vAlign w:val="bottom"/>
            <w:tcBorders>
              <w:bottom w:val="single" w:sz="8" w:color="0077C0"/>
            </w:tcBorders>
          </w:tcPr>
          <w:p>
            <w:pPr>
              <w:spacing w:after="0"/>
              <w:rPr>
                <w:sz w:val="18"/>
                <w:szCs w:val="18"/>
                <w:color w:val="auto"/>
              </w:rPr>
            </w:pPr>
          </w:p>
        </w:tc>
        <w:tc>
          <w:tcPr>
            <w:tcW w:w="9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220" w:type="dxa"/>
            <w:vAlign w:val="bottom"/>
            <w:tcBorders>
              <w:bottom w:val="single" w:sz="8" w:color="0077C0"/>
            </w:tcBorders>
          </w:tcPr>
          <w:p>
            <w:pPr>
              <w:spacing w:after="0"/>
              <w:rPr>
                <w:sz w:val="18"/>
                <w:szCs w:val="18"/>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320" w:type="dxa"/>
            <w:vAlign w:val="bottom"/>
            <w:tcBorders>
              <w:bottom w:val="single" w:sz="8" w:color="0077C0"/>
            </w:tcBorders>
          </w:tcPr>
          <w:p>
            <w:pPr>
              <w:spacing w:after="0"/>
              <w:rPr>
                <w:sz w:val="18"/>
                <w:szCs w:val="18"/>
                <w:color w:val="auto"/>
              </w:rPr>
            </w:pP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0" w:type="dxa"/>
            <w:vAlign w:val="bottom"/>
          </w:tcPr>
          <w:p>
            <w:pPr>
              <w:spacing w:after="0"/>
              <w:rPr>
                <w:sz w:val="1"/>
                <w:szCs w:val="1"/>
                <w:color w:val="auto"/>
              </w:rPr>
            </w:pPr>
          </w:p>
        </w:tc>
      </w:tr>
      <w:tr>
        <w:trPr>
          <w:trHeight w:val="214"/>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 and Other Income</w:t>
            </w:r>
          </w:p>
        </w:tc>
        <w:tc>
          <w:tcPr>
            <w:tcW w:w="3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6,145</w:t>
            </w:r>
          </w:p>
        </w:tc>
        <w:tc>
          <w:tcPr>
            <w:tcW w:w="5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13,660</w:t>
            </w:r>
          </w:p>
        </w:tc>
        <w:tc>
          <w:tcPr>
            <w:tcW w:w="3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24,128</w:t>
            </w:r>
          </w:p>
        </w:tc>
        <w:tc>
          <w:tcPr>
            <w:tcW w:w="5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23,698</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67,631</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167</w:t>
            </w:r>
          </w:p>
        </w:tc>
        <w:tc>
          <w:tcPr>
            <w:tcW w:w="3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67,798</w:t>
            </w:r>
          </w:p>
        </w:tc>
        <w:tc>
          <w:tcPr>
            <w:tcW w:w="0" w:type="dxa"/>
            <w:vAlign w:val="bottom"/>
          </w:tcPr>
          <w:p>
            <w:pPr>
              <w:spacing w:after="0"/>
              <w:rPr>
                <w:sz w:val="1"/>
                <w:szCs w:val="1"/>
                <w:color w:val="auto"/>
              </w:rPr>
            </w:pPr>
          </w:p>
        </w:tc>
      </w:tr>
      <w:tr>
        <w:trPr>
          <w:trHeight w:val="74"/>
        </w:trPr>
        <w:tc>
          <w:tcPr>
            <w:tcW w:w="3580" w:type="dxa"/>
            <w:vAlign w:val="bottom"/>
            <w:tcBorders>
              <w:top w:val="single" w:sz="8" w:color="0077C0"/>
            </w:tcBorders>
          </w:tcPr>
          <w:p>
            <w:pPr>
              <w:spacing w:after="0"/>
              <w:rPr>
                <w:sz w:val="6"/>
                <w:szCs w:val="6"/>
                <w:color w:val="auto"/>
              </w:rPr>
            </w:pPr>
          </w:p>
        </w:tc>
        <w:tc>
          <w:tcPr>
            <w:tcW w:w="380" w:type="dxa"/>
            <w:vAlign w:val="bottom"/>
            <w:tcBorders>
              <w:top w:val="single" w:sz="8" w:color="0077C0"/>
            </w:tcBorders>
          </w:tcPr>
          <w:p>
            <w:pPr>
              <w:spacing w:after="0"/>
              <w:rPr>
                <w:sz w:val="6"/>
                <w:szCs w:val="6"/>
                <w:color w:val="auto"/>
              </w:rPr>
            </w:pPr>
          </w:p>
        </w:tc>
        <w:tc>
          <w:tcPr>
            <w:tcW w:w="740" w:type="dxa"/>
            <w:vAlign w:val="bottom"/>
            <w:tcBorders>
              <w:top w:val="single" w:sz="8" w:color="0077C0"/>
            </w:tcBorders>
          </w:tcPr>
          <w:p>
            <w:pPr>
              <w:spacing w:after="0"/>
              <w:rPr>
                <w:sz w:val="6"/>
                <w:szCs w:val="6"/>
                <w:color w:val="auto"/>
              </w:rPr>
            </w:pPr>
          </w:p>
        </w:tc>
        <w:tc>
          <w:tcPr>
            <w:tcW w:w="500" w:type="dxa"/>
            <w:vAlign w:val="bottom"/>
            <w:tcBorders>
              <w:top w:val="single" w:sz="8" w:color="0077C0"/>
            </w:tcBorders>
          </w:tcPr>
          <w:p>
            <w:pPr>
              <w:spacing w:after="0"/>
              <w:rPr>
                <w:sz w:val="6"/>
                <w:szCs w:val="6"/>
                <w:color w:val="auto"/>
              </w:rPr>
            </w:pPr>
          </w:p>
        </w:tc>
        <w:tc>
          <w:tcPr>
            <w:tcW w:w="640" w:type="dxa"/>
            <w:vAlign w:val="bottom"/>
            <w:tcBorders>
              <w:top w:val="single" w:sz="8" w:color="0077C0"/>
            </w:tcBorders>
          </w:tcPr>
          <w:p>
            <w:pPr>
              <w:spacing w:after="0"/>
              <w:rPr>
                <w:sz w:val="6"/>
                <w:szCs w:val="6"/>
                <w:color w:val="auto"/>
              </w:rPr>
            </w:pPr>
          </w:p>
        </w:tc>
        <w:tc>
          <w:tcPr>
            <w:tcW w:w="380" w:type="dxa"/>
            <w:vAlign w:val="bottom"/>
            <w:tcBorders>
              <w:top w:val="single" w:sz="8" w:color="0077C0"/>
            </w:tcBorders>
          </w:tcPr>
          <w:p>
            <w:pPr>
              <w:spacing w:after="0"/>
              <w:rPr>
                <w:sz w:val="6"/>
                <w:szCs w:val="6"/>
                <w:color w:val="auto"/>
              </w:rPr>
            </w:pPr>
          </w:p>
        </w:tc>
        <w:tc>
          <w:tcPr>
            <w:tcW w:w="760" w:type="dxa"/>
            <w:vAlign w:val="bottom"/>
            <w:tcBorders>
              <w:top w:val="single" w:sz="8" w:color="0077C0"/>
            </w:tcBorders>
          </w:tcPr>
          <w:p>
            <w:pPr>
              <w:spacing w:after="0"/>
              <w:rPr>
                <w:sz w:val="6"/>
                <w:szCs w:val="6"/>
                <w:color w:val="auto"/>
              </w:rPr>
            </w:pPr>
          </w:p>
        </w:tc>
        <w:tc>
          <w:tcPr>
            <w:tcW w:w="520" w:type="dxa"/>
            <w:vAlign w:val="bottom"/>
            <w:tcBorders>
              <w:top w:val="single" w:sz="8" w:color="0077C0"/>
            </w:tcBorders>
          </w:tcPr>
          <w:p>
            <w:pPr>
              <w:spacing w:after="0"/>
              <w:rPr>
                <w:sz w:val="6"/>
                <w:szCs w:val="6"/>
                <w:color w:val="auto"/>
              </w:rPr>
            </w:pPr>
          </w:p>
        </w:tc>
        <w:tc>
          <w:tcPr>
            <w:tcW w:w="600" w:type="dxa"/>
            <w:vAlign w:val="bottom"/>
            <w:tcBorders>
              <w:top w:val="single" w:sz="8" w:color="0077C0"/>
            </w:tcBorders>
          </w:tcPr>
          <w:p>
            <w:pPr>
              <w:spacing w:after="0"/>
              <w:rPr>
                <w:sz w:val="6"/>
                <w:szCs w:val="6"/>
                <w:color w:val="auto"/>
              </w:rPr>
            </w:pPr>
          </w:p>
        </w:tc>
        <w:tc>
          <w:tcPr>
            <w:tcW w:w="180" w:type="dxa"/>
            <w:vAlign w:val="bottom"/>
            <w:tcBorders>
              <w:top w:val="single" w:sz="8" w:color="0077C0"/>
            </w:tcBorders>
          </w:tcPr>
          <w:p>
            <w:pPr>
              <w:spacing w:after="0"/>
              <w:rPr>
                <w:sz w:val="6"/>
                <w:szCs w:val="6"/>
                <w:color w:val="auto"/>
              </w:rPr>
            </w:pPr>
          </w:p>
        </w:tc>
        <w:tc>
          <w:tcPr>
            <w:tcW w:w="960" w:type="dxa"/>
            <w:vAlign w:val="bottom"/>
            <w:tcBorders>
              <w:top w:val="single" w:sz="8" w:color="0077C0"/>
            </w:tcBorders>
          </w:tcPr>
          <w:p>
            <w:pPr>
              <w:spacing w:after="0"/>
              <w:rPr>
                <w:sz w:val="6"/>
                <w:szCs w:val="6"/>
                <w:color w:val="auto"/>
              </w:rPr>
            </w:pPr>
          </w:p>
        </w:tc>
        <w:tc>
          <w:tcPr>
            <w:tcW w:w="220" w:type="dxa"/>
            <w:vAlign w:val="bottom"/>
            <w:tcBorders>
              <w:top w:val="single" w:sz="8" w:color="0077C0"/>
            </w:tcBorders>
          </w:tcPr>
          <w:p>
            <w:pPr>
              <w:spacing w:after="0"/>
              <w:rPr>
                <w:sz w:val="6"/>
                <w:szCs w:val="6"/>
                <w:color w:val="auto"/>
              </w:rPr>
            </w:pPr>
          </w:p>
        </w:tc>
        <w:tc>
          <w:tcPr>
            <w:tcW w:w="720" w:type="dxa"/>
            <w:vAlign w:val="bottom"/>
            <w:tcBorders>
              <w:top w:val="single" w:sz="8" w:color="0077C0"/>
            </w:tcBorders>
          </w:tcPr>
          <w:p>
            <w:pPr>
              <w:spacing w:after="0"/>
              <w:rPr>
                <w:sz w:val="6"/>
                <w:szCs w:val="6"/>
                <w:color w:val="auto"/>
              </w:rPr>
            </w:pPr>
          </w:p>
        </w:tc>
        <w:tc>
          <w:tcPr>
            <w:tcW w:w="320" w:type="dxa"/>
            <w:vAlign w:val="bottom"/>
            <w:tcBorders>
              <w:top w:val="single" w:sz="8" w:color="0077C0"/>
            </w:tcBorders>
          </w:tcPr>
          <w:p>
            <w:pPr>
              <w:spacing w:after="0"/>
              <w:rPr>
                <w:sz w:val="6"/>
                <w:szCs w:val="6"/>
                <w:color w:val="auto"/>
              </w:rPr>
            </w:pPr>
          </w:p>
        </w:tc>
        <w:tc>
          <w:tcPr>
            <w:tcW w:w="740" w:type="dxa"/>
            <w:vAlign w:val="bottom"/>
            <w:tcBorders>
              <w:top w:val="single" w:sz="8" w:color="0077C0"/>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Intersegment product transfers</w:t>
            </w:r>
            <w:r>
              <w:rPr>
                <w:rFonts w:ascii="Times New Roman" w:cs="Times New Roman" w:eastAsia="Times New Roman" w:hAnsi="Times New Roman"/>
                <w:sz w:val="18"/>
                <w:szCs w:val="18"/>
                <w:color w:val="auto"/>
                <w:vertAlign w:val="superscript"/>
              </w:rPr>
              <w:t>(2)</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7,959</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2,403</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(9,533)</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Less expenses:</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Purchased crude oil and products</w:t>
            </w:r>
          </w:p>
        </w:tc>
        <w:tc>
          <w:tcPr>
            <w:tcW w:w="3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4,172</w:t>
            </w:r>
          </w:p>
        </w:tc>
        <w:tc>
          <w:tcPr>
            <w:tcW w:w="5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6,599</w:t>
            </w:r>
          </w:p>
        </w:tc>
        <w:tc>
          <w:tcPr>
            <w:tcW w:w="3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7,289</w:t>
            </w:r>
          </w:p>
        </w:tc>
        <w:tc>
          <w:tcPr>
            <w:tcW w:w="5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18,474</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36,534</w:t>
            </w: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36,534</w:t>
            </w:r>
          </w:p>
        </w:tc>
        <w:tc>
          <w:tcPr>
            <w:tcW w:w="0" w:type="dxa"/>
            <w:vAlign w:val="bottom"/>
          </w:tcPr>
          <w:p>
            <w:pPr>
              <w:spacing w:after="0"/>
              <w:rPr>
                <w:sz w:val="1"/>
                <w:szCs w:val="1"/>
                <w:color w:val="auto"/>
              </w:rPr>
            </w:pPr>
          </w:p>
        </w:tc>
      </w:tr>
      <w:tr>
        <w:trPr>
          <w:trHeight w:val="19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and SG&amp;A expenses</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2,339</w:t>
            </w: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w:t>
            </w:r>
          </w:p>
        </w:tc>
        <w:tc>
          <w:tcPr>
            <w:tcW w:w="5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2,140</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8,616</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9,494</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3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w:t>
            </w:r>
          </w:p>
        </w:tc>
        <w:tc>
          <w:tcPr>
            <w:tcW w:w="5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3,011</w:t>
            </w:r>
          </w:p>
        </w:tc>
        <w:tc>
          <w:tcPr>
            <w:tcW w:w="3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5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6,196</w:t>
            </w: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3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6,272</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Other costs and deductions</w:t>
            </w:r>
            <w:r>
              <w:rPr>
                <w:rFonts w:ascii="Times New Roman" w:cs="Times New Roman" w:eastAsia="Times New Roman" w:hAnsi="Times New Roman"/>
                <w:sz w:val="18"/>
                <w:szCs w:val="18"/>
                <w:color w:val="auto"/>
                <w:vertAlign w:val="superscript"/>
              </w:rPr>
              <w:t>(3)</w:t>
            </w:r>
          </w:p>
        </w:tc>
        <w:tc>
          <w:tcPr>
            <w:tcW w:w="380" w:type="dxa"/>
            <w:vAlign w:val="bottom"/>
            <w:tcBorders>
              <w:bottom w:val="single" w:sz="8" w:color="0077C0"/>
            </w:tcBorders>
          </w:tcPr>
          <w:p>
            <w:pPr>
              <w:spacing w:after="0"/>
              <w:rPr>
                <w:sz w:val="18"/>
                <w:szCs w:val="18"/>
                <w:color w:val="auto"/>
              </w:rPr>
            </w:pP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500" w:type="dxa"/>
            <w:vAlign w:val="bottom"/>
            <w:tcBorders>
              <w:bottom w:val="single" w:sz="8" w:color="0077C0"/>
            </w:tcBorders>
          </w:tcPr>
          <w:p>
            <w:pPr>
              <w:spacing w:after="0"/>
              <w:rPr>
                <w:sz w:val="18"/>
                <w:szCs w:val="18"/>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380" w:type="dxa"/>
            <w:vAlign w:val="bottom"/>
            <w:tcBorders>
              <w:bottom w:val="single" w:sz="8" w:color="0077C0"/>
            </w:tcBorders>
          </w:tcPr>
          <w:p>
            <w:pPr>
              <w:spacing w:after="0"/>
              <w:rPr>
                <w:sz w:val="18"/>
                <w:szCs w:val="18"/>
                <w:color w:val="auto"/>
              </w:rPr>
            </w:pPr>
          </w:p>
        </w:tc>
        <w:tc>
          <w:tcPr>
            <w:tcW w:w="7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52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80" w:type="dxa"/>
            <w:vAlign w:val="bottom"/>
            <w:tcBorders>
              <w:bottom w:val="single" w:sz="8" w:color="0077C0"/>
            </w:tcBorders>
          </w:tcPr>
          <w:p>
            <w:pPr>
              <w:spacing w:after="0"/>
              <w:rPr>
                <w:sz w:val="18"/>
                <w:szCs w:val="18"/>
                <w:color w:val="auto"/>
              </w:rPr>
            </w:pPr>
          </w:p>
        </w:tc>
        <w:tc>
          <w:tcPr>
            <w:tcW w:w="9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220" w:type="dxa"/>
            <w:vAlign w:val="bottom"/>
            <w:tcBorders>
              <w:bottom w:val="single" w:sz="8" w:color="0077C0"/>
            </w:tcBorders>
          </w:tcPr>
          <w:p>
            <w:pPr>
              <w:spacing w:after="0"/>
              <w:rPr>
                <w:sz w:val="18"/>
                <w:szCs w:val="18"/>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320" w:type="dxa"/>
            <w:vAlign w:val="bottom"/>
            <w:tcBorders>
              <w:bottom w:val="single" w:sz="8" w:color="0077C0"/>
            </w:tcBorders>
          </w:tcPr>
          <w:p>
            <w:pPr>
              <w:spacing w:after="0"/>
              <w:rPr>
                <w:sz w:val="18"/>
                <w:szCs w:val="18"/>
                <w:color w:val="auto"/>
              </w:rPr>
            </w:pP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1,873</w:t>
            </w:r>
          </w:p>
        </w:tc>
        <w:tc>
          <w:tcPr>
            <w:tcW w:w="0" w:type="dxa"/>
            <w:vAlign w:val="bottom"/>
          </w:tcPr>
          <w:p>
            <w:pPr>
              <w:spacing w:after="0"/>
              <w:rPr>
                <w:sz w:val="1"/>
                <w:szCs w:val="1"/>
                <w:color w:val="auto"/>
              </w:rPr>
            </w:pPr>
          </w:p>
        </w:tc>
      </w:tr>
      <w:tr>
        <w:trPr>
          <w:trHeight w:val="215"/>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Costs and Other Deductions</w:t>
            </w:r>
          </w:p>
        </w:tc>
        <w:tc>
          <w:tcPr>
            <w:tcW w:w="3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9,804</w:t>
            </w:r>
          </w:p>
        </w:tc>
        <w:tc>
          <w:tcPr>
            <w:tcW w:w="5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11,745</w:t>
            </w:r>
          </w:p>
        </w:tc>
        <w:tc>
          <w:tcPr>
            <w:tcW w:w="3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10,151</w:t>
            </w:r>
          </w:p>
        </w:tc>
        <w:tc>
          <w:tcPr>
            <w:tcW w:w="5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21,187</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52,887</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1,286</w:t>
            </w:r>
          </w:p>
        </w:tc>
        <w:tc>
          <w:tcPr>
            <w:tcW w:w="3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54,173</w:t>
            </w:r>
          </w:p>
        </w:tc>
        <w:tc>
          <w:tcPr>
            <w:tcW w:w="0" w:type="dxa"/>
            <w:vAlign w:val="bottom"/>
          </w:tcPr>
          <w:p>
            <w:pPr>
              <w:spacing w:after="0"/>
              <w:rPr>
                <w:sz w:val="1"/>
                <w:szCs w:val="1"/>
                <w:color w:val="auto"/>
              </w:rPr>
            </w:pPr>
          </w:p>
        </w:tc>
      </w:tr>
      <w:tr>
        <w:trPr>
          <w:trHeight w:val="74"/>
        </w:trPr>
        <w:tc>
          <w:tcPr>
            <w:tcW w:w="3580" w:type="dxa"/>
            <w:vAlign w:val="bottom"/>
            <w:tcBorders>
              <w:top w:val="single" w:sz="8" w:color="0077C0"/>
            </w:tcBorders>
          </w:tcPr>
          <w:p>
            <w:pPr>
              <w:spacing w:after="0"/>
              <w:rPr>
                <w:sz w:val="6"/>
                <w:szCs w:val="6"/>
                <w:color w:val="auto"/>
              </w:rPr>
            </w:pPr>
          </w:p>
        </w:tc>
        <w:tc>
          <w:tcPr>
            <w:tcW w:w="380" w:type="dxa"/>
            <w:vAlign w:val="bottom"/>
            <w:tcBorders>
              <w:top w:val="single" w:sz="8" w:color="0077C0"/>
            </w:tcBorders>
          </w:tcPr>
          <w:p>
            <w:pPr>
              <w:spacing w:after="0"/>
              <w:rPr>
                <w:sz w:val="6"/>
                <w:szCs w:val="6"/>
                <w:color w:val="auto"/>
              </w:rPr>
            </w:pPr>
          </w:p>
        </w:tc>
        <w:tc>
          <w:tcPr>
            <w:tcW w:w="740" w:type="dxa"/>
            <w:vAlign w:val="bottom"/>
            <w:tcBorders>
              <w:top w:val="single" w:sz="8" w:color="0077C0"/>
            </w:tcBorders>
          </w:tcPr>
          <w:p>
            <w:pPr>
              <w:spacing w:after="0"/>
              <w:rPr>
                <w:sz w:val="6"/>
                <w:szCs w:val="6"/>
                <w:color w:val="auto"/>
              </w:rPr>
            </w:pPr>
          </w:p>
        </w:tc>
        <w:tc>
          <w:tcPr>
            <w:tcW w:w="500" w:type="dxa"/>
            <w:vAlign w:val="bottom"/>
            <w:tcBorders>
              <w:top w:val="single" w:sz="8" w:color="0077C0"/>
            </w:tcBorders>
          </w:tcPr>
          <w:p>
            <w:pPr>
              <w:spacing w:after="0"/>
              <w:rPr>
                <w:sz w:val="6"/>
                <w:szCs w:val="6"/>
                <w:color w:val="auto"/>
              </w:rPr>
            </w:pPr>
          </w:p>
        </w:tc>
        <w:tc>
          <w:tcPr>
            <w:tcW w:w="640" w:type="dxa"/>
            <w:vAlign w:val="bottom"/>
            <w:tcBorders>
              <w:top w:val="single" w:sz="8" w:color="0077C0"/>
            </w:tcBorders>
          </w:tcPr>
          <w:p>
            <w:pPr>
              <w:spacing w:after="0"/>
              <w:rPr>
                <w:sz w:val="6"/>
                <w:szCs w:val="6"/>
                <w:color w:val="auto"/>
              </w:rPr>
            </w:pPr>
          </w:p>
        </w:tc>
        <w:tc>
          <w:tcPr>
            <w:tcW w:w="380" w:type="dxa"/>
            <w:vAlign w:val="bottom"/>
            <w:tcBorders>
              <w:top w:val="single" w:sz="8" w:color="0077C0"/>
            </w:tcBorders>
          </w:tcPr>
          <w:p>
            <w:pPr>
              <w:spacing w:after="0"/>
              <w:rPr>
                <w:sz w:val="6"/>
                <w:szCs w:val="6"/>
                <w:color w:val="auto"/>
              </w:rPr>
            </w:pPr>
          </w:p>
        </w:tc>
        <w:tc>
          <w:tcPr>
            <w:tcW w:w="760" w:type="dxa"/>
            <w:vAlign w:val="bottom"/>
            <w:tcBorders>
              <w:top w:val="single" w:sz="8" w:color="0077C0"/>
            </w:tcBorders>
          </w:tcPr>
          <w:p>
            <w:pPr>
              <w:spacing w:after="0"/>
              <w:rPr>
                <w:sz w:val="6"/>
                <w:szCs w:val="6"/>
                <w:color w:val="auto"/>
              </w:rPr>
            </w:pPr>
          </w:p>
        </w:tc>
        <w:tc>
          <w:tcPr>
            <w:tcW w:w="520" w:type="dxa"/>
            <w:vAlign w:val="bottom"/>
            <w:tcBorders>
              <w:top w:val="single" w:sz="8" w:color="0077C0"/>
            </w:tcBorders>
          </w:tcPr>
          <w:p>
            <w:pPr>
              <w:spacing w:after="0"/>
              <w:rPr>
                <w:sz w:val="6"/>
                <w:szCs w:val="6"/>
                <w:color w:val="auto"/>
              </w:rPr>
            </w:pPr>
          </w:p>
        </w:tc>
        <w:tc>
          <w:tcPr>
            <w:tcW w:w="600" w:type="dxa"/>
            <w:vAlign w:val="bottom"/>
            <w:tcBorders>
              <w:top w:val="single" w:sz="8" w:color="0077C0"/>
            </w:tcBorders>
          </w:tcPr>
          <w:p>
            <w:pPr>
              <w:spacing w:after="0"/>
              <w:rPr>
                <w:sz w:val="6"/>
                <w:szCs w:val="6"/>
                <w:color w:val="auto"/>
              </w:rPr>
            </w:pPr>
          </w:p>
        </w:tc>
        <w:tc>
          <w:tcPr>
            <w:tcW w:w="180" w:type="dxa"/>
            <w:vAlign w:val="bottom"/>
            <w:tcBorders>
              <w:top w:val="single" w:sz="8" w:color="0077C0"/>
            </w:tcBorders>
          </w:tcPr>
          <w:p>
            <w:pPr>
              <w:spacing w:after="0"/>
              <w:rPr>
                <w:sz w:val="6"/>
                <w:szCs w:val="6"/>
                <w:color w:val="auto"/>
              </w:rPr>
            </w:pPr>
          </w:p>
        </w:tc>
        <w:tc>
          <w:tcPr>
            <w:tcW w:w="960" w:type="dxa"/>
            <w:vAlign w:val="bottom"/>
            <w:tcBorders>
              <w:top w:val="single" w:sz="8" w:color="0077C0"/>
            </w:tcBorders>
          </w:tcPr>
          <w:p>
            <w:pPr>
              <w:spacing w:after="0"/>
              <w:rPr>
                <w:sz w:val="6"/>
                <w:szCs w:val="6"/>
                <w:color w:val="auto"/>
              </w:rPr>
            </w:pPr>
          </w:p>
        </w:tc>
        <w:tc>
          <w:tcPr>
            <w:tcW w:w="220" w:type="dxa"/>
            <w:vAlign w:val="bottom"/>
            <w:tcBorders>
              <w:top w:val="single" w:sz="8" w:color="0077C0"/>
            </w:tcBorders>
          </w:tcPr>
          <w:p>
            <w:pPr>
              <w:spacing w:after="0"/>
              <w:rPr>
                <w:sz w:val="6"/>
                <w:szCs w:val="6"/>
                <w:color w:val="auto"/>
              </w:rPr>
            </w:pPr>
          </w:p>
        </w:tc>
        <w:tc>
          <w:tcPr>
            <w:tcW w:w="720" w:type="dxa"/>
            <w:vAlign w:val="bottom"/>
            <w:tcBorders>
              <w:top w:val="single" w:sz="8" w:color="0077C0"/>
            </w:tcBorders>
          </w:tcPr>
          <w:p>
            <w:pPr>
              <w:spacing w:after="0"/>
              <w:rPr>
                <w:sz w:val="6"/>
                <w:szCs w:val="6"/>
                <w:color w:val="auto"/>
              </w:rPr>
            </w:pPr>
          </w:p>
        </w:tc>
        <w:tc>
          <w:tcPr>
            <w:tcW w:w="320" w:type="dxa"/>
            <w:vAlign w:val="bottom"/>
            <w:tcBorders>
              <w:top w:val="single" w:sz="8" w:color="0077C0"/>
            </w:tcBorders>
          </w:tcPr>
          <w:p>
            <w:pPr>
              <w:spacing w:after="0"/>
              <w:rPr>
                <w:sz w:val="6"/>
                <w:szCs w:val="6"/>
                <w:color w:val="auto"/>
              </w:rPr>
            </w:pPr>
          </w:p>
        </w:tc>
        <w:tc>
          <w:tcPr>
            <w:tcW w:w="740" w:type="dxa"/>
            <w:vAlign w:val="bottom"/>
            <w:tcBorders>
              <w:top w:val="single" w:sz="8" w:color="0077C0"/>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5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w:t>
            </w:r>
          </w:p>
        </w:tc>
        <w:tc>
          <w:tcPr>
            <w:tcW w:w="3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5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3,861</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3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3,577</w:t>
            </w:r>
          </w:p>
        </w:tc>
        <w:tc>
          <w:tcPr>
            <w:tcW w:w="0" w:type="dxa"/>
            <w:vAlign w:val="bottom"/>
          </w:tcPr>
          <w:p>
            <w:pPr>
              <w:spacing w:after="0"/>
              <w:rPr>
                <w:sz w:val="1"/>
                <w:szCs w:val="1"/>
                <w:color w:val="auto"/>
              </w:rPr>
            </w:pPr>
          </w:p>
        </w:tc>
      </w:tr>
      <w:tr>
        <w:trPr>
          <w:trHeight w:val="146"/>
        </w:trPr>
        <w:tc>
          <w:tcPr>
            <w:tcW w:w="3580" w:type="dxa"/>
            <w:vAlign w:val="bottom"/>
            <w:tcBorders>
              <w:top w:val="single" w:sz="8" w:color="0077C0"/>
            </w:tcBorders>
          </w:tcPr>
          <w:p>
            <w:pPr>
              <w:ind w:left="360"/>
              <w:spacing w:after="0" w:line="147" w:lineRule="exact"/>
              <w:rPr>
                <w:sz w:val="20"/>
                <w:szCs w:val="20"/>
                <w:color w:val="auto"/>
              </w:rPr>
            </w:pPr>
            <w:r>
              <w:rPr>
                <w:rFonts w:ascii="Times New Roman" w:cs="Times New Roman" w:eastAsia="Times New Roman" w:hAnsi="Times New Roman"/>
                <w:sz w:val="14"/>
                <w:szCs w:val="14"/>
                <w:color w:val="auto"/>
              </w:rPr>
              <w:t>Less: Net income (loss) attributable to non-controlling</w:t>
            </w:r>
          </w:p>
        </w:tc>
        <w:tc>
          <w:tcPr>
            <w:tcW w:w="380" w:type="dxa"/>
            <w:vAlign w:val="bottom"/>
            <w:tcBorders>
              <w:top w:val="single" w:sz="8" w:color="0077C0"/>
            </w:tcBorders>
          </w:tcPr>
          <w:p>
            <w:pPr>
              <w:spacing w:after="0"/>
              <w:rPr>
                <w:sz w:val="12"/>
                <w:szCs w:val="12"/>
                <w:color w:val="auto"/>
              </w:rPr>
            </w:pPr>
          </w:p>
        </w:tc>
        <w:tc>
          <w:tcPr>
            <w:tcW w:w="740" w:type="dxa"/>
            <w:vAlign w:val="bottom"/>
            <w:tcBorders>
              <w:top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500" w:type="dxa"/>
            <w:vAlign w:val="bottom"/>
            <w:tcBorders>
              <w:top w:val="single" w:sz="8" w:color="0077C0"/>
            </w:tcBorders>
          </w:tcPr>
          <w:p>
            <w:pPr>
              <w:spacing w:after="0"/>
              <w:rPr>
                <w:sz w:val="12"/>
                <w:szCs w:val="12"/>
                <w:color w:val="auto"/>
              </w:rPr>
            </w:pPr>
          </w:p>
        </w:tc>
        <w:tc>
          <w:tcPr>
            <w:tcW w:w="640" w:type="dxa"/>
            <w:vAlign w:val="bottom"/>
            <w:tcBorders>
              <w:top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80" w:type="dxa"/>
            <w:vAlign w:val="bottom"/>
            <w:tcBorders>
              <w:top w:val="single" w:sz="8" w:color="0077C0"/>
            </w:tcBorders>
          </w:tcPr>
          <w:p>
            <w:pPr>
              <w:spacing w:after="0"/>
              <w:rPr>
                <w:sz w:val="12"/>
                <w:szCs w:val="12"/>
                <w:color w:val="auto"/>
              </w:rPr>
            </w:pPr>
          </w:p>
        </w:tc>
        <w:tc>
          <w:tcPr>
            <w:tcW w:w="760" w:type="dxa"/>
            <w:vAlign w:val="bottom"/>
            <w:tcBorders>
              <w:top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0077C0"/>
            </w:tcBorders>
          </w:tcPr>
          <w:p>
            <w:pPr>
              <w:spacing w:after="0"/>
              <w:rPr>
                <w:sz w:val="12"/>
                <w:szCs w:val="12"/>
                <w:color w:val="auto"/>
              </w:rPr>
            </w:pPr>
          </w:p>
        </w:tc>
        <w:tc>
          <w:tcPr>
            <w:tcW w:w="600" w:type="dxa"/>
            <w:vAlign w:val="bottom"/>
            <w:tcBorders>
              <w:top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80" w:type="dxa"/>
            <w:vAlign w:val="bottom"/>
            <w:tcBorders>
              <w:top w:val="single" w:sz="8" w:color="0077C0"/>
            </w:tcBorders>
          </w:tcPr>
          <w:p>
            <w:pPr>
              <w:spacing w:after="0"/>
              <w:rPr>
                <w:sz w:val="12"/>
                <w:szCs w:val="12"/>
                <w:color w:val="auto"/>
              </w:rPr>
            </w:pPr>
          </w:p>
        </w:tc>
        <w:tc>
          <w:tcPr>
            <w:tcW w:w="960" w:type="dxa"/>
            <w:vAlign w:val="bottom"/>
            <w:tcBorders>
              <w:top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220" w:type="dxa"/>
            <w:vAlign w:val="bottom"/>
            <w:tcBorders>
              <w:top w:val="single" w:sz="8" w:color="0077C0"/>
            </w:tcBorders>
          </w:tcPr>
          <w:p>
            <w:pPr>
              <w:spacing w:after="0"/>
              <w:rPr>
                <w:sz w:val="12"/>
                <w:szCs w:val="12"/>
                <w:color w:val="auto"/>
              </w:rPr>
            </w:pPr>
          </w:p>
        </w:tc>
        <w:tc>
          <w:tcPr>
            <w:tcW w:w="720" w:type="dxa"/>
            <w:vAlign w:val="bottom"/>
            <w:tcBorders>
              <w:top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0077C0"/>
            </w:tcBorders>
          </w:tcPr>
          <w:p>
            <w:pPr>
              <w:spacing w:after="0"/>
              <w:rPr>
                <w:sz w:val="12"/>
                <w:szCs w:val="12"/>
                <w:color w:val="auto"/>
              </w:rPr>
            </w:pPr>
          </w:p>
        </w:tc>
        <w:tc>
          <w:tcPr>
            <w:tcW w:w="740" w:type="dxa"/>
            <w:vAlign w:val="bottom"/>
            <w:tcBorders>
              <w:top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93"/>
        </w:trPr>
        <w:tc>
          <w:tcPr>
            <w:tcW w:w="3580" w:type="dxa"/>
            <w:vAlign w:val="bottom"/>
            <w:tcBorders>
              <w:bottom w:val="single" w:sz="8" w:color="0077C0"/>
            </w:tcBorders>
          </w:tcPr>
          <w:p>
            <w:pPr>
              <w:ind w:left="360"/>
              <w:spacing w:after="0"/>
              <w:rPr>
                <w:sz w:val="20"/>
                <w:szCs w:val="20"/>
                <w:color w:val="auto"/>
              </w:rPr>
            </w:pPr>
            <w:r>
              <w:rPr>
                <w:rFonts w:ascii="Times New Roman" w:cs="Times New Roman" w:eastAsia="Times New Roman" w:hAnsi="Times New Roman"/>
                <w:sz w:val="14"/>
                <w:szCs w:val="14"/>
                <w:color w:val="auto"/>
              </w:rPr>
              <w:t>interests</w:t>
            </w:r>
          </w:p>
        </w:tc>
        <w:tc>
          <w:tcPr>
            <w:tcW w:w="38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vMerge w:val="continue"/>
          </w:tcPr>
          <w:p>
            <w:pPr>
              <w:spacing w:after="0"/>
              <w:rPr>
                <w:sz w:val="16"/>
                <w:szCs w:val="16"/>
                <w:color w:val="auto"/>
              </w:rPr>
            </w:pPr>
          </w:p>
        </w:tc>
        <w:tc>
          <w:tcPr>
            <w:tcW w:w="50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vMerge w:val="continue"/>
          </w:tcPr>
          <w:p>
            <w:pPr>
              <w:spacing w:after="0"/>
              <w:rPr>
                <w:sz w:val="16"/>
                <w:szCs w:val="16"/>
                <w:color w:val="auto"/>
              </w:rPr>
            </w:pPr>
          </w:p>
        </w:tc>
        <w:tc>
          <w:tcPr>
            <w:tcW w:w="380" w:type="dxa"/>
            <w:vAlign w:val="bottom"/>
            <w:tcBorders>
              <w:bottom w:val="single" w:sz="8" w:color="0077C0"/>
            </w:tcBorders>
          </w:tcPr>
          <w:p>
            <w:pPr>
              <w:spacing w:after="0"/>
              <w:rPr>
                <w:sz w:val="16"/>
                <w:szCs w:val="16"/>
                <w:color w:val="auto"/>
              </w:rPr>
            </w:pPr>
          </w:p>
        </w:tc>
        <w:tc>
          <w:tcPr>
            <w:tcW w:w="760" w:type="dxa"/>
            <w:vAlign w:val="bottom"/>
            <w:tcBorders>
              <w:bottom w:val="single" w:sz="8" w:color="0077C0"/>
            </w:tcBorders>
            <w:vMerge w:val="continue"/>
          </w:tcPr>
          <w:p>
            <w:pPr>
              <w:spacing w:after="0"/>
              <w:rPr>
                <w:sz w:val="16"/>
                <w:szCs w:val="16"/>
                <w:color w:val="auto"/>
              </w:rPr>
            </w:pPr>
          </w:p>
        </w:tc>
        <w:tc>
          <w:tcPr>
            <w:tcW w:w="52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vMerge w:val="continue"/>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960" w:type="dxa"/>
            <w:vAlign w:val="bottom"/>
            <w:tcBorders>
              <w:bottom w:val="single" w:sz="8" w:color="0077C0"/>
            </w:tcBorders>
            <w:vMerge w:val="continue"/>
          </w:tcPr>
          <w:p>
            <w:pPr>
              <w:spacing w:after="0"/>
              <w:rPr>
                <w:sz w:val="16"/>
                <w:szCs w:val="16"/>
                <w:color w:val="auto"/>
              </w:rPr>
            </w:pPr>
          </w:p>
        </w:tc>
        <w:tc>
          <w:tcPr>
            <w:tcW w:w="22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vMerge w:val="continue"/>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Attributable to Chevron Corporation</w:t>
            </w: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3,293</w:t>
            </w:r>
          </w:p>
        </w:tc>
        <w:tc>
          <w:tcPr>
            <w:tcW w:w="50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2,405</w:t>
            </w: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3,585</w:t>
            </w: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1,346</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10,629</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(705)</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9,924</w:t>
            </w:r>
          </w:p>
        </w:tc>
        <w:tc>
          <w:tcPr>
            <w:tcW w:w="0" w:type="dxa"/>
            <w:vAlign w:val="bottom"/>
          </w:tcPr>
          <w:p>
            <w:pPr>
              <w:spacing w:after="0"/>
              <w:rPr>
                <w:sz w:val="1"/>
                <w:szCs w:val="1"/>
                <w:color w:val="auto"/>
              </w:rPr>
            </w:pPr>
          </w:p>
        </w:tc>
      </w:tr>
      <w:tr>
        <w:trPr>
          <w:trHeight w:val="20"/>
        </w:trPr>
        <w:tc>
          <w:tcPr>
            <w:tcW w:w="3580" w:type="dxa"/>
            <w:vAlign w:val="bottom"/>
            <w:shd w:val="clear" w:color="auto" w:fill="0077C0"/>
          </w:tcPr>
          <w:p>
            <w:pPr>
              <w:spacing w:after="0" w:line="20" w:lineRule="exact"/>
              <w:rPr>
                <w:sz w:val="1"/>
                <w:szCs w:val="1"/>
                <w:color w:val="auto"/>
              </w:rPr>
            </w:pPr>
          </w:p>
        </w:tc>
        <w:tc>
          <w:tcPr>
            <w:tcW w:w="380" w:type="dxa"/>
            <w:vAlign w:val="bottom"/>
            <w:shd w:val="clear" w:color="auto" w:fill="0077C0"/>
          </w:tcPr>
          <w:p>
            <w:pPr>
              <w:spacing w:after="0" w:line="20" w:lineRule="exact"/>
              <w:rPr>
                <w:sz w:val="1"/>
                <w:szCs w:val="1"/>
                <w:color w:val="auto"/>
              </w:rPr>
            </w:pPr>
          </w:p>
        </w:tc>
        <w:tc>
          <w:tcPr>
            <w:tcW w:w="740" w:type="dxa"/>
            <w:vAlign w:val="bottom"/>
            <w:shd w:val="clear" w:color="auto" w:fill="0077C0"/>
          </w:tcPr>
          <w:p>
            <w:pPr>
              <w:spacing w:after="0" w:line="20" w:lineRule="exact"/>
              <w:rPr>
                <w:sz w:val="1"/>
                <w:szCs w:val="1"/>
                <w:color w:val="auto"/>
              </w:rPr>
            </w:pPr>
          </w:p>
        </w:tc>
        <w:tc>
          <w:tcPr>
            <w:tcW w:w="500" w:type="dxa"/>
            <w:vAlign w:val="bottom"/>
            <w:shd w:val="clear" w:color="auto" w:fill="0077C0"/>
          </w:tcPr>
          <w:p>
            <w:pPr>
              <w:spacing w:after="0" w:line="20" w:lineRule="exact"/>
              <w:rPr>
                <w:sz w:val="1"/>
                <w:szCs w:val="1"/>
                <w:color w:val="auto"/>
              </w:rPr>
            </w:pPr>
          </w:p>
        </w:tc>
        <w:tc>
          <w:tcPr>
            <w:tcW w:w="640" w:type="dxa"/>
            <w:vAlign w:val="bottom"/>
            <w:shd w:val="clear" w:color="auto" w:fill="0077C0"/>
          </w:tcPr>
          <w:p>
            <w:pPr>
              <w:spacing w:after="0" w:line="20" w:lineRule="exact"/>
              <w:rPr>
                <w:sz w:val="1"/>
                <w:szCs w:val="1"/>
                <w:color w:val="auto"/>
              </w:rPr>
            </w:pPr>
          </w:p>
        </w:tc>
        <w:tc>
          <w:tcPr>
            <w:tcW w:w="380" w:type="dxa"/>
            <w:vAlign w:val="bottom"/>
            <w:shd w:val="clear" w:color="auto" w:fill="0077C0"/>
          </w:tcPr>
          <w:p>
            <w:pPr>
              <w:spacing w:after="0" w:line="20" w:lineRule="exact"/>
              <w:rPr>
                <w:sz w:val="1"/>
                <w:szCs w:val="1"/>
                <w:color w:val="auto"/>
              </w:rPr>
            </w:pPr>
          </w:p>
        </w:tc>
        <w:tc>
          <w:tcPr>
            <w:tcW w:w="760" w:type="dxa"/>
            <w:vAlign w:val="bottom"/>
            <w:shd w:val="clear" w:color="auto" w:fill="0077C0"/>
          </w:tcPr>
          <w:p>
            <w:pPr>
              <w:spacing w:after="0" w:line="20" w:lineRule="exact"/>
              <w:rPr>
                <w:sz w:val="1"/>
                <w:szCs w:val="1"/>
                <w:color w:val="auto"/>
              </w:rPr>
            </w:pPr>
          </w:p>
        </w:tc>
        <w:tc>
          <w:tcPr>
            <w:tcW w:w="520" w:type="dxa"/>
            <w:vAlign w:val="bottom"/>
            <w:shd w:val="clear" w:color="auto" w:fill="0077C0"/>
          </w:tcPr>
          <w:p>
            <w:pPr>
              <w:spacing w:after="0" w:line="20" w:lineRule="exact"/>
              <w:rPr>
                <w:sz w:val="1"/>
                <w:szCs w:val="1"/>
                <w:color w:val="auto"/>
              </w:rPr>
            </w:pPr>
          </w:p>
        </w:tc>
        <w:tc>
          <w:tcPr>
            <w:tcW w:w="600" w:type="dxa"/>
            <w:vAlign w:val="bottom"/>
            <w:shd w:val="clear" w:color="auto" w:fill="0077C0"/>
          </w:tcPr>
          <w:p>
            <w:pPr>
              <w:spacing w:after="0" w:line="20" w:lineRule="exact"/>
              <w:rPr>
                <w:sz w:val="1"/>
                <w:szCs w:val="1"/>
                <w:color w:val="auto"/>
              </w:rPr>
            </w:pPr>
          </w:p>
        </w:tc>
        <w:tc>
          <w:tcPr>
            <w:tcW w:w="180" w:type="dxa"/>
            <w:vAlign w:val="bottom"/>
            <w:shd w:val="clear" w:color="auto" w:fill="0077C0"/>
          </w:tcPr>
          <w:p>
            <w:pPr>
              <w:spacing w:after="0" w:line="20" w:lineRule="exact"/>
              <w:rPr>
                <w:sz w:val="1"/>
                <w:szCs w:val="1"/>
                <w:color w:val="auto"/>
              </w:rPr>
            </w:pPr>
          </w:p>
        </w:tc>
        <w:tc>
          <w:tcPr>
            <w:tcW w:w="960" w:type="dxa"/>
            <w:vAlign w:val="bottom"/>
            <w:shd w:val="clear" w:color="auto" w:fill="0077C0"/>
          </w:tcPr>
          <w:p>
            <w:pPr>
              <w:spacing w:after="0" w:line="20" w:lineRule="exact"/>
              <w:rPr>
                <w:sz w:val="1"/>
                <w:szCs w:val="1"/>
                <w:color w:val="auto"/>
              </w:rPr>
            </w:pPr>
          </w:p>
        </w:tc>
        <w:tc>
          <w:tcPr>
            <w:tcW w:w="220" w:type="dxa"/>
            <w:vAlign w:val="bottom"/>
            <w:shd w:val="clear" w:color="auto" w:fill="0077C0"/>
          </w:tcPr>
          <w:p>
            <w:pPr>
              <w:spacing w:after="0" w:line="20" w:lineRule="exact"/>
              <w:rPr>
                <w:sz w:val="1"/>
                <w:szCs w:val="1"/>
                <w:color w:val="auto"/>
              </w:rPr>
            </w:pPr>
          </w:p>
        </w:tc>
        <w:tc>
          <w:tcPr>
            <w:tcW w:w="720" w:type="dxa"/>
            <w:vAlign w:val="bottom"/>
            <w:shd w:val="clear" w:color="auto" w:fill="0077C0"/>
          </w:tcPr>
          <w:p>
            <w:pPr>
              <w:spacing w:after="0" w:line="20" w:lineRule="exact"/>
              <w:rPr>
                <w:sz w:val="1"/>
                <w:szCs w:val="1"/>
                <w:color w:val="auto"/>
              </w:rPr>
            </w:pPr>
          </w:p>
        </w:tc>
        <w:tc>
          <w:tcPr>
            <w:tcW w:w="320" w:type="dxa"/>
            <w:vAlign w:val="bottom"/>
            <w:shd w:val="clear" w:color="auto" w:fill="0077C0"/>
          </w:tcPr>
          <w:p>
            <w:pPr>
              <w:spacing w:after="0" w:line="20" w:lineRule="exact"/>
              <w:rPr>
                <w:sz w:val="1"/>
                <w:szCs w:val="1"/>
                <w:color w:val="auto"/>
              </w:rPr>
            </w:pPr>
          </w:p>
        </w:tc>
        <w:tc>
          <w:tcPr>
            <w:tcW w:w="740" w:type="dxa"/>
            <w:vAlign w:val="bottom"/>
            <w:shd w:val="clear" w:color="auto" w:fill="0077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Values presented in millions of dollars and have been adjusted for eliminations, unless otherwise specified.</w:t>
      </w:r>
    </w:p>
    <w:p>
      <w:pPr>
        <w:spacing w:after="0" w:line="72" w:lineRule="exact"/>
        <w:rPr>
          <w:sz w:val="20"/>
          <w:szCs w:val="20"/>
          <w:color w:val="auto"/>
        </w:rPr>
      </w:pPr>
    </w:p>
    <w:p>
      <w:pPr>
        <w:ind w:left="160" w:hanging="120"/>
        <w:spacing w:after="0"/>
        <w:tabs>
          <w:tab w:leader="none" w:pos="160" w:val="left"/>
        </w:tabs>
        <w:numPr>
          <w:ilvl w:val="1"/>
          <w:numId w:val="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Includes interest income of $93 in “All Other.”</w:t>
      </w:r>
    </w:p>
    <w:p>
      <w:pPr>
        <w:spacing w:after="0" w:line="146" w:lineRule="exact"/>
        <w:rPr>
          <w:rFonts w:ascii="Times New Roman" w:cs="Times New Roman" w:eastAsia="Times New Roman" w:hAnsi="Times New Roman"/>
          <w:sz w:val="15"/>
          <w:szCs w:val="15"/>
          <w:color w:val="auto"/>
          <w:vertAlign w:val="superscript"/>
        </w:rPr>
      </w:pPr>
    </w:p>
    <w:p>
      <w:pPr>
        <w:ind w:left="140" w:hanging="114"/>
        <w:spacing w:after="0"/>
        <w:tabs>
          <w:tab w:leader="none" w:pos="140" w:val="left"/>
        </w:tabs>
        <w:numPr>
          <w:ilvl w:val="0"/>
          <w:numId w:val="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Valuation of product transfers between operating segments.</w:t>
      </w:r>
    </w:p>
    <w:p>
      <w:pPr>
        <w:spacing w:after="0" w:line="163" w:lineRule="exact"/>
        <w:rPr>
          <w:rFonts w:ascii="Times New Roman" w:cs="Times New Roman" w:eastAsia="Times New Roman" w:hAnsi="Times New Roman"/>
          <w:sz w:val="14"/>
          <w:szCs w:val="14"/>
          <w:color w:val="auto"/>
          <w:vertAlign w:val="superscript"/>
        </w:rPr>
      </w:pPr>
    </w:p>
    <w:p>
      <w:pPr>
        <w:ind w:left="140" w:hanging="114"/>
        <w:spacing w:after="0"/>
        <w:tabs>
          <w:tab w:leader="none" w:pos="140" w:val="left"/>
        </w:tabs>
        <w:numPr>
          <w:ilvl w:val="0"/>
          <w:numId w:val="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interest expense of $244 in “All Other.”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Upstream</w:t>
            </w: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Downstream</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Int’l.</w:t>
            </w: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5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Int’l.</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Segment Total</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58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other operating revenues before elimination</w:t>
            </w: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12,161</w:t>
            </w:r>
          </w:p>
        </w:tc>
        <w:tc>
          <w:tcPr>
            <w:tcW w:w="50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12,118</w:t>
            </w: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18,234</w:t>
            </w: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59,996</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60,132</w:t>
            </w:r>
          </w:p>
        </w:tc>
        <w:tc>
          <w:tcPr>
            <w:tcW w:w="0" w:type="dxa"/>
            <w:vAlign w:val="bottom"/>
          </w:tcPr>
          <w:p>
            <w:pPr>
              <w:spacing w:after="0"/>
              <w:rPr>
                <w:sz w:val="1"/>
                <w:szCs w:val="1"/>
                <w:color w:val="auto"/>
              </w:rPr>
            </w:pPr>
          </w:p>
        </w:tc>
      </w:tr>
      <w:tr>
        <w:trPr>
          <w:trHeight w:val="19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Intersegment revenue elimination</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(6,538)</w:t>
            </w: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(2,576)</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5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(11,851)</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(11,963)</w:t>
            </w:r>
          </w:p>
        </w:tc>
        <w:tc>
          <w:tcPr>
            <w:tcW w:w="0" w:type="dxa"/>
            <w:vAlign w:val="bottom"/>
          </w:tcPr>
          <w:p>
            <w:pPr>
              <w:spacing w:after="0"/>
              <w:rPr>
                <w:sz w:val="1"/>
                <w:szCs w:val="1"/>
                <w:color w:val="auto"/>
              </w:rPr>
            </w:pPr>
          </w:p>
        </w:tc>
      </w:tr>
      <w:tr>
        <w:trPr>
          <w:trHeight w:val="23"/>
        </w:trPr>
        <w:tc>
          <w:tcPr>
            <w:tcW w:w="358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Sales and Other Operating Revenues</w:t>
            </w:r>
          </w:p>
        </w:tc>
        <w:tc>
          <w:tcPr>
            <w:tcW w:w="3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5,623</w:t>
            </w:r>
          </w:p>
        </w:tc>
        <w:tc>
          <w:tcPr>
            <w:tcW w:w="5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9,542</w:t>
            </w:r>
          </w:p>
        </w:tc>
        <w:tc>
          <w:tcPr>
            <w:tcW w:w="3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16,587</w:t>
            </w:r>
          </w:p>
        </w:tc>
        <w:tc>
          <w:tcPr>
            <w:tcW w:w="5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16,393</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48,145</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c>
          <w:tcPr>
            <w:tcW w:w="3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48,169</w:t>
            </w:r>
          </w:p>
        </w:tc>
        <w:tc>
          <w:tcPr>
            <w:tcW w:w="0" w:type="dxa"/>
            <w:vAlign w:val="bottom"/>
          </w:tcPr>
          <w:p>
            <w:pPr>
              <w:spacing w:after="0"/>
              <w:rPr>
                <w:sz w:val="1"/>
                <w:szCs w:val="1"/>
                <w:color w:val="auto"/>
              </w:rPr>
            </w:pPr>
          </w:p>
        </w:tc>
      </w:tr>
      <w:tr>
        <w:trPr>
          <w:trHeight w:val="75"/>
        </w:trPr>
        <w:tc>
          <w:tcPr>
            <w:tcW w:w="3580" w:type="dxa"/>
            <w:vAlign w:val="bottom"/>
            <w:tcBorders>
              <w:top w:val="single" w:sz="8" w:color="0077C0"/>
            </w:tcBorders>
          </w:tcPr>
          <w:p>
            <w:pPr>
              <w:spacing w:after="0"/>
              <w:rPr>
                <w:sz w:val="6"/>
                <w:szCs w:val="6"/>
                <w:color w:val="auto"/>
              </w:rPr>
            </w:pPr>
          </w:p>
        </w:tc>
        <w:tc>
          <w:tcPr>
            <w:tcW w:w="380" w:type="dxa"/>
            <w:vAlign w:val="bottom"/>
            <w:tcBorders>
              <w:top w:val="single" w:sz="8" w:color="0077C0"/>
            </w:tcBorders>
          </w:tcPr>
          <w:p>
            <w:pPr>
              <w:spacing w:after="0"/>
              <w:rPr>
                <w:sz w:val="6"/>
                <w:szCs w:val="6"/>
                <w:color w:val="auto"/>
              </w:rPr>
            </w:pPr>
          </w:p>
        </w:tc>
        <w:tc>
          <w:tcPr>
            <w:tcW w:w="740" w:type="dxa"/>
            <w:vAlign w:val="bottom"/>
            <w:tcBorders>
              <w:top w:val="single" w:sz="8" w:color="0077C0"/>
            </w:tcBorders>
          </w:tcPr>
          <w:p>
            <w:pPr>
              <w:spacing w:after="0"/>
              <w:rPr>
                <w:sz w:val="6"/>
                <w:szCs w:val="6"/>
                <w:color w:val="auto"/>
              </w:rPr>
            </w:pPr>
          </w:p>
        </w:tc>
        <w:tc>
          <w:tcPr>
            <w:tcW w:w="500" w:type="dxa"/>
            <w:vAlign w:val="bottom"/>
            <w:tcBorders>
              <w:top w:val="single" w:sz="8" w:color="0077C0"/>
            </w:tcBorders>
          </w:tcPr>
          <w:p>
            <w:pPr>
              <w:spacing w:after="0"/>
              <w:rPr>
                <w:sz w:val="6"/>
                <w:szCs w:val="6"/>
                <w:color w:val="auto"/>
              </w:rPr>
            </w:pPr>
          </w:p>
        </w:tc>
        <w:tc>
          <w:tcPr>
            <w:tcW w:w="640" w:type="dxa"/>
            <w:vAlign w:val="bottom"/>
            <w:tcBorders>
              <w:top w:val="single" w:sz="8" w:color="0077C0"/>
            </w:tcBorders>
          </w:tcPr>
          <w:p>
            <w:pPr>
              <w:spacing w:after="0"/>
              <w:rPr>
                <w:sz w:val="6"/>
                <w:szCs w:val="6"/>
                <w:color w:val="auto"/>
              </w:rPr>
            </w:pPr>
          </w:p>
        </w:tc>
        <w:tc>
          <w:tcPr>
            <w:tcW w:w="380" w:type="dxa"/>
            <w:vAlign w:val="bottom"/>
            <w:tcBorders>
              <w:top w:val="single" w:sz="8" w:color="0077C0"/>
            </w:tcBorders>
          </w:tcPr>
          <w:p>
            <w:pPr>
              <w:spacing w:after="0"/>
              <w:rPr>
                <w:sz w:val="6"/>
                <w:szCs w:val="6"/>
                <w:color w:val="auto"/>
              </w:rPr>
            </w:pPr>
          </w:p>
        </w:tc>
        <w:tc>
          <w:tcPr>
            <w:tcW w:w="760" w:type="dxa"/>
            <w:vAlign w:val="bottom"/>
            <w:tcBorders>
              <w:top w:val="single" w:sz="8" w:color="0077C0"/>
            </w:tcBorders>
          </w:tcPr>
          <w:p>
            <w:pPr>
              <w:spacing w:after="0"/>
              <w:rPr>
                <w:sz w:val="6"/>
                <w:szCs w:val="6"/>
                <w:color w:val="auto"/>
              </w:rPr>
            </w:pPr>
          </w:p>
        </w:tc>
        <w:tc>
          <w:tcPr>
            <w:tcW w:w="520" w:type="dxa"/>
            <w:vAlign w:val="bottom"/>
            <w:tcBorders>
              <w:top w:val="single" w:sz="8" w:color="0077C0"/>
            </w:tcBorders>
          </w:tcPr>
          <w:p>
            <w:pPr>
              <w:spacing w:after="0"/>
              <w:rPr>
                <w:sz w:val="6"/>
                <w:szCs w:val="6"/>
                <w:color w:val="auto"/>
              </w:rPr>
            </w:pPr>
          </w:p>
        </w:tc>
        <w:tc>
          <w:tcPr>
            <w:tcW w:w="600" w:type="dxa"/>
            <w:vAlign w:val="bottom"/>
            <w:tcBorders>
              <w:top w:val="single" w:sz="8" w:color="0077C0"/>
            </w:tcBorders>
          </w:tcPr>
          <w:p>
            <w:pPr>
              <w:spacing w:after="0"/>
              <w:rPr>
                <w:sz w:val="6"/>
                <w:szCs w:val="6"/>
                <w:color w:val="auto"/>
              </w:rPr>
            </w:pPr>
          </w:p>
        </w:tc>
        <w:tc>
          <w:tcPr>
            <w:tcW w:w="160" w:type="dxa"/>
            <w:vAlign w:val="bottom"/>
            <w:tcBorders>
              <w:top w:val="single" w:sz="8" w:color="0077C0"/>
            </w:tcBorders>
          </w:tcPr>
          <w:p>
            <w:pPr>
              <w:spacing w:after="0"/>
              <w:rPr>
                <w:sz w:val="6"/>
                <w:szCs w:val="6"/>
                <w:color w:val="auto"/>
              </w:rPr>
            </w:pPr>
          </w:p>
        </w:tc>
        <w:tc>
          <w:tcPr>
            <w:tcW w:w="960" w:type="dxa"/>
            <w:vAlign w:val="bottom"/>
            <w:tcBorders>
              <w:top w:val="single" w:sz="8" w:color="0077C0"/>
            </w:tcBorders>
          </w:tcPr>
          <w:p>
            <w:pPr>
              <w:spacing w:after="0"/>
              <w:rPr>
                <w:sz w:val="6"/>
                <w:szCs w:val="6"/>
                <w:color w:val="auto"/>
              </w:rPr>
            </w:pPr>
          </w:p>
        </w:tc>
        <w:tc>
          <w:tcPr>
            <w:tcW w:w="200" w:type="dxa"/>
            <w:vAlign w:val="bottom"/>
            <w:tcBorders>
              <w:top w:val="single" w:sz="8" w:color="0077C0"/>
            </w:tcBorders>
          </w:tcPr>
          <w:p>
            <w:pPr>
              <w:spacing w:after="0"/>
              <w:rPr>
                <w:sz w:val="6"/>
                <w:szCs w:val="6"/>
                <w:color w:val="auto"/>
              </w:rPr>
            </w:pPr>
          </w:p>
        </w:tc>
        <w:tc>
          <w:tcPr>
            <w:tcW w:w="740" w:type="dxa"/>
            <w:vAlign w:val="bottom"/>
            <w:tcBorders>
              <w:top w:val="single" w:sz="8" w:color="0077C0"/>
            </w:tcBorders>
          </w:tcPr>
          <w:p>
            <w:pPr>
              <w:spacing w:after="0"/>
              <w:rPr>
                <w:sz w:val="6"/>
                <w:szCs w:val="6"/>
                <w:color w:val="auto"/>
              </w:rPr>
            </w:pPr>
          </w:p>
        </w:tc>
        <w:tc>
          <w:tcPr>
            <w:tcW w:w="320" w:type="dxa"/>
            <w:vAlign w:val="bottom"/>
            <w:tcBorders>
              <w:top w:val="single" w:sz="8" w:color="0077C0"/>
            </w:tcBorders>
          </w:tcPr>
          <w:p>
            <w:pPr>
              <w:spacing w:after="0"/>
              <w:rPr>
                <w:sz w:val="6"/>
                <w:szCs w:val="6"/>
                <w:color w:val="auto"/>
              </w:rPr>
            </w:pPr>
          </w:p>
        </w:tc>
        <w:tc>
          <w:tcPr>
            <w:tcW w:w="760" w:type="dxa"/>
            <w:vAlign w:val="bottom"/>
            <w:tcBorders>
              <w:top w:val="single" w:sz="8" w:color="0077C0"/>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equity affiliates</w:t>
            </w:r>
          </w:p>
        </w:tc>
        <w:tc>
          <w:tcPr>
            <w:tcW w:w="3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5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3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5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0" w:type="dxa"/>
            <w:vAlign w:val="bottom"/>
          </w:tcPr>
          <w:p>
            <w:pPr>
              <w:spacing w:after="0"/>
              <w:rPr>
                <w:sz w:val="1"/>
                <w:szCs w:val="1"/>
                <w:color w:val="auto"/>
              </w:rPr>
            </w:pPr>
          </w:p>
        </w:tc>
      </w:tr>
      <w:tr>
        <w:trPr>
          <w:trHeight w:val="19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(loss)</w:t>
            </w:r>
            <w:r>
              <w:rPr>
                <w:rFonts w:ascii="Times New Roman" w:cs="Times New Roman" w:eastAsia="Times New Roman" w:hAnsi="Times New Roman"/>
                <w:sz w:val="9"/>
                <w:szCs w:val="9"/>
                <w:color w:val="auto"/>
              </w:rPr>
              <w:t>(1)</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5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0" w:type="dxa"/>
            <w:vAlign w:val="bottom"/>
          </w:tcPr>
          <w:p>
            <w:pPr>
              <w:spacing w:after="0"/>
              <w:rPr>
                <w:sz w:val="1"/>
                <w:szCs w:val="1"/>
                <w:color w:val="auto"/>
              </w:rPr>
            </w:pPr>
          </w:p>
        </w:tc>
      </w:tr>
      <w:tr>
        <w:trPr>
          <w:trHeight w:val="23"/>
        </w:trPr>
        <w:tc>
          <w:tcPr>
            <w:tcW w:w="358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 and Other Income</w:t>
            </w:r>
          </w:p>
        </w:tc>
        <w:tc>
          <w:tcPr>
            <w:tcW w:w="3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5,760</w:t>
            </w:r>
          </w:p>
        </w:tc>
        <w:tc>
          <w:tcPr>
            <w:tcW w:w="5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10,359</w:t>
            </w:r>
          </w:p>
        </w:tc>
        <w:tc>
          <w:tcPr>
            <w:tcW w:w="3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16,838</w:t>
            </w:r>
          </w:p>
        </w:tc>
        <w:tc>
          <w:tcPr>
            <w:tcW w:w="5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16,483</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49,440</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w:t>
            </w:r>
          </w:p>
        </w:tc>
        <w:tc>
          <w:tcPr>
            <w:tcW w:w="3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49,726</w:t>
            </w:r>
          </w:p>
        </w:tc>
        <w:tc>
          <w:tcPr>
            <w:tcW w:w="0" w:type="dxa"/>
            <w:vAlign w:val="bottom"/>
          </w:tcPr>
          <w:p>
            <w:pPr>
              <w:spacing w:after="0"/>
              <w:rPr>
                <w:sz w:val="1"/>
                <w:szCs w:val="1"/>
                <w:color w:val="auto"/>
              </w:rPr>
            </w:pPr>
          </w:p>
        </w:tc>
      </w:tr>
      <w:tr>
        <w:trPr>
          <w:trHeight w:val="75"/>
        </w:trPr>
        <w:tc>
          <w:tcPr>
            <w:tcW w:w="3580" w:type="dxa"/>
            <w:vAlign w:val="bottom"/>
            <w:tcBorders>
              <w:top w:val="single" w:sz="8" w:color="0077C0"/>
            </w:tcBorders>
          </w:tcPr>
          <w:p>
            <w:pPr>
              <w:spacing w:after="0"/>
              <w:rPr>
                <w:sz w:val="6"/>
                <w:szCs w:val="6"/>
                <w:color w:val="auto"/>
              </w:rPr>
            </w:pPr>
          </w:p>
        </w:tc>
        <w:tc>
          <w:tcPr>
            <w:tcW w:w="380" w:type="dxa"/>
            <w:vAlign w:val="bottom"/>
            <w:tcBorders>
              <w:top w:val="single" w:sz="8" w:color="0077C0"/>
            </w:tcBorders>
          </w:tcPr>
          <w:p>
            <w:pPr>
              <w:spacing w:after="0"/>
              <w:rPr>
                <w:sz w:val="6"/>
                <w:szCs w:val="6"/>
                <w:color w:val="auto"/>
              </w:rPr>
            </w:pPr>
          </w:p>
        </w:tc>
        <w:tc>
          <w:tcPr>
            <w:tcW w:w="740" w:type="dxa"/>
            <w:vAlign w:val="bottom"/>
            <w:tcBorders>
              <w:top w:val="single" w:sz="8" w:color="0077C0"/>
            </w:tcBorders>
          </w:tcPr>
          <w:p>
            <w:pPr>
              <w:spacing w:after="0"/>
              <w:rPr>
                <w:sz w:val="6"/>
                <w:szCs w:val="6"/>
                <w:color w:val="auto"/>
              </w:rPr>
            </w:pPr>
          </w:p>
        </w:tc>
        <w:tc>
          <w:tcPr>
            <w:tcW w:w="500" w:type="dxa"/>
            <w:vAlign w:val="bottom"/>
            <w:tcBorders>
              <w:top w:val="single" w:sz="8" w:color="0077C0"/>
            </w:tcBorders>
          </w:tcPr>
          <w:p>
            <w:pPr>
              <w:spacing w:after="0"/>
              <w:rPr>
                <w:sz w:val="6"/>
                <w:szCs w:val="6"/>
                <w:color w:val="auto"/>
              </w:rPr>
            </w:pPr>
          </w:p>
        </w:tc>
        <w:tc>
          <w:tcPr>
            <w:tcW w:w="640" w:type="dxa"/>
            <w:vAlign w:val="bottom"/>
            <w:tcBorders>
              <w:top w:val="single" w:sz="8" w:color="0077C0"/>
            </w:tcBorders>
          </w:tcPr>
          <w:p>
            <w:pPr>
              <w:spacing w:after="0"/>
              <w:rPr>
                <w:sz w:val="6"/>
                <w:szCs w:val="6"/>
                <w:color w:val="auto"/>
              </w:rPr>
            </w:pPr>
          </w:p>
        </w:tc>
        <w:tc>
          <w:tcPr>
            <w:tcW w:w="380" w:type="dxa"/>
            <w:vAlign w:val="bottom"/>
            <w:tcBorders>
              <w:top w:val="single" w:sz="8" w:color="0077C0"/>
            </w:tcBorders>
          </w:tcPr>
          <w:p>
            <w:pPr>
              <w:spacing w:after="0"/>
              <w:rPr>
                <w:sz w:val="6"/>
                <w:szCs w:val="6"/>
                <w:color w:val="auto"/>
              </w:rPr>
            </w:pPr>
          </w:p>
        </w:tc>
        <w:tc>
          <w:tcPr>
            <w:tcW w:w="760" w:type="dxa"/>
            <w:vAlign w:val="bottom"/>
            <w:tcBorders>
              <w:top w:val="single" w:sz="8" w:color="0077C0"/>
            </w:tcBorders>
          </w:tcPr>
          <w:p>
            <w:pPr>
              <w:spacing w:after="0"/>
              <w:rPr>
                <w:sz w:val="6"/>
                <w:szCs w:val="6"/>
                <w:color w:val="auto"/>
              </w:rPr>
            </w:pPr>
          </w:p>
        </w:tc>
        <w:tc>
          <w:tcPr>
            <w:tcW w:w="520" w:type="dxa"/>
            <w:vAlign w:val="bottom"/>
            <w:tcBorders>
              <w:top w:val="single" w:sz="8" w:color="0077C0"/>
            </w:tcBorders>
          </w:tcPr>
          <w:p>
            <w:pPr>
              <w:spacing w:after="0"/>
              <w:rPr>
                <w:sz w:val="6"/>
                <w:szCs w:val="6"/>
                <w:color w:val="auto"/>
              </w:rPr>
            </w:pPr>
          </w:p>
        </w:tc>
        <w:tc>
          <w:tcPr>
            <w:tcW w:w="600" w:type="dxa"/>
            <w:vAlign w:val="bottom"/>
            <w:tcBorders>
              <w:top w:val="single" w:sz="8" w:color="0077C0"/>
            </w:tcBorders>
          </w:tcPr>
          <w:p>
            <w:pPr>
              <w:spacing w:after="0"/>
              <w:rPr>
                <w:sz w:val="6"/>
                <w:szCs w:val="6"/>
                <w:color w:val="auto"/>
              </w:rPr>
            </w:pPr>
          </w:p>
        </w:tc>
        <w:tc>
          <w:tcPr>
            <w:tcW w:w="160" w:type="dxa"/>
            <w:vAlign w:val="bottom"/>
            <w:tcBorders>
              <w:top w:val="single" w:sz="8" w:color="0077C0"/>
            </w:tcBorders>
          </w:tcPr>
          <w:p>
            <w:pPr>
              <w:spacing w:after="0"/>
              <w:rPr>
                <w:sz w:val="6"/>
                <w:szCs w:val="6"/>
                <w:color w:val="auto"/>
              </w:rPr>
            </w:pPr>
          </w:p>
        </w:tc>
        <w:tc>
          <w:tcPr>
            <w:tcW w:w="960" w:type="dxa"/>
            <w:vAlign w:val="bottom"/>
            <w:tcBorders>
              <w:top w:val="single" w:sz="8" w:color="0077C0"/>
            </w:tcBorders>
          </w:tcPr>
          <w:p>
            <w:pPr>
              <w:spacing w:after="0"/>
              <w:rPr>
                <w:sz w:val="6"/>
                <w:szCs w:val="6"/>
                <w:color w:val="auto"/>
              </w:rPr>
            </w:pPr>
          </w:p>
        </w:tc>
        <w:tc>
          <w:tcPr>
            <w:tcW w:w="200" w:type="dxa"/>
            <w:vAlign w:val="bottom"/>
            <w:tcBorders>
              <w:top w:val="single" w:sz="8" w:color="0077C0"/>
            </w:tcBorders>
          </w:tcPr>
          <w:p>
            <w:pPr>
              <w:spacing w:after="0"/>
              <w:rPr>
                <w:sz w:val="6"/>
                <w:szCs w:val="6"/>
                <w:color w:val="auto"/>
              </w:rPr>
            </w:pPr>
          </w:p>
        </w:tc>
        <w:tc>
          <w:tcPr>
            <w:tcW w:w="740" w:type="dxa"/>
            <w:vAlign w:val="bottom"/>
            <w:tcBorders>
              <w:top w:val="single" w:sz="8" w:color="0077C0"/>
            </w:tcBorders>
          </w:tcPr>
          <w:p>
            <w:pPr>
              <w:spacing w:after="0"/>
              <w:rPr>
                <w:sz w:val="6"/>
                <w:szCs w:val="6"/>
                <w:color w:val="auto"/>
              </w:rPr>
            </w:pPr>
          </w:p>
        </w:tc>
        <w:tc>
          <w:tcPr>
            <w:tcW w:w="320" w:type="dxa"/>
            <w:vAlign w:val="bottom"/>
            <w:tcBorders>
              <w:top w:val="single" w:sz="8" w:color="0077C0"/>
            </w:tcBorders>
          </w:tcPr>
          <w:p>
            <w:pPr>
              <w:spacing w:after="0"/>
              <w:rPr>
                <w:sz w:val="6"/>
                <w:szCs w:val="6"/>
                <w:color w:val="auto"/>
              </w:rPr>
            </w:pPr>
          </w:p>
        </w:tc>
        <w:tc>
          <w:tcPr>
            <w:tcW w:w="760" w:type="dxa"/>
            <w:vAlign w:val="bottom"/>
            <w:tcBorders>
              <w:top w:val="single" w:sz="8" w:color="0077C0"/>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Intersegment product transfers</w:t>
            </w:r>
            <w:r>
              <w:rPr>
                <w:rFonts w:ascii="Times New Roman" w:cs="Times New Roman" w:eastAsia="Times New Roman" w:hAnsi="Times New Roman"/>
                <w:sz w:val="9"/>
                <w:szCs w:val="9"/>
                <w:color w:val="auto"/>
              </w:rPr>
              <w:t>(2)</w:t>
            </w:r>
          </w:p>
        </w:tc>
        <w:tc>
          <w:tcPr>
            <w:tcW w:w="3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6,179</w:t>
            </w:r>
          </w:p>
        </w:tc>
        <w:tc>
          <w:tcPr>
            <w:tcW w:w="5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3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(6,687)</w:t>
            </w:r>
          </w:p>
        </w:tc>
        <w:tc>
          <w:tcPr>
            <w:tcW w:w="5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3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Less expenses:</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Purchased crude oil and products</w:t>
            </w:r>
          </w:p>
        </w:tc>
        <w:tc>
          <w:tcPr>
            <w:tcW w:w="3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3,768</w:t>
            </w:r>
          </w:p>
        </w:tc>
        <w:tc>
          <w:tcPr>
            <w:tcW w:w="5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3,437</w:t>
            </w:r>
          </w:p>
        </w:tc>
        <w:tc>
          <w:tcPr>
            <w:tcW w:w="3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6,794</w:t>
            </w:r>
          </w:p>
        </w:tc>
        <w:tc>
          <w:tcPr>
            <w:tcW w:w="5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13,399</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27,398</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27,398</w:t>
            </w:r>
          </w:p>
        </w:tc>
        <w:tc>
          <w:tcPr>
            <w:tcW w:w="0" w:type="dxa"/>
            <w:vAlign w:val="bottom"/>
          </w:tcPr>
          <w:p>
            <w:pPr>
              <w:spacing w:after="0"/>
              <w:rPr>
                <w:sz w:val="1"/>
                <w:szCs w:val="1"/>
                <w:color w:val="auto"/>
              </w:rPr>
            </w:pPr>
          </w:p>
        </w:tc>
      </w:tr>
      <w:tr>
        <w:trPr>
          <w:trHeight w:val="19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and SG&amp;A expenses</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3,276</w:t>
            </w: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2,148</w:t>
            </w:r>
          </w:p>
        </w:tc>
        <w:tc>
          <w:tcPr>
            <w:tcW w:w="5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8,493</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9,128</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3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w:t>
            </w:r>
          </w:p>
        </w:tc>
        <w:tc>
          <w:tcPr>
            <w:tcW w:w="5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2,583</w:t>
            </w:r>
          </w:p>
        </w:tc>
        <w:tc>
          <w:tcPr>
            <w:tcW w:w="3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5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5,719</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3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5,781</w:t>
            </w:r>
          </w:p>
        </w:tc>
        <w:tc>
          <w:tcPr>
            <w:tcW w:w="0" w:type="dxa"/>
            <w:vAlign w:val="bottom"/>
          </w:tcPr>
          <w:p>
            <w:pPr>
              <w:spacing w:after="0"/>
              <w:rPr>
                <w:sz w:val="1"/>
                <w:szCs w:val="1"/>
                <w:color w:val="auto"/>
              </w:rPr>
            </w:pPr>
          </w:p>
        </w:tc>
      </w:tr>
      <w:tr>
        <w:trPr>
          <w:trHeight w:val="19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costs and deductions</w:t>
            </w:r>
            <w:r>
              <w:rPr>
                <w:rFonts w:ascii="Times New Roman" w:cs="Times New Roman" w:eastAsia="Times New Roman" w:hAnsi="Times New Roman"/>
                <w:sz w:val="9"/>
                <w:szCs w:val="9"/>
                <w:color w:val="auto"/>
              </w:rPr>
              <w:t>(3)</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5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0" w:type="dxa"/>
            <w:vAlign w:val="bottom"/>
          </w:tcPr>
          <w:p>
            <w:pPr>
              <w:spacing w:after="0"/>
              <w:rPr>
                <w:sz w:val="1"/>
                <w:szCs w:val="1"/>
                <w:color w:val="auto"/>
              </w:rPr>
            </w:pPr>
          </w:p>
        </w:tc>
      </w:tr>
      <w:tr>
        <w:trPr>
          <w:trHeight w:val="23"/>
        </w:trPr>
        <w:tc>
          <w:tcPr>
            <w:tcW w:w="358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Costs and Other Deductions</w:t>
            </w:r>
          </w:p>
        </w:tc>
        <w:tc>
          <w:tcPr>
            <w:tcW w:w="3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10,292</w:t>
            </w:r>
          </w:p>
        </w:tc>
        <w:tc>
          <w:tcPr>
            <w:tcW w:w="5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7,956</w:t>
            </w:r>
          </w:p>
        </w:tc>
        <w:tc>
          <w:tcPr>
            <w:tcW w:w="3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9,391</w:t>
            </w:r>
          </w:p>
        </w:tc>
        <w:tc>
          <w:tcPr>
            <w:tcW w:w="5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15,586</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43,225</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1,087</w:t>
            </w:r>
          </w:p>
        </w:tc>
        <w:tc>
          <w:tcPr>
            <w:tcW w:w="3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44,312</w:t>
            </w:r>
          </w:p>
        </w:tc>
        <w:tc>
          <w:tcPr>
            <w:tcW w:w="0" w:type="dxa"/>
            <w:vAlign w:val="bottom"/>
          </w:tcPr>
          <w:p>
            <w:pPr>
              <w:spacing w:after="0"/>
              <w:rPr>
                <w:sz w:val="1"/>
                <w:szCs w:val="1"/>
                <w:color w:val="auto"/>
              </w:rPr>
            </w:pPr>
          </w:p>
        </w:tc>
      </w:tr>
      <w:tr>
        <w:trPr>
          <w:trHeight w:val="75"/>
        </w:trPr>
        <w:tc>
          <w:tcPr>
            <w:tcW w:w="3580" w:type="dxa"/>
            <w:vAlign w:val="bottom"/>
            <w:tcBorders>
              <w:top w:val="single" w:sz="8" w:color="0077C0"/>
            </w:tcBorders>
          </w:tcPr>
          <w:p>
            <w:pPr>
              <w:spacing w:after="0"/>
              <w:rPr>
                <w:sz w:val="6"/>
                <w:szCs w:val="6"/>
                <w:color w:val="auto"/>
              </w:rPr>
            </w:pPr>
          </w:p>
        </w:tc>
        <w:tc>
          <w:tcPr>
            <w:tcW w:w="380" w:type="dxa"/>
            <w:vAlign w:val="bottom"/>
            <w:tcBorders>
              <w:top w:val="single" w:sz="8" w:color="0077C0"/>
            </w:tcBorders>
          </w:tcPr>
          <w:p>
            <w:pPr>
              <w:spacing w:after="0"/>
              <w:rPr>
                <w:sz w:val="6"/>
                <w:szCs w:val="6"/>
                <w:color w:val="auto"/>
              </w:rPr>
            </w:pPr>
          </w:p>
        </w:tc>
        <w:tc>
          <w:tcPr>
            <w:tcW w:w="740" w:type="dxa"/>
            <w:vAlign w:val="bottom"/>
            <w:tcBorders>
              <w:top w:val="single" w:sz="8" w:color="0077C0"/>
            </w:tcBorders>
          </w:tcPr>
          <w:p>
            <w:pPr>
              <w:spacing w:after="0"/>
              <w:rPr>
                <w:sz w:val="6"/>
                <w:szCs w:val="6"/>
                <w:color w:val="auto"/>
              </w:rPr>
            </w:pPr>
          </w:p>
        </w:tc>
        <w:tc>
          <w:tcPr>
            <w:tcW w:w="500" w:type="dxa"/>
            <w:vAlign w:val="bottom"/>
            <w:tcBorders>
              <w:top w:val="single" w:sz="8" w:color="0077C0"/>
            </w:tcBorders>
          </w:tcPr>
          <w:p>
            <w:pPr>
              <w:spacing w:after="0"/>
              <w:rPr>
                <w:sz w:val="6"/>
                <w:szCs w:val="6"/>
                <w:color w:val="auto"/>
              </w:rPr>
            </w:pPr>
          </w:p>
        </w:tc>
        <w:tc>
          <w:tcPr>
            <w:tcW w:w="640" w:type="dxa"/>
            <w:vAlign w:val="bottom"/>
            <w:tcBorders>
              <w:top w:val="single" w:sz="8" w:color="0077C0"/>
            </w:tcBorders>
          </w:tcPr>
          <w:p>
            <w:pPr>
              <w:spacing w:after="0"/>
              <w:rPr>
                <w:sz w:val="6"/>
                <w:szCs w:val="6"/>
                <w:color w:val="auto"/>
              </w:rPr>
            </w:pPr>
          </w:p>
        </w:tc>
        <w:tc>
          <w:tcPr>
            <w:tcW w:w="380" w:type="dxa"/>
            <w:vAlign w:val="bottom"/>
            <w:tcBorders>
              <w:top w:val="single" w:sz="8" w:color="0077C0"/>
            </w:tcBorders>
          </w:tcPr>
          <w:p>
            <w:pPr>
              <w:spacing w:after="0"/>
              <w:rPr>
                <w:sz w:val="6"/>
                <w:szCs w:val="6"/>
                <w:color w:val="auto"/>
              </w:rPr>
            </w:pPr>
          </w:p>
        </w:tc>
        <w:tc>
          <w:tcPr>
            <w:tcW w:w="760" w:type="dxa"/>
            <w:vAlign w:val="bottom"/>
            <w:tcBorders>
              <w:top w:val="single" w:sz="8" w:color="0077C0"/>
            </w:tcBorders>
          </w:tcPr>
          <w:p>
            <w:pPr>
              <w:spacing w:after="0"/>
              <w:rPr>
                <w:sz w:val="6"/>
                <w:szCs w:val="6"/>
                <w:color w:val="auto"/>
              </w:rPr>
            </w:pPr>
          </w:p>
        </w:tc>
        <w:tc>
          <w:tcPr>
            <w:tcW w:w="520" w:type="dxa"/>
            <w:vAlign w:val="bottom"/>
            <w:tcBorders>
              <w:top w:val="single" w:sz="8" w:color="0077C0"/>
            </w:tcBorders>
          </w:tcPr>
          <w:p>
            <w:pPr>
              <w:spacing w:after="0"/>
              <w:rPr>
                <w:sz w:val="6"/>
                <w:szCs w:val="6"/>
                <w:color w:val="auto"/>
              </w:rPr>
            </w:pPr>
          </w:p>
        </w:tc>
        <w:tc>
          <w:tcPr>
            <w:tcW w:w="600" w:type="dxa"/>
            <w:vAlign w:val="bottom"/>
            <w:tcBorders>
              <w:top w:val="single" w:sz="8" w:color="0077C0"/>
            </w:tcBorders>
          </w:tcPr>
          <w:p>
            <w:pPr>
              <w:spacing w:after="0"/>
              <w:rPr>
                <w:sz w:val="6"/>
                <w:szCs w:val="6"/>
                <w:color w:val="auto"/>
              </w:rPr>
            </w:pPr>
          </w:p>
        </w:tc>
        <w:tc>
          <w:tcPr>
            <w:tcW w:w="160" w:type="dxa"/>
            <w:vAlign w:val="bottom"/>
            <w:tcBorders>
              <w:top w:val="single" w:sz="8" w:color="0077C0"/>
            </w:tcBorders>
          </w:tcPr>
          <w:p>
            <w:pPr>
              <w:spacing w:after="0"/>
              <w:rPr>
                <w:sz w:val="6"/>
                <w:szCs w:val="6"/>
                <w:color w:val="auto"/>
              </w:rPr>
            </w:pPr>
          </w:p>
        </w:tc>
        <w:tc>
          <w:tcPr>
            <w:tcW w:w="960" w:type="dxa"/>
            <w:vAlign w:val="bottom"/>
            <w:tcBorders>
              <w:top w:val="single" w:sz="8" w:color="0077C0"/>
            </w:tcBorders>
          </w:tcPr>
          <w:p>
            <w:pPr>
              <w:spacing w:after="0"/>
              <w:rPr>
                <w:sz w:val="6"/>
                <w:szCs w:val="6"/>
                <w:color w:val="auto"/>
              </w:rPr>
            </w:pPr>
          </w:p>
        </w:tc>
        <w:tc>
          <w:tcPr>
            <w:tcW w:w="200" w:type="dxa"/>
            <w:vAlign w:val="bottom"/>
            <w:tcBorders>
              <w:top w:val="single" w:sz="8" w:color="0077C0"/>
            </w:tcBorders>
          </w:tcPr>
          <w:p>
            <w:pPr>
              <w:spacing w:after="0"/>
              <w:rPr>
                <w:sz w:val="6"/>
                <w:szCs w:val="6"/>
                <w:color w:val="auto"/>
              </w:rPr>
            </w:pPr>
          </w:p>
        </w:tc>
        <w:tc>
          <w:tcPr>
            <w:tcW w:w="740" w:type="dxa"/>
            <w:vAlign w:val="bottom"/>
            <w:tcBorders>
              <w:top w:val="single" w:sz="8" w:color="0077C0"/>
            </w:tcBorders>
          </w:tcPr>
          <w:p>
            <w:pPr>
              <w:spacing w:after="0"/>
              <w:rPr>
                <w:sz w:val="6"/>
                <w:szCs w:val="6"/>
                <w:color w:val="auto"/>
              </w:rPr>
            </w:pPr>
          </w:p>
        </w:tc>
        <w:tc>
          <w:tcPr>
            <w:tcW w:w="320" w:type="dxa"/>
            <w:vAlign w:val="bottom"/>
            <w:tcBorders>
              <w:top w:val="single" w:sz="8" w:color="0077C0"/>
            </w:tcBorders>
          </w:tcPr>
          <w:p>
            <w:pPr>
              <w:spacing w:after="0"/>
              <w:rPr>
                <w:sz w:val="6"/>
                <w:szCs w:val="6"/>
                <w:color w:val="auto"/>
              </w:rPr>
            </w:pPr>
          </w:p>
        </w:tc>
        <w:tc>
          <w:tcPr>
            <w:tcW w:w="760" w:type="dxa"/>
            <w:vAlign w:val="bottom"/>
            <w:tcBorders>
              <w:top w:val="single" w:sz="8" w:color="0077C0"/>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5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3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5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3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0" w:type="dxa"/>
            <w:vAlign w:val="bottom"/>
          </w:tcPr>
          <w:p>
            <w:pPr>
              <w:spacing w:after="0"/>
              <w:rPr>
                <w:sz w:val="1"/>
                <w:szCs w:val="1"/>
                <w:color w:val="auto"/>
              </w:rPr>
            </w:pPr>
          </w:p>
        </w:tc>
      </w:tr>
      <w:tr>
        <w:trPr>
          <w:trHeight w:val="146"/>
        </w:trPr>
        <w:tc>
          <w:tcPr>
            <w:tcW w:w="3580" w:type="dxa"/>
            <w:vAlign w:val="bottom"/>
            <w:tcBorders>
              <w:top w:val="single" w:sz="8" w:color="0077C0"/>
            </w:tcBorders>
          </w:tcPr>
          <w:p>
            <w:pPr>
              <w:ind w:left="360"/>
              <w:spacing w:after="0" w:line="147" w:lineRule="exact"/>
              <w:rPr>
                <w:sz w:val="20"/>
                <w:szCs w:val="20"/>
                <w:color w:val="auto"/>
              </w:rPr>
            </w:pPr>
            <w:r>
              <w:rPr>
                <w:rFonts w:ascii="Times New Roman" w:cs="Times New Roman" w:eastAsia="Times New Roman" w:hAnsi="Times New Roman"/>
                <w:sz w:val="14"/>
                <w:szCs w:val="14"/>
                <w:color w:val="auto"/>
              </w:rPr>
              <w:t>Less: Net income (loss) attributable to non-controlling</w:t>
            </w:r>
          </w:p>
        </w:tc>
        <w:tc>
          <w:tcPr>
            <w:tcW w:w="380" w:type="dxa"/>
            <w:vAlign w:val="bottom"/>
            <w:tcBorders>
              <w:top w:val="single" w:sz="8" w:color="0077C0"/>
            </w:tcBorders>
          </w:tcPr>
          <w:p>
            <w:pPr>
              <w:spacing w:after="0"/>
              <w:rPr>
                <w:sz w:val="12"/>
                <w:szCs w:val="12"/>
                <w:color w:val="auto"/>
              </w:rPr>
            </w:pPr>
          </w:p>
        </w:tc>
        <w:tc>
          <w:tcPr>
            <w:tcW w:w="740" w:type="dxa"/>
            <w:vAlign w:val="bottom"/>
            <w:tcBorders>
              <w:top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500" w:type="dxa"/>
            <w:vAlign w:val="bottom"/>
            <w:tcBorders>
              <w:top w:val="single" w:sz="8" w:color="0077C0"/>
            </w:tcBorders>
          </w:tcPr>
          <w:p>
            <w:pPr>
              <w:spacing w:after="0"/>
              <w:rPr>
                <w:sz w:val="12"/>
                <w:szCs w:val="12"/>
                <w:color w:val="auto"/>
              </w:rPr>
            </w:pPr>
          </w:p>
        </w:tc>
        <w:tc>
          <w:tcPr>
            <w:tcW w:w="640" w:type="dxa"/>
            <w:vAlign w:val="bottom"/>
            <w:tcBorders>
              <w:top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80" w:type="dxa"/>
            <w:vAlign w:val="bottom"/>
            <w:tcBorders>
              <w:top w:val="single" w:sz="8" w:color="0077C0"/>
            </w:tcBorders>
          </w:tcPr>
          <w:p>
            <w:pPr>
              <w:spacing w:after="0"/>
              <w:rPr>
                <w:sz w:val="12"/>
                <w:szCs w:val="12"/>
                <w:color w:val="auto"/>
              </w:rPr>
            </w:pPr>
          </w:p>
        </w:tc>
        <w:tc>
          <w:tcPr>
            <w:tcW w:w="760" w:type="dxa"/>
            <w:vAlign w:val="bottom"/>
            <w:tcBorders>
              <w:top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0077C0"/>
            </w:tcBorders>
          </w:tcPr>
          <w:p>
            <w:pPr>
              <w:spacing w:after="0"/>
              <w:rPr>
                <w:sz w:val="12"/>
                <w:szCs w:val="12"/>
                <w:color w:val="auto"/>
              </w:rPr>
            </w:pPr>
          </w:p>
        </w:tc>
        <w:tc>
          <w:tcPr>
            <w:tcW w:w="600" w:type="dxa"/>
            <w:vAlign w:val="bottom"/>
            <w:tcBorders>
              <w:top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tcBorders>
              <w:top w:val="single" w:sz="8" w:color="0077C0"/>
            </w:tcBorders>
          </w:tcPr>
          <w:p>
            <w:pPr>
              <w:spacing w:after="0"/>
              <w:rPr>
                <w:sz w:val="12"/>
                <w:szCs w:val="12"/>
                <w:color w:val="auto"/>
              </w:rPr>
            </w:pPr>
          </w:p>
        </w:tc>
        <w:tc>
          <w:tcPr>
            <w:tcW w:w="960" w:type="dxa"/>
            <w:vAlign w:val="bottom"/>
            <w:tcBorders>
              <w:top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00" w:type="dxa"/>
            <w:vAlign w:val="bottom"/>
            <w:tcBorders>
              <w:top w:val="single" w:sz="8" w:color="0077C0"/>
            </w:tcBorders>
          </w:tcPr>
          <w:p>
            <w:pPr>
              <w:spacing w:after="0"/>
              <w:rPr>
                <w:sz w:val="12"/>
                <w:szCs w:val="12"/>
                <w:color w:val="auto"/>
              </w:rPr>
            </w:pPr>
          </w:p>
        </w:tc>
        <w:tc>
          <w:tcPr>
            <w:tcW w:w="740" w:type="dxa"/>
            <w:vAlign w:val="bottom"/>
            <w:tcBorders>
              <w:top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0077C0"/>
            </w:tcBorders>
          </w:tcPr>
          <w:p>
            <w:pPr>
              <w:spacing w:after="0"/>
              <w:rPr>
                <w:sz w:val="12"/>
                <w:szCs w:val="12"/>
                <w:color w:val="auto"/>
              </w:rPr>
            </w:pPr>
          </w:p>
        </w:tc>
        <w:tc>
          <w:tcPr>
            <w:tcW w:w="760" w:type="dxa"/>
            <w:vAlign w:val="bottom"/>
            <w:tcBorders>
              <w:top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93"/>
        </w:trPr>
        <w:tc>
          <w:tcPr>
            <w:tcW w:w="3580" w:type="dxa"/>
            <w:vAlign w:val="bottom"/>
            <w:tcBorders>
              <w:bottom w:val="single" w:sz="8" w:color="0077C0"/>
            </w:tcBorders>
          </w:tcPr>
          <w:p>
            <w:pPr>
              <w:ind w:left="360"/>
              <w:spacing w:after="0"/>
              <w:rPr>
                <w:sz w:val="20"/>
                <w:szCs w:val="20"/>
                <w:color w:val="auto"/>
              </w:rPr>
            </w:pPr>
            <w:r>
              <w:rPr>
                <w:rFonts w:ascii="Times New Roman" w:cs="Times New Roman" w:eastAsia="Times New Roman" w:hAnsi="Times New Roman"/>
                <w:sz w:val="14"/>
                <w:szCs w:val="14"/>
                <w:color w:val="auto"/>
              </w:rPr>
              <w:t>interests</w:t>
            </w:r>
          </w:p>
        </w:tc>
        <w:tc>
          <w:tcPr>
            <w:tcW w:w="38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vMerge w:val="continue"/>
          </w:tcPr>
          <w:p>
            <w:pPr>
              <w:spacing w:after="0"/>
              <w:rPr>
                <w:sz w:val="16"/>
                <w:szCs w:val="16"/>
                <w:color w:val="auto"/>
              </w:rPr>
            </w:pPr>
          </w:p>
        </w:tc>
        <w:tc>
          <w:tcPr>
            <w:tcW w:w="50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vMerge w:val="continue"/>
          </w:tcPr>
          <w:p>
            <w:pPr>
              <w:spacing w:after="0"/>
              <w:rPr>
                <w:sz w:val="16"/>
                <w:szCs w:val="16"/>
                <w:color w:val="auto"/>
              </w:rPr>
            </w:pPr>
          </w:p>
        </w:tc>
        <w:tc>
          <w:tcPr>
            <w:tcW w:w="380" w:type="dxa"/>
            <w:vAlign w:val="bottom"/>
            <w:tcBorders>
              <w:bottom w:val="single" w:sz="8" w:color="0077C0"/>
            </w:tcBorders>
          </w:tcPr>
          <w:p>
            <w:pPr>
              <w:spacing w:after="0"/>
              <w:rPr>
                <w:sz w:val="16"/>
                <w:szCs w:val="16"/>
                <w:color w:val="auto"/>
              </w:rPr>
            </w:pPr>
          </w:p>
        </w:tc>
        <w:tc>
          <w:tcPr>
            <w:tcW w:w="760" w:type="dxa"/>
            <w:vAlign w:val="bottom"/>
            <w:tcBorders>
              <w:bottom w:val="single" w:sz="8" w:color="0077C0"/>
            </w:tcBorders>
            <w:vMerge w:val="continue"/>
          </w:tcPr>
          <w:p>
            <w:pPr>
              <w:spacing w:after="0"/>
              <w:rPr>
                <w:sz w:val="16"/>
                <w:szCs w:val="16"/>
                <w:color w:val="auto"/>
              </w:rPr>
            </w:pPr>
          </w:p>
        </w:tc>
        <w:tc>
          <w:tcPr>
            <w:tcW w:w="52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vMerge w:val="continue"/>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960" w:type="dxa"/>
            <w:vAlign w:val="bottom"/>
            <w:tcBorders>
              <w:bottom w:val="single" w:sz="8" w:color="0077C0"/>
            </w:tcBorders>
            <w:vMerge w:val="continue"/>
          </w:tcPr>
          <w:p>
            <w:pPr>
              <w:spacing w:after="0"/>
              <w:rPr>
                <w:sz w:val="16"/>
                <w:szCs w:val="16"/>
                <w:color w:val="auto"/>
              </w:rPr>
            </w:pPr>
          </w:p>
        </w:tc>
        <w:tc>
          <w:tcPr>
            <w:tcW w:w="20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vMerge w:val="continue"/>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760" w:type="dxa"/>
            <w:vAlign w:val="bottom"/>
            <w:tcBorders>
              <w:bottom w:val="single" w:sz="8" w:color="0077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Attributable to Chevron Corporation</w:t>
            </w: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1,282</w:t>
            </w:r>
          </w:p>
        </w:tc>
        <w:tc>
          <w:tcPr>
            <w:tcW w:w="50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638</w:t>
            </w: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4,439</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(900)</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3,539</w:t>
            </w:r>
          </w:p>
        </w:tc>
        <w:tc>
          <w:tcPr>
            <w:tcW w:w="0" w:type="dxa"/>
            <w:vAlign w:val="bottom"/>
          </w:tcPr>
          <w:p>
            <w:pPr>
              <w:spacing w:after="0"/>
              <w:rPr>
                <w:sz w:val="1"/>
                <w:szCs w:val="1"/>
                <w:color w:val="auto"/>
              </w:rPr>
            </w:pPr>
          </w:p>
        </w:tc>
      </w:tr>
      <w:tr>
        <w:trPr>
          <w:trHeight w:val="20"/>
        </w:trPr>
        <w:tc>
          <w:tcPr>
            <w:tcW w:w="3580" w:type="dxa"/>
            <w:vAlign w:val="bottom"/>
            <w:shd w:val="clear" w:color="auto" w:fill="0077C0"/>
          </w:tcPr>
          <w:p>
            <w:pPr>
              <w:spacing w:after="0" w:line="20" w:lineRule="exact"/>
              <w:rPr>
                <w:sz w:val="1"/>
                <w:szCs w:val="1"/>
                <w:color w:val="auto"/>
              </w:rPr>
            </w:pPr>
          </w:p>
        </w:tc>
        <w:tc>
          <w:tcPr>
            <w:tcW w:w="380" w:type="dxa"/>
            <w:vAlign w:val="bottom"/>
            <w:shd w:val="clear" w:color="auto" w:fill="0077C0"/>
          </w:tcPr>
          <w:p>
            <w:pPr>
              <w:spacing w:after="0" w:line="20" w:lineRule="exact"/>
              <w:rPr>
                <w:sz w:val="1"/>
                <w:szCs w:val="1"/>
                <w:color w:val="auto"/>
              </w:rPr>
            </w:pPr>
          </w:p>
        </w:tc>
        <w:tc>
          <w:tcPr>
            <w:tcW w:w="740" w:type="dxa"/>
            <w:vAlign w:val="bottom"/>
            <w:shd w:val="clear" w:color="auto" w:fill="0077C0"/>
          </w:tcPr>
          <w:p>
            <w:pPr>
              <w:spacing w:after="0" w:line="20" w:lineRule="exact"/>
              <w:rPr>
                <w:sz w:val="1"/>
                <w:szCs w:val="1"/>
                <w:color w:val="auto"/>
              </w:rPr>
            </w:pPr>
          </w:p>
        </w:tc>
        <w:tc>
          <w:tcPr>
            <w:tcW w:w="500" w:type="dxa"/>
            <w:vAlign w:val="bottom"/>
            <w:shd w:val="clear" w:color="auto" w:fill="0077C0"/>
          </w:tcPr>
          <w:p>
            <w:pPr>
              <w:spacing w:after="0" w:line="20" w:lineRule="exact"/>
              <w:rPr>
                <w:sz w:val="1"/>
                <w:szCs w:val="1"/>
                <w:color w:val="auto"/>
              </w:rPr>
            </w:pPr>
          </w:p>
        </w:tc>
        <w:tc>
          <w:tcPr>
            <w:tcW w:w="640" w:type="dxa"/>
            <w:vAlign w:val="bottom"/>
            <w:shd w:val="clear" w:color="auto" w:fill="0077C0"/>
          </w:tcPr>
          <w:p>
            <w:pPr>
              <w:spacing w:after="0" w:line="20" w:lineRule="exact"/>
              <w:rPr>
                <w:sz w:val="1"/>
                <w:szCs w:val="1"/>
                <w:color w:val="auto"/>
              </w:rPr>
            </w:pPr>
          </w:p>
        </w:tc>
        <w:tc>
          <w:tcPr>
            <w:tcW w:w="380" w:type="dxa"/>
            <w:vAlign w:val="bottom"/>
            <w:shd w:val="clear" w:color="auto" w:fill="0077C0"/>
          </w:tcPr>
          <w:p>
            <w:pPr>
              <w:spacing w:after="0" w:line="20" w:lineRule="exact"/>
              <w:rPr>
                <w:sz w:val="1"/>
                <w:szCs w:val="1"/>
                <w:color w:val="auto"/>
              </w:rPr>
            </w:pPr>
          </w:p>
        </w:tc>
        <w:tc>
          <w:tcPr>
            <w:tcW w:w="760" w:type="dxa"/>
            <w:vAlign w:val="bottom"/>
            <w:shd w:val="clear" w:color="auto" w:fill="0077C0"/>
          </w:tcPr>
          <w:p>
            <w:pPr>
              <w:spacing w:after="0" w:line="20" w:lineRule="exact"/>
              <w:rPr>
                <w:sz w:val="1"/>
                <w:szCs w:val="1"/>
                <w:color w:val="auto"/>
              </w:rPr>
            </w:pPr>
          </w:p>
        </w:tc>
        <w:tc>
          <w:tcPr>
            <w:tcW w:w="520" w:type="dxa"/>
            <w:vAlign w:val="bottom"/>
            <w:shd w:val="clear" w:color="auto" w:fill="0077C0"/>
          </w:tcPr>
          <w:p>
            <w:pPr>
              <w:spacing w:after="0" w:line="20" w:lineRule="exact"/>
              <w:rPr>
                <w:sz w:val="1"/>
                <w:szCs w:val="1"/>
                <w:color w:val="auto"/>
              </w:rPr>
            </w:pPr>
          </w:p>
        </w:tc>
        <w:tc>
          <w:tcPr>
            <w:tcW w:w="600" w:type="dxa"/>
            <w:vAlign w:val="bottom"/>
            <w:shd w:val="clear" w:color="auto" w:fill="0077C0"/>
          </w:tcPr>
          <w:p>
            <w:pPr>
              <w:spacing w:after="0" w:line="20" w:lineRule="exact"/>
              <w:rPr>
                <w:sz w:val="1"/>
                <w:szCs w:val="1"/>
                <w:color w:val="auto"/>
              </w:rPr>
            </w:pPr>
          </w:p>
        </w:tc>
        <w:tc>
          <w:tcPr>
            <w:tcW w:w="160" w:type="dxa"/>
            <w:vAlign w:val="bottom"/>
            <w:shd w:val="clear" w:color="auto" w:fill="0077C0"/>
          </w:tcPr>
          <w:p>
            <w:pPr>
              <w:spacing w:after="0" w:line="20" w:lineRule="exact"/>
              <w:rPr>
                <w:sz w:val="1"/>
                <w:szCs w:val="1"/>
                <w:color w:val="auto"/>
              </w:rPr>
            </w:pPr>
          </w:p>
        </w:tc>
        <w:tc>
          <w:tcPr>
            <w:tcW w:w="960" w:type="dxa"/>
            <w:vAlign w:val="bottom"/>
            <w:shd w:val="clear" w:color="auto" w:fill="0077C0"/>
          </w:tcPr>
          <w:p>
            <w:pPr>
              <w:spacing w:after="0" w:line="20" w:lineRule="exact"/>
              <w:rPr>
                <w:sz w:val="1"/>
                <w:szCs w:val="1"/>
                <w:color w:val="auto"/>
              </w:rPr>
            </w:pPr>
          </w:p>
        </w:tc>
        <w:tc>
          <w:tcPr>
            <w:tcW w:w="200" w:type="dxa"/>
            <w:vAlign w:val="bottom"/>
            <w:shd w:val="clear" w:color="auto" w:fill="0077C0"/>
          </w:tcPr>
          <w:p>
            <w:pPr>
              <w:spacing w:after="0" w:line="20" w:lineRule="exact"/>
              <w:rPr>
                <w:sz w:val="1"/>
                <w:szCs w:val="1"/>
                <w:color w:val="auto"/>
              </w:rPr>
            </w:pPr>
          </w:p>
        </w:tc>
        <w:tc>
          <w:tcPr>
            <w:tcW w:w="740" w:type="dxa"/>
            <w:vAlign w:val="bottom"/>
            <w:shd w:val="clear" w:color="auto" w:fill="0077C0"/>
          </w:tcPr>
          <w:p>
            <w:pPr>
              <w:spacing w:after="0" w:line="20" w:lineRule="exact"/>
              <w:rPr>
                <w:sz w:val="1"/>
                <w:szCs w:val="1"/>
                <w:color w:val="auto"/>
              </w:rPr>
            </w:pPr>
          </w:p>
        </w:tc>
        <w:tc>
          <w:tcPr>
            <w:tcW w:w="320" w:type="dxa"/>
            <w:vAlign w:val="bottom"/>
            <w:shd w:val="clear" w:color="auto" w:fill="0077C0"/>
          </w:tcPr>
          <w:p>
            <w:pPr>
              <w:spacing w:after="0" w:line="20" w:lineRule="exact"/>
              <w:rPr>
                <w:sz w:val="1"/>
                <w:szCs w:val="1"/>
                <w:color w:val="auto"/>
              </w:rPr>
            </w:pPr>
          </w:p>
        </w:tc>
        <w:tc>
          <w:tcPr>
            <w:tcW w:w="760" w:type="dxa"/>
            <w:vAlign w:val="bottom"/>
            <w:shd w:val="clear" w:color="auto" w:fill="0077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Values presented in millions of dollars and have been adjusted for eliminations, unless otherwise specified.</w:t>
      </w:r>
    </w:p>
    <w:p>
      <w:pPr>
        <w:spacing w:after="0" w:line="72" w:lineRule="exact"/>
        <w:rPr>
          <w:sz w:val="20"/>
          <w:szCs w:val="20"/>
          <w:color w:val="auto"/>
        </w:rPr>
      </w:pPr>
    </w:p>
    <w:p>
      <w:pPr>
        <w:ind w:left="140" w:hanging="121"/>
        <w:spacing w:after="0"/>
        <w:tabs>
          <w:tab w:leader="none" w:pos="140" w:val="left"/>
        </w:tabs>
        <w:numPr>
          <w:ilvl w:val="0"/>
          <w:numId w:val="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Includes interest income of $61 in “All Other.”</w:t>
      </w:r>
    </w:p>
    <w:p>
      <w:pPr>
        <w:spacing w:after="0" w:line="146" w:lineRule="exact"/>
        <w:rPr>
          <w:rFonts w:ascii="Times New Roman" w:cs="Times New Roman" w:eastAsia="Times New Roman" w:hAnsi="Times New Roman"/>
          <w:sz w:val="15"/>
          <w:szCs w:val="15"/>
          <w:color w:val="auto"/>
          <w:vertAlign w:val="superscript"/>
        </w:rPr>
      </w:pPr>
    </w:p>
    <w:p>
      <w:pPr>
        <w:ind w:left="140" w:hanging="114"/>
        <w:spacing w:after="0"/>
        <w:tabs>
          <w:tab w:leader="none" w:pos="14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Valuation of product transfers between operating segments.</w:t>
      </w:r>
    </w:p>
    <w:p>
      <w:pPr>
        <w:spacing w:after="0" w:line="163" w:lineRule="exact"/>
        <w:rPr>
          <w:rFonts w:ascii="Times New Roman" w:cs="Times New Roman" w:eastAsia="Times New Roman" w:hAnsi="Times New Roman"/>
          <w:sz w:val="14"/>
          <w:szCs w:val="14"/>
          <w:color w:val="auto"/>
          <w:vertAlign w:val="superscript"/>
        </w:rPr>
      </w:pPr>
    </w:p>
    <w:p>
      <w:pPr>
        <w:ind w:left="140" w:hanging="114"/>
        <w:spacing w:after="0"/>
        <w:tabs>
          <w:tab w:leader="none" w:pos="14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interest expense of $329 in “All Other.”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Upstream</w:t>
            </w: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Downstream</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4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Int'l.</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5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Int'l.</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Segment Total</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580" w:type="dxa"/>
            <w:vAlign w:val="bottom"/>
            <w:tcBorders>
              <w:bottom w:val="single" w:sz="8" w:color="0077C0"/>
            </w:tcBorders>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other operating revenues before elimination</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44,104</w:t>
            </w: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48,079</w:t>
            </w: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74,261</w:t>
            </w: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68,200</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234,644</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235,097</w:t>
            </w:r>
          </w:p>
        </w:tc>
        <w:tc>
          <w:tcPr>
            <w:tcW w:w="0" w:type="dxa"/>
            <w:vAlign w:val="bottom"/>
          </w:tcPr>
          <w:p>
            <w:pPr>
              <w:spacing w:after="0"/>
              <w:rPr>
                <w:sz w:val="1"/>
                <w:szCs w:val="1"/>
                <w:color w:val="auto"/>
              </w:rPr>
            </w:pPr>
          </w:p>
        </w:tc>
      </w:tr>
      <w:tr>
        <w:trPr>
          <w:trHeight w:val="19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Intersegment revenue elimination</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(26,309)</w:t>
            </w:r>
          </w:p>
        </w:tc>
        <w:tc>
          <w:tcPr>
            <w:tcW w:w="4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(16,867)</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(9,384)</w:t>
            </w:r>
          </w:p>
        </w:tc>
        <w:tc>
          <w:tcPr>
            <w:tcW w:w="5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(2,156)</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(54,716)</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(55,105)</w:t>
            </w:r>
          </w:p>
        </w:tc>
        <w:tc>
          <w:tcPr>
            <w:tcW w:w="0" w:type="dxa"/>
            <w:vAlign w:val="bottom"/>
          </w:tcPr>
          <w:p>
            <w:pPr>
              <w:spacing w:after="0"/>
              <w:rPr>
                <w:sz w:val="1"/>
                <w:szCs w:val="1"/>
                <w:color w:val="auto"/>
              </w:rPr>
            </w:pPr>
          </w:p>
        </w:tc>
      </w:tr>
      <w:tr>
        <w:trPr>
          <w:trHeight w:val="23"/>
        </w:trPr>
        <w:tc>
          <w:tcPr>
            <w:tcW w:w="3580" w:type="dxa"/>
            <w:vAlign w:val="bottom"/>
            <w:tcBorders>
              <w:bottom w:val="single" w:sz="8" w:color="0077C0"/>
            </w:tcBorders>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Sales and Other Operating Revenues</w:t>
            </w: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17,795</w:t>
            </w:r>
          </w:p>
        </w:tc>
        <w:tc>
          <w:tcPr>
            <w:tcW w:w="4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31,212</w:t>
            </w:r>
          </w:p>
        </w:tc>
        <w:tc>
          <w:tcPr>
            <w:tcW w:w="3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64,877</w:t>
            </w:r>
          </w:p>
        </w:tc>
        <w:tc>
          <w:tcPr>
            <w:tcW w:w="5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66,044</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179,928</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w:t>
            </w:r>
          </w:p>
        </w:tc>
        <w:tc>
          <w:tcPr>
            <w:tcW w:w="3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179,992</w:t>
            </w:r>
          </w:p>
        </w:tc>
        <w:tc>
          <w:tcPr>
            <w:tcW w:w="0" w:type="dxa"/>
            <w:vAlign w:val="bottom"/>
          </w:tcPr>
          <w:p>
            <w:pPr>
              <w:spacing w:after="0"/>
              <w:rPr>
                <w:sz w:val="1"/>
                <w:szCs w:val="1"/>
                <w:color w:val="auto"/>
              </w:rPr>
            </w:pPr>
          </w:p>
        </w:tc>
      </w:tr>
      <w:tr>
        <w:trPr>
          <w:trHeight w:val="74"/>
        </w:trPr>
        <w:tc>
          <w:tcPr>
            <w:tcW w:w="3580" w:type="dxa"/>
            <w:vAlign w:val="bottom"/>
            <w:tcBorders>
              <w:top w:val="single" w:sz="8" w:color="0077C0"/>
            </w:tcBorders>
          </w:tcPr>
          <w:p>
            <w:pPr>
              <w:spacing w:after="0"/>
              <w:rPr>
                <w:sz w:val="6"/>
                <w:szCs w:val="6"/>
                <w:color w:val="auto"/>
              </w:rPr>
            </w:pPr>
          </w:p>
        </w:tc>
        <w:tc>
          <w:tcPr>
            <w:tcW w:w="340" w:type="dxa"/>
            <w:vAlign w:val="bottom"/>
            <w:tcBorders>
              <w:top w:val="single" w:sz="8" w:color="0077C0"/>
            </w:tcBorders>
          </w:tcPr>
          <w:p>
            <w:pPr>
              <w:spacing w:after="0"/>
              <w:rPr>
                <w:sz w:val="6"/>
                <w:szCs w:val="6"/>
                <w:color w:val="auto"/>
              </w:rPr>
            </w:pPr>
          </w:p>
        </w:tc>
        <w:tc>
          <w:tcPr>
            <w:tcW w:w="780" w:type="dxa"/>
            <w:vAlign w:val="bottom"/>
            <w:tcBorders>
              <w:top w:val="single" w:sz="8" w:color="0077C0"/>
            </w:tcBorders>
          </w:tcPr>
          <w:p>
            <w:pPr>
              <w:spacing w:after="0"/>
              <w:rPr>
                <w:sz w:val="6"/>
                <w:szCs w:val="6"/>
                <w:color w:val="auto"/>
              </w:rPr>
            </w:pPr>
          </w:p>
        </w:tc>
        <w:tc>
          <w:tcPr>
            <w:tcW w:w="460" w:type="dxa"/>
            <w:vAlign w:val="bottom"/>
            <w:tcBorders>
              <w:top w:val="single" w:sz="8" w:color="0077C0"/>
            </w:tcBorders>
          </w:tcPr>
          <w:p>
            <w:pPr>
              <w:spacing w:after="0"/>
              <w:rPr>
                <w:sz w:val="6"/>
                <w:szCs w:val="6"/>
                <w:color w:val="auto"/>
              </w:rPr>
            </w:pPr>
          </w:p>
        </w:tc>
        <w:tc>
          <w:tcPr>
            <w:tcW w:w="680" w:type="dxa"/>
            <w:vAlign w:val="bottom"/>
            <w:tcBorders>
              <w:top w:val="single" w:sz="8" w:color="0077C0"/>
            </w:tcBorders>
          </w:tcPr>
          <w:p>
            <w:pPr>
              <w:spacing w:after="0"/>
              <w:rPr>
                <w:sz w:val="6"/>
                <w:szCs w:val="6"/>
                <w:color w:val="auto"/>
              </w:rPr>
            </w:pPr>
          </w:p>
        </w:tc>
        <w:tc>
          <w:tcPr>
            <w:tcW w:w="360" w:type="dxa"/>
            <w:vAlign w:val="bottom"/>
            <w:tcBorders>
              <w:top w:val="single" w:sz="8" w:color="0077C0"/>
            </w:tcBorders>
          </w:tcPr>
          <w:p>
            <w:pPr>
              <w:spacing w:after="0"/>
              <w:rPr>
                <w:sz w:val="6"/>
                <w:szCs w:val="6"/>
                <w:color w:val="auto"/>
              </w:rPr>
            </w:pPr>
          </w:p>
        </w:tc>
        <w:tc>
          <w:tcPr>
            <w:tcW w:w="780" w:type="dxa"/>
            <w:vAlign w:val="bottom"/>
            <w:tcBorders>
              <w:top w:val="single" w:sz="8" w:color="0077C0"/>
            </w:tcBorders>
          </w:tcPr>
          <w:p>
            <w:pPr>
              <w:spacing w:after="0"/>
              <w:rPr>
                <w:sz w:val="6"/>
                <w:szCs w:val="6"/>
                <w:color w:val="auto"/>
              </w:rPr>
            </w:pPr>
          </w:p>
        </w:tc>
        <w:tc>
          <w:tcPr>
            <w:tcW w:w="520" w:type="dxa"/>
            <w:vAlign w:val="bottom"/>
            <w:tcBorders>
              <w:top w:val="single" w:sz="8" w:color="0077C0"/>
            </w:tcBorders>
          </w:tcPr>
          <w:p>
            <w:pPr>
              <w:spacing w:after="0"/>
              <w:rPr>
                <w:sz w:val="6"/>
                <w:szCs w:val="6"/>
                <w:color w:val="auto"/>
              </w:rPr>
            </w:pPr>
          </w:p>
        </w:tc>
        <w:tc>
          <w:tcPr>
            <w:tcW w:w="600" w:type="dxa"/>
            <w:vAlign w:val="bottom"/>
            <w:tcBorders>
              <w:top w:val="single" w:sz="8" w:color="0077C0"/>
            </w:tcBorders>
          </w:tcPr>
          <w:p>
            <w:pPr>
              <w:spacing w:after="0"/>
              <w:rPr>
                <w:sz w:val="6"/>
                <w:szCs w:val="6"/>
                <w:color w:val="auto"/>
              </w:rPr>
            </w:pPr>
          </w:p>
        </w:tc>
        <w:tc>
          <w:tcPr>
            <w:tcW w:w="180" w:type="dxa"/>
            <w:vAlign w:val="bottom"/>
            <w:tcBorders>
              <w:top w:val="single" w:sz="8" w:color="0077C0"/>
            </w:tcBorders>
          </w:tcPr>
          <w:p>
            <w:pPr>
              <w:spacing w:after="0"/>
              <w:rPr>
                <w:sz w:val="6"/>
                <w:szCs w:val="6"/>
                <w:color w:val="auto"/>
              </w:rPr>
            </w:pPr>
          </w:p>
        </w:tc>
        <w:tc>
          <w:tcPr>
            <w:tcW w:w="960" w:type="dxa"/>
            <w:vAlign w:val="bottom"/>
            <w:tcBorders>
              <w:top w:val="single" w:sz="8" w:color="0077C0"/>
            </w:tcBorders>
          </w:tcPr>
          <w:p>
            <w:pPr>
              <w:spacing w:after="0"/>
              <w:rPr>
                <w:sz w:val="6"/>
                <w:szCs w:val="6"/>
                <w:color w:val="auto"/>
              </w:rPr>
            </w:pPr>
          </w:p>
        </w:tc>
        <w:tc>
          <w:tcPr>
            <w:tcW w:w="220" w:type="dxa"/>
            <w:vAlign w:val="bottom"/>
            <w:tcBorders>
              <w:top w:val="single" w:sz="8" w:color="0077C0"/>
            </w:tcBorders>
          </w:tcPr>
          <w:p>
            <w:pPr>
              <w:spacing w:after="0"/>
              <w:rPr>
                <w:sz w:val="6"/>
                <w:szCs w:val="6"/>
                <w:color w:val="auto"/>
              </w:rPr>
            </w:pPr>
          </w:p>
        </w:tc>
        <w:tc>
          <w:tcPr>
            <w:tcW w:w="720" w:type="dxa"/>
            <w:vAlign w:val="bottom"/>
            <w:tcBorders>
              <w:top w:val="single" w:sz="8" w:color="0077C0"/>
            </w:tcBorders>
          </w:tcPr>
          <w:p>
            <w:pPr>
              <w:spacing w:after="0"/>
              <w:rPr>
                <w:sz w:val="6"/>
                <w:szCs w:val="6"/>
                <w:color w:val="auto"/>
              </w:rPr>
            </w:pPr>
          </w:p>
        </w:tc>
        <w:tc>
          <w:tcPr>
            <w:tcW w:w="320" w:type="dxa"/>
            <w:vAlign w:val="bottom"/>
            <w:tcBorders>
              <w:top w:val="single" w:sz="8" w:color="0077C0"/>
            </w:tcBorders>
          </w:tcPr>
          <w:p>
            <w:pPr>
              <w:spacing w:after="0"/>
              <w:rPr>
                <w:sz w:val="6"/>
                <w:szCs w:val="6"/>
                <w:color w:val="auto"/>
              </w:rPr>
            </w:pPr>
          </w:p>
        </w:tc>
        <w:tc>
          <w:tcPr>
            <w:tcW w:w="740" w:type="dxa"/>
            <w:vAlign w:val="bottom"/>
            <w:tcBorders>
              <w:top w:val="single" w:sz="8" w:color="0077C0"/>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equity affiliates</w:t>
            </w:r>
          </w:p>
        </w:tc>
        <w:tc>
          <w:tcPr>
            <w:tcW w:w="3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4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3,158</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5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4,967</w:t>
            </w: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4,967</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Other income (loss)</w:t>
            </w:r>
            <w:r>
              <w:rPr>
                <w:rFonts w:ascii="Times New Roman" w:cs="Times New Roman" w:eastAsia="Times New Roman" w:hAnsi="Times New Roman"/>
                <w:sz w:val="18"/>
                <w:szCs w:val="18"/>
                <w:color w:val="auto"/>
                <w:vertAlign w:val="superscript"/>
              </w:rPr>
              <w:t>(1)</w:t>
            </w:r>
          </w:p>
        </w:tc>
        <w:tc>
          <w:tcPr>
            <w:tcW w:w="340" w:type="dxa"/>
            <w:vAlign w:val="bottom"/>
            <w:tcBorders>
              <w:bottom w:val="single" w:sz="8" w:color="0077C0"/>
            </w:tcBorders>
          </w:tcPr>
          <w:p>
            <w:pPr>
              <w:spacing w:after="0"/>
              <w:rPr>
                <w:sz w:val="18"/>
                <w:szCs w:val="18"/>
                <w:color w:val="auto"/>
              </w:rPr>
            </w:pPr>
          </w:p>
        </w:tc>
        <w:tc>
          <w:tcPr>
            <w:tcW w:w="7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460" w:type="dxa"/>
            <w:vAlign w:val="bottom"/>
            <w:tcBorders>
              <w:bottom w:val="single" w:sz="8" w:color="0077C0"/>
            </w:tcBorders>
          </w:tcPr>
          <w:p>
            <w:pPr>
              <w:spacing w:after="0"/>
              <w:rPr>
                <w:sz w:val="18"/>
                <w:szCs w:val="18"/>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360" w:type="dxa"/>
            <w:vAlign w:val="bottom"/>
            <w:tcBorders>
              <w:bottom w:val="single" w:sz="8" w:color="0077C0"/>
            </w:tcBorders>
          </w:tcPr>
          <w:p>
            <w:pPr>
              <w:spacing w:after="0"/>
              <w:rPr>
                <w:sz w:val="18"/>
                <w:szCs w:val="18"/>
                <w:color w:val="auto"/>
              </w:rPr>
            </w:pPr>
          </w:p>
        </w:tc>
        <w:tc>
          <w:tcPr>
            <w:tcW w:w="7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52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80" w:type="dxa"/>
            <w:vAlign w:val="bottom"/>
            <w:tcBorders>
              <w:bottom w:val="single" w:sz="8" w:color="0077C0"/>
            </w:tcBorders>
          </w:tcPr>
          <w:p>
            <w:pPr>
              <w:spacing w:after="0"/>
              <w:rPr>
                <w:sz w:val="18"/>
                <w:szCs w:val="18"/>
                <w:color w:val="auto"/>
              </w:rPr>
            </w:pPr>
          </w:p>
        </w:tc>
        <w:tc>
          <w:tcPr>
            <w:tcW w:w="9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220" w:type="dxa"/>
            <w:vAlign w:val="bottom"/>
            <w:tcBorders>
              <w:bottom w:val="single" w:sz="8" w:color="0077C0"/>
            </w:tcBorders>
          </w:tcPr>
          <w:p>
            <w:pPr>
              <w:spacing w:after="0"/>
              <w:rPr>
                <w:sz w:val="18"/>
                <w:szCs w:val="18"/>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320" w:type="dxa"/>
            <w:vAlign w:val="bottom"/>
            <w:tcBorders>
              <w:bottom w:val="single" w:sz="8" w:color="0077C0"/>
            </w:tcBorders>
          </w:tcPr>
          <w:p>
            <w:pPr>
              <w:spacing w:after="0"/>
              <w:rPr>
                <w:sz w:val="18"/>
                <w:szCs w:val="18"/>
                <w:color w:val="auto"/>
              </w:rPr>
            </w:pP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0" w:type="dxa"/>
            <w:vAlign w:val="bottom"/>
          </w:tcPr>
          <w:p>
            <w:pPr>
              <w:spacing w:after="0"/>
              <w:rPr>
                <w:sz w:val="1"/>
                <w:szCs w:val="1"/>
                <w:color w:val="auto"/>
              </w:rPr>
            </w:pPr>
          </w:p>
        </w:tc>
      </w:tr>
      <w:tr>
        <w:trPr>
          <w:trHeight w:val="214"/>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 and Other Income</w:t>
            </w: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17,872</w:t>
            </w:r>
          </w:p>
        </w:tc>
        <w:tc>
          <w:tcPr>
            <w:tcW w:w="4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35,035</w:t>
            </w:r>
          </w:p>
        </w:tc>
        <w:tc>
          <w:tcPr>
            <w:tcW w:w="3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65,902</w:t>
            </w:r>
          </w:p>
        </w:tc>
        <w:tc>
          <w:tcPr>
            <w:tcW w:w="5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67,209</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186,018</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442</w:t>
            </w:r>
          </w:p>
        </w:tc>
        <w:tc>
          <w:tcPr>
            <w:tcW w:w="3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186,460</w:t>
            </w:r>
          </w:p>
        </w:tc>
        <w:tc>
          <w:tcPr>
            <w:tcW w:w="0" w:type="dxa"/>
            <w:vAlign w:val="bottom"/>
          </w:tcPr>
          <w:p>
            <w:pPr>
              <w:spacing w:after="0"/>
              <w:rPr>
                <w:sz w:val="1"/>
                <w:szCs w:val="1"/>
                <w:color w:val="auto"/>
              </w:rPr>
            </w:pPr>
          </w:p>
        </w:tc>
      </w:tr>
      <w:tr>
        <w:trPr>
          <w:trHeight w:val="74"/>
        </w:trPr>
        <w:tc>
          <w:tcPr>
            <w:tcW w:w="3580" w:type="dxa"/>
            <w:vAlign w:val="bottom"/>
            <w:tcBorders>
              <w:top w:val="single" w:sz="8" w:color="0077C0"/>
            </w:tcBorders>
          </w:tcPr>
          <w:p>
            <w:pPr>
              <w:spacing w:after="0"/>
              <w:rPr>
                <w:sz w:val="6"/>
                <w:szCs w:val="6"/>
                <w:color w:val="auto"/>
              </w:rPr>
            </w:pPr>
          </w:p>
        </w:tc>
        <w:tc>
          <w:tcPr>
            <w:tcW w:w="340" w:type="dxa"/>
            <w:vAlign w:val="bottom"/>
            <w:tcBorders>
              <w:top w:val="single" w:sz="8" w:color="0077C0"/>
            </w:tcBorders>
          </w:tcPr>
          <w:p>
            <w:pPr>
              <w:spacing w:after="0"/>
              <w:rPr>
                <w:sz w:val="6"/>
                <w:szCs w:val="6"/>
                <w:color w:val="auto"/>
              </w:rPr>
            </w:pPr>
          </w:p>
        </w:tc>
        <w:tc>
          <w:tcPr>
            <w:tcW w:w="780" w:type="dxa"/>
            <w:vAlign w:val="bottom"/>
            <w:tcBorders>
              <w:top w:val="single" w:sz="8" w:color="0077C0"/>
            </w:tcBorders>
          </w:tcPr>
          <w:p>
            <w:pPr>
              <w:spacing w:after="0"/>
              <w:rPr>
                <w:sz w:val="6"/>
                <w:szCs w:val="6"/>
                <w:color w:val="auto"/>
              </w:rPr>
            </w:pPr>
          </w:p>
        </w:tc>
        <w:tc>
          <w:tcPr>
            <w:tcW w:w="460" w:type="dxa"/>
            <w:vAlign w:val="bottom"/>
            <w:tcBorders>
              <w:top w:val="single" w:sz="8" w:color="0077C0"/>
            </w:tcBorders>
          </w:tcPr>
          <w:p>
            <w:pPr>
              <w:spacing w:after="0"/>
              <w:rPr>
                <w:sz w:val="6"/>
                <w:szCs w:val="6"/>
                <w:color w:val="auto"/>
              </w:rPr>
            </w:pPr>
          </w:p>
        </w:tc>
        <w:tc>
          <w:tcPr>
            <w:tcW w:w="680" w:type="dxa"/>
            <w:vAlign w:val="bottom"/>
            <w:tcBorders>
              <w:top w:val="single" w:sz="8" w:color="0077C0"/>
            </w:tcBorders>
          </w:tcPr>
          <w:p>
            <w:pPr>
              <w:spacing w:after="0"/>
              <w:rPr>
                <w:sz w:val="6"/>
                <w:szCs w:val="6"/>
                <w:color w:val="auto"/>
              </w:rPr>
            </w:pPr>
          </w:p>
        </w:tc>
        <w:tc>
          <w:tcPr>
            <w:tcW w:w="360" w:type="dxa"/>
            <w:vAlign w:val="bottom"/>
            <w:tcBorders>
              <w:top w:val="single" w:sz="8" w:color="0077C0"/>
            </w:tcBorders>
          </w:tcPr>
          <w:p>
            <w:pPr>
              <w:spacing w:after="0"/>
              <w:rPr>
                <w:sz w:val="6"/>
                <w:szCs w:val="6"/>
                <w:color w:val="auto"/>
              </w:rPr>
            </w:pPr>
          </w:p>
        </w:tc>
        <w:tc>
          <w:tcPr>
            <w:tcW w:w="780" w:type="dxa"/>
            <w:vAlign w:val="bottom"/>
            <w:tcBorders>
              <w:top w:val="single" w:sz="8" w:color="0077C0"/>
            </w:tcBorders>
          </w:tcPr>
          <w:p>
            <w:pPr>
              <w:spacing w:after="0"/>
              <w:rPr>
                <w:sz w:val="6"/>
                <w:szCs w:val="6"/>
                <w:color w:val="auto"/>
              </w:rPr>
            </w:pPr>
          </w:p>
        </w:tc>
        <w:tc>
          <w:tcPr>
            <w:tcW w:w="520" w:type="dxa"/>
            <w:vAlign w:val="bottom"/>
            <w:tcBorders>
              <w:top w:val="single" w:sz="8" w:color="0077C0"/>
            </w:tcBorders>
          </w:tcPr>
          <w:p>
            <w:pPr>
              <w:spacing w:after="0"/>
              <w:rPr>
                <w:sz w:val="6"/>
                <w:szCs w:val="6"/>
                <w:color w:val="auto"/>
              </w:rPr>
            </w:pPr>
          </w:p>
        </w:tc>
        <w:tc>
          <w:tcPr>
            <w:tcW w:w="600" w:type="dxa"/>
            <w:vAlign w:val="bottom"/>
            <w:tcBorders>
              <w:top w:val="single" w:sz="8" w:color="0077C0"/>
            </w:tcBorders>
          </w:tcPr>
          <w:p>
            <w:pPr>
              <w:spacing w:after="0"/>
              <w:rPr>
                <w:sz w:val="6"/>
                <w:szCs w:val="6"/>
                <w:color w:val="auto"/>
              </w:rPr>
            </w:pPr>
          </w:p>
        </w:tc>
        <w:tc>
          <w:tcPr>
            <w:tcW w:w="180" w:type="dxa"/>
            <w:vAlign w:val="bottom"/>
            <w:tcBorders>
              <w:top w:val="single" w:sz="8" w:color="0077C0"/>
            </w:tcBorders>
          </w:tcPr>
          <w:p>
            <w:pPr>
              <w:spacing w:after="0"/>
              <w:rPr>
                <w:sz w:val="6"/>
                <w:szCs w:val="6"/>
                <w:color w:val="auto"/>
              </w:rPr>
            </w:pPr>
          </w:p>
        </w:tc>
        <w:tc>
          <w:tcPr>
            <w:tcW w:w="960" w:type="dxa"/>
            <w:vAlign w:val="bottom"/>
            <w:tcBorders>
              <w:top w:val="single" w:sz="8" w:color="0077C0"/>
            </w:tcBorders>
          </w:tcPr>
          <w:p>
            <w:pPr>
              <w:spacing w:after="0"/>
              <w:rPr>
                <w:sz w:val="6"/>
                <w:szCs w:val="6"/>
                <w:color w:val="auto"/>
              </w:rPr>
            </w:pPr>
          </w:p>
        </w:tc>
        <w:tc>
          <w:tcPr>
            <w:tcW w:w="220" w:type="dxa"/>
            <w:vAlign w:val="bottom"/>
            <w:tcBorders>
              <w:top w:val="single" w:sz="8" w:color="0077C0"/>
            </w:tcBorders>
          </w:tcPr>
          <w:p>
            <w:pPr>
              <w:spacing w:after="0"/>
              <w:rPr>
                <w:sz w:val="6"/>
                <w:szCs w:val="6"/>
                <w:color w:val="auto"/>
              </w:rPr>
            </w:pPr>
          </w:p>
        </w:tc>
        <w:tc>
          <w:tcPr>
            <w:tcW w:w="720" w:type="dxa"/>
            <w:vAlign w:val="bottom"/>
            <w:tcBorders>
              <w:top w:val="single" w:sz="8" w:color="0077C0"/>
            </w:tcBorders>
          </w:tcPr>
          <w:p>
            <w:pPr>
              <w:spacing w:after="0"/>
              <w:rPr>
                <w:sz w:val="6"/>
                <w:szCs w:val="6"/>
                <w:color w:val="auto"/>
              </w:rPr>
            </w:pPr>
          </w:p>
        </w:tc>
        <w:tc>
          <w:tcPr>
            <w:tcW w:w="320" w:type="dxa"/>
            <w:vAlign w:val="bottom"/>
            <w:tcBorders>
              <w:top w:val="single" w:sz="8" w:color="0077C0"/>
            </w:tcBorders>
          </w:tcPr>
          <w:p>
            <w:pPr>
              <w:spacing w:after="0"/>
              <w:rPr>
                <w:sz w:val="6"/>
                <w:szCs w:val="6"/>
                <w:color w:val="auto"/>
              </w:rPr>
            </w:pPr>
          </w:p>
        </w:tc>
        <w:tc>
          <w:tcPr>
            <w:tcW w:w="740" w:type="dxa"/>
            <w:vAlign w:val="bottom"/>
            <w:tcBorders>
              <w:top w:val="single" w:sz="8" w:color="0077C0"/>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Intersegment product transfers</w:t>
            </w:r>
            <w:r>
              <w:rPr>
                <w:rFonts w:ascii="Times New Roman" w:cs="Times New Roman" w:eastAsia="Times New Roman" w:hAnsi="Times New Roman"/>
                <w:sz w:val="18"/>
                <w:szCs w:val="18"/>
                <w:color w:val="auto"/>
                <w:vertAlign w:val="superscript"/>
              </w:rPr>
              <w:t>(2)</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23,222</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8,201</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(26,771)</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Less expenses:</w:t>
            </w: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Purchased crude oil and products</w:t>
            </w:r>
          </w:p>
        </w:tc>
        <w:tc>
          <w:tcPr>
            <w:tcW w:w="3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12,275</w:t>
            </w:r>
          </w:p>
        </w:tc>
        <w:tc>
          <w:tcPr>
            <w:tcW w:w="4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14,761</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22,945</w:t>
            </w:r>
          </w:p>
        </w:tc>
        <w:tc>
          <w:tcPr>
            <w:tcW w:w="5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51,425</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101,406</w:t>
            </w: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101,406</w:t>
            </w:r>
          </w:p>
        </w:tc>
        <w:tc>
          <w:tcPr>
            <w:tcW w:w="0" w:type="dxa"/>
            <w:vAlign w:val="bottom"/>
          </w:tcPr>
          <w:p>
            <w:pPr>
              <w:spacing w:after="0"/>
              <w:rPr>
                <w:sz w:val="1"/>
                <w:szCs w:val="1"/>
                <w:color w:val="auto"/>
              </w:rPr>
            </w:pPr>
          </w:p>
        </w:tc>
      </w:tr>
      <w:tr>
        <w:trPr>
          <w:trHeight w:val="19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and SG&amp;A expenses</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6,857</w:t>
            </w:r>
          </w:p>
        </w:tc>
        <w:tc>
          <w:tcPr>
            <w:tcW w:w="4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4,571</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7,258</w:t>
            </w:r>
          </w:p>
        </w:tc>
        <w:tc>
          <w:tcPr>
            <w:tcW w:w="5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5,846</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24,532</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2,547</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27,079</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3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8,808</w:t>
            </w:r>
          </w:p>
        </w:tc>
        <w:tc>
          <w:tcPr>
            <w:tcW w:w="4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8,116</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5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17,929</w:t>
            </w: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3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18,162</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Other costs and deductions</w:t>
            </w:r>
            <w:r>
              <w:rPr>
                <w:rFonts w:ascii="Times New Roman" w:cs="Times New Roman" w:eastAsia="Times New Roman" w:hAnsi="Times New Roman"/>
                <w:sz w:val="18"/>
                <w:szCs w:val="18"/>
                <w:color w:val="auto"/>
                <w:vertAlign w:val="superscript"/>
              </w:rPr>
              <w:t>(3)</w:t>
            </w:r>
          </w:p>
        </w:tc>
        <w:tc>
          <w:tcPr>
            <w:tcW w:w="340" w:type="dxa"/>
            <w:vAlign w:val="bottom"/>
            <w:tcBorders>
              <w:bottom w:val="single" w:sz="8" w:color="0077C0"/>
            </w:tcBorders>
          </w:tcPr>
          <w:p>
            <w:pPr>
              <w:spacing w:after="0"/>
              <w:rPr>
                <w:sz w:val="18"/>
                <w:szCs w:val="18"/>
                <w:color w:val="auto"/>
              </w:rPr>
            </w:pPr>
          </w:p>
        </w:tc>
        <w:tc>
          <w:tcPr>
            <w:tcW w:w="7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460" w:type="dxa"/>
            <w:vAlign w:val="bottom"/>
            <w:tcBorders>
              <w:bottom w:val="single" w:sz="8" w:color="0077C0"/>
            </w:tcBorders>
          </w:tcPr>
          <w:p>
            <w:pPr>
              <w:spacing w:after="0"/>
              <w:rPr>
                <w:sz w:val="18"/>
                <w:szCs w:val="18"/>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360" w:type="dxa"/>
            <w:vAlign w:val="bottom"/>
            <w:tcBorders>
              <w:bottom w:val="single" w:sz="8" w:color="0077C0"/>
            </w:tcBorders>
          </w:tcPr>
          <w:p>
            <w:pPr>
              <w:spacing w:after="0"/>
              <w:rPr>
                <w:sz w:val="18"/>
                <w:szCs w:val="18"/>
                <w:color w:val="auto"/>
              </w:rPr>
            </w:pPr>
          </w:p>
        </w:tc>
        <w:tc>
          <w:tcPr>
            <w:tcW w:w="7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52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80" w:type="dxa"/>
            <w:vAlign w:val="bottom"/>
            <w:tcBorders>
              <w:bottom w:val="single" w:sz="8" w:color="0077C0"/>
            </w:tcBorders>
          </w:tcPr>
          <w:p>
            <w:pPr>
              <w:spacing w:after="0"/>
              <w:rPr>
                <w:sz w:val="18"/>
                <w:szCs w:val="18"/>
                <w:color w:val="auto"/>
              </w:rPr>
            </w:pPr>
          </w:p>
        </w:tc>
        <w:tc>
          <w:tcPr>
            <w:tcW w:w="9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4,403</w:t>
            </w:r>
          </w:p>
        </w:tc>
        <w:tc>
          <w:tcPr>
            <w:tcW w:w="220" w:type="dxa"/>
            <w:vAlign w:val="bottom"/>
            <w:tcBorders>
              <w:bottom w:val="single" w:sz="8" w:color="0077C0"/>
            </w:tcBorders>
          </w:tcPr>
          <w:p>
            <w:pPr>
              <w:spacing w:after="0"/>
              <w:rPr>
                <w:sz w:val="18"/>
                <w:szCs w:val="18"/>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320" w:type="dxa"/>
            <w:vAlign w:val="bottom"/>
            <w:tcBorders>
              <w:bottom w:val="single" w:sz="8" w:color="0077C0"/>
            </w:tcBorders>
          </w:tcPr>
          <w:p>
            <w:pPr>
              <w:spacing w:after="0"/>
              <w:rPr>
                <w:sz w:val="18"/>
                <w:szCs w:val="18"/>
                <w:color w:val="auto"/>
              </w:rPr>
            </w:pP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5,558</w:t>
            </w:r>
          </w:p>
        </w:tc>
        <w:tc>
          <w:tcPr>
            <w:tcW w:w="0" w:type="dxa"/>
            <w:vAlign w:val="bottom"/>
          </w:tcPr>
          <w:p>
            <w:pPr>
              <w:spacing w:after="0"/>
              <w:rPr>
                <w:sz w:val="1"/>
                <w:szCs w:val="1"/>
                <w:color w:val="auto"/>
              </w:rPr>
            </w:pPr>
          </w:p>
        </w:tc>
      </w:tr>
      <w:tr>
        <w:trPr>
          <w:trHeight w:val="215"/>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Costs and Other Deductions</w:t>
            </w: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29,344</w:t>
            </w:r>
          </w:p>
        </w:tc>
        <w:tc>
          <w:tcPr>
            <w:tcW w:w="4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28,527</w:t>
            </w:r>
          </w:p>
        </w:tc>
        <w:tc>
          <w:tcPr>
            <w:tcW w:w="3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31,449</w:t>
            </w:r>
          </w:p>
        </w:tc>
        <w:tc>
          <w:tcPr>
            <w:tcW w:w="5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58,950</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148,270</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3,935</w:t>
            </w:r>
          </w:p>
        </w:tc>
        <w:tc>
          <w:tcPr>
            <w:tcW w:w="3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152,205</w:t>
            </w:r>
          </w:p>
        </w:tc>
        <w:tc>
          <w:tcPr>
            <w:tcW w:w="0" w:type="dxa"/>
            <w:vAlign w:val="bottom"/>
          </w:tcPr>
          <w:p>
            <w:pPr>
              <w:spacing w:after="0"/>
              <w:rPr>
                <w:sz w:val="1"/>
                <w:szCs w:val="1"/>
                <w:color w:val="auto"/>
              </w:rPr>
            </w:pPr>
          </w:p>
        </w:tc>
      </w:tr>
      <w:tr>
        <w:trPr>
          <w:trHeight w:val="74"/>
        </w:trPr>
        <w:tc>
          <w:tcPr>
            <w:tcW w:w="3580" w:type="dxa"/>
            <w:vAlign w:val="bottom"/>
            <w:tcBorders>
              <w:top w:val="single" w:sz="8" w:color="0077C0"/>
            </w:tcBorders>
          </w:tcPr>
          <w:p>
            <w:pPr>
              <w:spacing w:after="0"/>
              <w:rPr>
                <w:sz w:val="6"/>
                <w:szCs w:val="6"/>
                <w:color w:val="auto"/>
              </w:rPr>
            </w:pPr>
          </w:p>
        </w:tc>
        <w:tc>
          <w:tcPr>
            <w:tcW w:w="340" w:type="dxa"/>
            <w:vAlign w:val="bottom"/>
            <w:tcBorders>
              <w:top w:val="single" w:sz="8" w:color="0077C0"/>
            </w:tcBorders>
          </w:tcPr>
          <w:p>
            <w:pPr>
              <w:spacing w:after="0"/>
              <w:rPr>
                <w:sz w:val="6"/>
                <w:szCs w:val="6"/>
                <w:color w:val="auto"/>
              </w:rPr>
            </w:pPr>
          </w:p>
        </w:tc>
        <w:tc>
          <w:tcPr>
            <w:tcW w:w="780" w:type="dxa"/>
            <w:vAlign w:val="bottom"/>
            <w:tcBorders>
              <w:top w:val="single" w:sz="8" w:color="0077C0"/>
            </w:tcBorders>
          </w:tcPr>
          <w:p>
            <w:pPr>
              <w:spacing w:after="0"/>
              <w:rPr>
                <w:sz w:val="6"/>
                <w:szCs w:val="6"/>
                <w:color w:val="auto"/>
              </w:rPr>
            </w:pPr>
          </w:p>
        </w:tc>
        <w:tc>
          <w:tcPr>
            <w:tcW w:w="460" w:type="dxa"/>
            <w:vAlign w:val="bottom"/>
            <w:tcBorders>
              <w:top w:val="single" w:sz="8" w:color="0077C0"/>
            </w:tcBorders>
          </w:tcPr>
          <w:p>
            <w:pPr>
              <w:spacing w:after="0"/>
              <w:rPr>
                <w:sz w:val="6"/>
                <w:szCs w:val="6"/>
                <w:color w:val="auto"/>
              </w:rPr>
            </w:pPr>
          </w:p>
        </w:tc>
        <w:tc>
          <w:tcPr>
            <w:tcW w:w="680" w:type="dxa"/>
            <w:vAlign w:val="bottom"/>
            <w:tcBorders>
              <w:top w:val="single" w:sz="8" w:color="0077C0"/>
            </w:tcBorders>
          </w:tcPr>
          <w:p>
            <w:pPr>
              <w:spacing w:after="0"/>
              <w:rPr>
                <w:sz w:val="6"/>
                <w:szCs w:val="6"/>
                <w:color w:val="auto"/>
              </w:rPr>
            </w:pPr>
          </w:p>
        </w:tc>
        <w:tc>
          <w:tcPr>
            <w:tcW w:w="360" w:type="dxa"/>
            <w:vAlign w:val="bottom"/>
            <w:tcBorders>
              <w:top w:val="single" w:sz="8" w:color="0077C0"/>
            </w:tcBorders>
          </w:tcPr>
          <w:p>
            <w:pPr>
              <w:spacing w:after="0"/>
              <w:rPr>
                <w:sz w:val="6"/>
                <w:szCs w:val="6"/>
                <w:color w:val="auto"/>
              </w:rPr>
            </w:pPr>
          </w:p>
        </w:tc>
        <w:tc>
          <w:tcPr>
            <w:tcW w:w="780" w:type="dxa"/>
            <w:vAlign w:val="bottom"/>
            <w:tcBorders>
              <w:top w:val="single" w:sz="8" w:color="0077C0"/>
            </w:tcBorders>
          </w:tcPr>
          <w:p>
            <w:pPr>
              <w:spacing w:after="0"/>
              <w:rPr>
                <w:sz w:val="6"/>
                <w:szCs w:val="6"/>
                <w:color w:val="auto"/>
              </w:rPr>
            </w:pPr>
          </w:p>
        </w:tc>
        <w:tc>
          <w:tcPr>
            <w:tcW w:w="520" w:type="dxa"/>
            <w:vAlign w:val="bottom"/>
            <w:tcBorders>
              <w:top w:val="single" w:sz="8" w:color="0077C0"/>
            </w:tcBorders>
          </w:tcPr>
          <w:p>
            <w:pPr>
              <w:spacing w:after="0"/>
              <w:rPr>
                <w:sz w:val="6"/>
                <w:szCs w:val="6"/>
                <w:color w:val="auto"/>
              </w:rPr>
            </w:pPr>
          </w:p>
        </w:tc>
        <w:tc>
          <w:tcPr>
            <w:tcW w:w="600" w:type="dxa"/>
            <w:vAlign w:val="bottom"/>
            <w:tcBorders>
              <w:top w:val="single" w:sz="8" w:color="0077C0"/>
            </w:tcBorders>
          </w:tcPr>
          <w:p>
            <w:pPr>
              <w:spacing w:after="0"/>
              <w:rPr>
                <w:sz w:val="6"/>
                <w:szCs w:val="6"/>
                <w:color w:val="auto"/>
              </w:rPr>
            </w:pPr>
          </w:p>
        </w:tc>
        <w:tc>
          <w:tcPr>
            <w:tcW w:w="180" w:type="dxa"/>
            <w:vAlign w:val="bottom"/>
            <w:tcBorders>
              <w:top w:val="single" w:sz="8" w:color="0077C0"/>
            </w:tcBorders>
          </w:tcPr>
          <w:p>
            <w:pPr>
              <w:spacing w:after="0"/>
              <w:rPr>
                <w:sz w:val="6"/>
                <w:szCs w:val="6"/>
                <w:color w:val="auto"/>
              </w:rPr>
            </w:pPr>
          </w:p>
        </w:tc>
        <w:tc>
          <w:tcPr>
            <w:tcW w:w="960" w:type="dxa"/>
            <w:vAlign w:val="bottom"/>
            <w:tcBorders>
              <w:top w:val="single" w:sz="8" w:color="0077C0"/>
            </w:tcBorders>
          </w:tcPr>
          <w:p>
            <w:pPr>
              <w:spacing w:after="0"/>
              <w:rPr>
                <w:sz w:val="6"/>
                <w:szCs w:val="6"/>
                <w:color w:val="auto"/>
              </w:rPr>
            </w:pPr>
          </w:p>
        </w:tc>
        <w:tc>
          <w:tcPr>
            <w:tcW w:w="220" w:type="dxa"/>
            <w:vAlign w:val="bottom"/>
            <w:tcBorders>
              <w:top w:val="single" w:sz="8" w:color="0077C0"/>
            </w:tcBorders>
          </w:tcPr>
          <w:p>
            <w:pPr>
              <w:spacing w:after="0"/>
              <w:rPr>
                <w:sz w:val="6"/>
                <w:szCs w:val="6"/>
                <w:color w:val="auto"/>
              </w:rPr>
            </w:pPr>
          </w:p>
        </w:tc>
        <w:tc>
          <w:tcPr>
            <w:tcW w:w="720" w:type="dxa"/>
            <w:vAlign w:val="bottom"/>
            <w:tcBorders>
              <w:top w:val="single" w:sz="8" w:color="0077C0"/>
            </w:tcBorders>
          </w:tcPr>
          <w:p>
            <w:pPr>
              <w:spacing w:after="0"/>
              <w:rPr>
                <w:sz w:val="6"/>
                <w:szCs w:val="6"/>
                <w:color w:val="auto"/>
              </w:rPr>
            </w:pPr>
          </w:p>
        </w:tc>
        <w:tc>
          <w:tcPr>
            <w:tcW w:w="320" w:type="dxa"/>
            <w:vAlign w:val="bottom"/>
            <w:tcBorders>
              <w:top w:val="single" w:sz="8" w:color="0077C0"/>
            </w:tcBorders>
          </w:tcPr>
          <w:p>
            <w:pPr>
              <w:spacing w:after="0"/>
              <w:rPr>
                <w:sz w:val="6"/>
                <w:szCs w:val="6"/>
                <w:color w:val="auto"/>
              </w:rPr>
            </w:pPr>
          </w:p>
        </w:tc>
        <w:tc>
          <w:tcPr>
            <w:tcW w:w="740" w:type="dxa"/>
            <w:vAlign w:val="bottom"/>
            <w:tcBorders>
              <w:top w:val="single" w:sz="8" w:color="0077C0"/>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w:t>
            </w:r>
          </w:p>
        </w:tc>
        <w:tc>
          <w:tcPr>
            <w:tcW w:w="4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5,862</w:t>
            </w:r>
          </w:p>
        </w:tc>
        <w:tc>
          <w:tcPr>
            <w:tcW w:w="3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5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10,363</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3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9,700</w:t>
            </w:r>
          </w:p>
        </w:tc>
        <w:tc>
          <w:tcPr>
            <w:tcW w:w="0" w:type="dxa"/>
            <w:vAlign w:val="bottom"/>
          </w:tcPr>
          <w:p>
            <w:pPr>
              <w:spacing w:after="0"/>
              <w:rPr>
                <w:sz w:val="1"/>
                <w:szCs w:val="1"/>
                <w:color w:val="auto"/>
              </w:rPr>
            </w:pPr>
          </w:p>
        </w:tc>
      </w:tr>
      <w:tr>
        <w:trPr>
          <w:trHeight w:val="146"/>
        </w:trPr>
        <w:tc>
          <w:tcPr>
            <w:tcW w:w="3580" w:type="dxa"/>
            <w:vAlign w:val="bottom"/>
            <w:tcBorders>
              <w:top w:val="single" w:sz="8" w:color="0077C0"/>
            </w:tcBorders>
          </w:tcPr>
          <w:p>
            <w:pPr>
              <w:ind w:left="360"/>
              <w:spacing w:after="0" w:line="147" w:lineRule="exact"/>
              <w:rPr>
                <w:sz w:val="20"/>
                <w:szCs w:val="20"/>
                <w:color w:val="auto"/>
              </w:rPr>
            </w:pPr>
            <w:r>
              <w:rPr>
                <w:rFonts w:ascii="Times New Roman" w:cs="Times New Roman" w:eastAsia="Times New Roman" w:hAnsi="Times New Roman"/>
                <w:sz w:val="14"/>
                <w:szCs w:val="14"/>
                <w:color w:val="auto"/>
              </w:rPr>
              <w:t>Less: Net income (loss) attributable to non-controlling</w:t>
            </w:r>
          </w:p>
        </w:tc>
        <w:tc>
          <w:tcPr>
            <w:tcW w:w="340" w:type="dxa"/>
            <w:vAlign w:val="bottom"/>
            <w:tcBorders>
              <w:top w:val="single" w:sz="8" w:color="0077C0"/>
            </w:tcBorders>
          </w:tcPr>
          <w:p>
            <w:pPr>
              <w:spacing w:after="0"/>
              <w:rPr>
                <w:sz w:val="12"/>
                <w:szCs w:val="12"/>
                <w:color w:val="auto"/>
              </w:rPr>
            </w:pPr>
          </w:p>
        </w:tc>
        <w:tc>
          <w:tcPr>
            <w:tcW w:w="780" w:type="dxa"/>
            <w:vAlign w:val="bottom"/>
            <w:tcBorders>
              <w:top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460" w:type="dxa"/>
            <w:vAlign w:val="bottom"/>
            <w:tcBorders>
              <w:top w:val="single" w:sz="8" w:color="0077C0"/>
            </w:tcBorders>
          </w:tcPr>
          <w:p>
            <w:pPr>
              <w:spacing w:after="0"/>
              <w:rPr>
                <w:sz w:val="12"/>
                <w:szCs w:val="12"/>
                <w:color w:val="auto"/>
              </w:rPr>
            </w:pPr>
          </w:p>
        </w:tc>
        <w:tc>
          <w:tcPr>
            <w:tcW w:w="680" w:type="dxa"/>
            <w:vAlign w:val="bottom"/>
            <w:tcBorders>
              <w:top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60" w:type="dxa"/>
            <w:vAlign w:val="bottom"/>
            <w:tcBorders>
              <w:top w:val="single" w:sz="8" w:color="0077C0"/>
            </w:tcBorders>
          </w:tcPr>
          <w:p>
            <w:pPr>
              <w:spacing w:after="0"/>
              <w:rPr>
                <w:sz w:val="12"/>
                <w:szCs w:val="12"/>
                <w:color w:val="auto"/>
              </w:rPr>
            </w:pPr>
          </w:p>
        </w:tc>
        <w:tc>
          <w:tcPr>
            <w:tcW w:w="780" w:type="dxa"/>
            <w:vAlign w:val="bottom"/>
            <w:tcBorders>
              <w:top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0077C0"/>
            </w:tcBorders>
          </w:tcPr>
          <w:p>
            <w:pPr>
              <w:spacing w:after="0"/>
              <w:rPr>
                <w:sz w:val="12"/>
                <w:szCs w:val="12"/>
                <w:color w:val="auto"/>
              </w:rPr>
            </w:pPr>
          </w:p>
        </w:tc>
        <w:tc>
          <w:tcPr>
            <w:tcW w:w="600" w:type="dxa"/>
            <w:vAlign w:val="bottom"/>
            <w:tcBorders>
              <w:top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80" w:type="dxa"/>
            <w:vAlign w:val="bottom"/>
            <w:tcBorders>
              <w:top w:val="single" w:sz="8" w:color="0077C0"/>
            </w:tcBorders>
          </w:tcPr>
          <w:p>
            <w:pPr>
              <w:spacing w:after="0"/>
              <w:rPr>
                <w:sz w:val="12"/>
                <w:szCs w:val="12"/>
                <w:color w:val="auto"/>
              </w:rPr>
            </w:pPr>
          </w:p>
        </w:tc>
        <w:tc>
          <w:tcPr>
            <w:tcW w:w="960" w:type="dxa"/>
            <w:vAlign w:val="bottom"/>
            <w:tcBorders>
              <w:top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220" w:type="dxa"/>
            <w:vAlign w:val="bottom"/>
            <w:tcBorders>
              <w:top w:val="single" w:sz="8" w:color="0077C0"/>
            </w:tcBorders>
          </w:tcPr>
          <w:p>
            <w:pPr>
              <w:spacing w:after="0"/>
              <w:rPr>
                <w:sz w:val="12"/>
                <w:szCs w:val="12"/>
                <w:color w:val="auto"/>
              </w:rPr>
            </w:pPr>
          </w:p>
        </w:tc>
        <w:tc>
          <w:tcPr>
            <w:tcW w:w="720" w:type="dxa"/>
            <w:vAlign w:val="bottom"/>
            <w:tcBorders>
              <w:top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0077C0"/>
            </w:tcBorders>
          </w:tcPr>
          <w:p>
            <w:pPr>
              <w:spacing w:after="0"/>
              <w:rPr>
                <w:sz w:val="12"/>
                <w:szCs w:val="12"/>
                <w:color w:val="auto"/>
              </w:rPr>
            </w:pPr>
          </w:p>
        </w:tc>
        <w:tc>
          <w:tcPr>
            <w:tcW w:w="740" w:type="dxa"/>
            <w:vAlign w:val="bottom"/>
            <w:tcBorders>
              <w:top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r>
        <w:trPr>
          <w:trHeight w:val="193"/>
        </w:trPr>
        <w:tc>
          <w:tcPr>
            <w:tcW w:w="3580" w:type="dxa"/>
            <w:vAlign w:val="bottom"/>
            <w:tcBorders>
              <w:bottom w:val="single" w:sz="8" w:color="0077C0"/>
            </w:tcBorders>
          </w:tcPr>
          <w:p>
            <w:pPr>
              <w:ind w:left="360"/>
              <w:spacing w:after="0"/>
              <w:rPr>
                <w:sz w:val="20"/>
                <w:szCs w:val="20"/>
                <w:color w:val="auto"/>
              </w:rPr>
            </w:pPr>
            <w:r>
              <w:rPr>
                <w:rFonts w:ascii="Times New Roman" w:cs="Times New Roman" w:eastAsia="Times New Roman" w:hAnsi="Times New Roman"/>
                <w:sz w:val="14"/>
                <w:szCs w:val="14"/>
                <w:color w:val="auto"/>
              </w:rPr>
              <w:t>interests</w:t>
            </w:r>
          </w:p>
        </w:tc>
        <w:tc>
          <w:tcPr>
            <w:tcW w:w="340" w:type="dxa"/>
            <w:vAlign w:val="bottom"/>
            <w:tcBorders>
              <w:bottom w:val="single" w:sz="8" w:color="0077C0"/>
            </w:tcBorders>
          </w:tcPr>
          <w:p>
            <w:pPr>
              <w:spacing w:after="0"/>
              <w:rPr>
                <w:sz w:val="16"/>
                <w:szCs w:val="16"/>
                <w:color w:val="auto"/>
              </w:rPr>
            </w:pPr>
          </w:p>
        </w:tc>
        <w:tc>
          <w:tcPr>
            <w:tcW w:w="780" w:type="dxa"/>
            <w:vAlign w:val="bottom"/>
            <w:tcBorders>
              <w:bottom w:val="single" w:sz="8" w:color="0077C0"/>
            </w:tcBorders>
            <w:vMerge w:val="continue"/>
          </w:tcPr>
          <w:p>
            <w:pPr>
              <w:spacing w:after="0"/>
              <w:rPr>
                <w:sz w:val="16"/>
                <w:szCs w:val="16"/>
                <w:color w:val="auto"/>
              </w:rPr>
            </w:pPr>
          </w:p>
        </w:tc>
        <w:tc>
          <w:tcPr>
            <w:tcW w:w="46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vMerge w:val="continue"/>
          </w:tcPr>
          <w:p>
            <w:pPr>
              <w:spacing w:after="0"/>
              <w:rPr>
                <w:sz w:val="16"/>
                <w:szCs w:val="16"/>
                <w:color w:val="auto"/>
              </w:rPr>
            </w:pPr>
          </w:p>
        </w:tc>
        <w:tc>
          <w:tcPr>
            <w:tcW w:w="360" w:type="dxa"/>
            <w:vAlign w:val="bottom"/>
            <w:tcBorders>
              <w:bottom w:val="single" w:sz="8" w:color="0077C0"/>
            </w:tcBorders>
          </w:tcPr>
          <w:p>
            <w:pPr>
              <w:spacing w:after="0"/>
              <w:rPr>
                <w:sz w:val="16"/>
                <w:szCs w:val="16"/>
                <w:color w:val="auto"/>
              </w:rPr>
            </w:pPr>
          </w:p>
        </w:tc>
        <w:tc>
          <w:tcPr>
            <w:tcW w:w="780" w:type="dxa"/>
            <w:vAlign w:val="bottom"/>
            <w:tcBorders>
              <w:bottom w:val="single" w:sz="8" w:color="0077C0"/>
            </w:tcBorders>
            <w:vMerge w:val="continue"/>
          </w:tcPr>
          <w:p>
            <w:pPr>
              <w:spacing w:after="0"/>
              <w:rPr>
                <w:sz w:val="16"/>
                <w:szCs w:val="16"/>
                <w:color w:val="auto"/>
              </w:rPr>
            </w:pPr>
          </w:p>
        </w:tc>
        <w:tc>
          <w:tcPr>
            <w:tcW w:w="52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vMerge w:val="continue"/>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960" w:type="dxa"/>
            <w:vAlign w:val="bottom"/>
            <w:tcBorders>
              <w:bottom w:val="single" w:sz="8" w:color="0077C0"/>
            </w:tcBorders>
            <w:vMerge w:val="continue"/>
          </w:tcPr>
          <w:p>
            <w:pPr>
              <w:spacing w:after="0"/>
              <w:rPr>
                <w:sz w:val="16"/>
                <w:szCs w:val="16"/>
                <w:color w:val="auto"/>
              </w:rPr>
            </w:pPr>
          </w:p>
        </w:tc>
        <w:tc>
          <w:tcPr>
            <w:tcW w:w="22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vMerge w:val="continue"/>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Attributable to Chevron Corporation</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8,946</w:t>
            </w: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8,843</w:t>
            </w: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6,192</w:t>
            </w: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2,790</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26,771</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(2,565)</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24,206</w:t>
            </w:r>
          </w:p>
        </w:tc>
        <w:tc>
          <w:tcPr>
            <w:tcW w:w="0" w:type="dxa"/>
            <w:vAlign w:val="bottom"/>
          </w:tcPr>
          <w:p>
            <w:pPr>
              <w:spacing w:after="0"/>
              <w:rPr>
                <w:sz w:val="1"/>
                <w:szCs w:val="1"/>
                <w:color w:val="auto"/>
              </w:rPr>
            </w:pPr>
          </w:p>
        </w:tc>
      </w:tr>
      <w:tr>
        <w:trPr>
          <w:trHeight w:val="20"/>
        </w:trPr>
        <w:tc>
          <w:tcPr>
            <w:tcW w:w="3580" w:type="dxa"/>
            <w:vAlign w:val="bottom"/>
            <w:shd w:val="clear" w:color="auto" w:fill="0077C0"/>
          </w:tcPr>
          <w:p>
            <w:pPr>
              <w:spacing w:after="0" w:line="20" w:lineRule="exact"/>
              <w:rPr>
                <w:sz w:val="1"/>
                <w:szCs w:val="1"/>
                <w:color w:val="auto"/>
              </w:rPr>
            </w:pPr>
          </w:p>
        </w:tc>
        <w:tc>
          <w:tcPr>
            <w:tcW w:w="340" w:type="dxa"/>
            <w:vAlign w:val="bottom"/>
            <w:shd w:val="clear" w:color="auto" w:fill="0077C0"/>
          </w:tcPr>
          <w:p>
            <w:pPr>
              <w:spacing w:after="0" w:line="20" w:lineRule="exact"/>
              <w:rPr>
                <w:sz w:val="1"/>
                <w:szCs w:val="1"/>
                <w:color w:val="auto"/>
              </w:rPr>
            </w:pPr>
          </w:p>
        </w:tc>
        <w:tc>
          <w:tcPr>
            <w:tcW w:w="780" w:type="dxa"/>
            <w:vAlign w:val="bottom"/>
            <w:shd w:val="clear" w:color="auto" w:fill="0077C0"/>
          </w:tcPr>
          <w:p>
            <w:pPr>
              <w:spacing w:after="0" w:line="20" w:lineRule="exact"/>
              <w:rPr>
                <w:sz w:val="1"/>
                <w:szCs w:val="1"/>
                <w:color w:val="auto"/>
              </w:rPr>
            </w:pPr>
          </w:p>
        </w:tc>
        <w:tc>
          <w:tcPr>
            <w:tcW w:w="460" w:type="dxa"/>
            <w:vAlign w:val="bottom"/>
            <w:shd w:val="clear" w:color="auto" w:fill="0077C0"/>
          </w:tcPr>
          <w:p>
            <w:pPr>
              <w:spacing w:after="0" w:line="20" w:lineRule="exact"/>
              <w:rPr>
                <w:sz w:val="1"/>
                <w:szCs w:val="1"/>
                <w:color w:val="auto"/>
              </w:rPr>
            </w:pPr>
          </w:p>
        </w:tc>
        <w:tc>
          <w:tcPr>
            <w:tcW w:w="680" w:type="dxa"/>
            <w:vAlign w:val="bottom"/>
            <w:shd w:val="clear" w:color="auto" w:fill="0077C0"/>
          </w:tcPr>
          <w:p>
            <w:pPr>
              <w:spacing w:after="0" w:line="20" w:lineRule="exact"/>
              <w:rPr>
                <w:sz w:val="1"/>
                <w:szCs w:val="1"/>
                <w:color w:val="auto"/>
              </w:rPr>
            </w:pPr>
          </w:p>
        </w:tc>
        <w:tc>
          <w:tcPr>
            <w:tcW w:w="360" w:type="dxa"/>
            <w:vAlign w:val="bottom"/>
            <w:shd w:val="clear" w:color="auto" w:fill="0077C0"/>
          </w:tcPr>
          <w:p>
            <w:pPr>
              <w:spacing w:after="0" w:line="20" w:lineRule="exact"/>
              <w:rPr>
                <w:sz w:val="1"/>
                <w:szCs w:val="1"/>
                <w:color w:val="auto"/>
              </w:rPr>
            </w:pPr>
          </w:p>
        </w:tc>
        <w:tc>
          <w:tcPr>
            <w:tcW w:w="780" w:type="dxa"/>
            <w:vAlign w:val="bottom"/>
            <w:shd w:val="clear" w:color="auto" w:fill="0077C0"/>
          </w:tcPr>
          <w:p>
            <w:pPr>
              <w:spacing w:after="0" w:line="20" w:lineRule="exact"/>
              <w:rPr>
                <w:sz w:val="1"/>
                <w:szCs w:val="1"/>
                <w:color w:val="auto"/>
              </w:rPr>
            </w:pPr>
          </w:p>
        </w:tc>
        <w:tc>
          <w:tcPr>
            <w:tcW w:w="520" w:type="dxa"/>
            <w:vAlign w:val="bottom"/>
            <w:shd w:val="clear" w:color="auto" w:fill="0077C0"/>
          </w:tcPr>
          <w:p>
            <w:pPr>
              <w:spacing w:after="0" w:line="20" w:lineRule="exact"/>
              <w:rPr>
                <w:sz w:val="1"/>
                <w:szCs w:val="1"/>
                <w:color w:val="auto"/>
              </w:rPr>
            </w:pPr>
          </w:p>
        </w:tc>
        <w:tc>
          <w:tcPr>
            <w:tcW w:w="600" w:type="dxa"/>
            <w:vAlign w:val="bottom"/>
            <w:shd w:val="clear" w:color="auto" w:fill="0077C0"/>
          </w:tcPr>
          <w:p>
            <w:pPr>
              <w:spacing w:after="0" w:line="20" w:lineRule="exact"/>
              <w:rPr>
                <w:sz w:val="1"/>
                <w:szCs w:val="1"/>
                <w:color w:val="auto"/>
              </w:rPr>
            </w:pPr>
          </w:p>
        </w:tc>
        <w:tc>
          <w:tcPr>
            <w:tcW w:w="180" w:type="dxa"/>
            <w:vAlign w:val="bottom"/>
            <w:shd w:val="clear" w:color="auto" w:fill="0077C0"/>
          </w:tcPr>
          <w:p>
            <w:pPr>
              <w:spacing w:after="0" w:line="20" w:lineRule="exact"/>
              <w:rPr>
                <w:sz w:val="1"/>
                <w:szCs w:val="1"/>
                <w:color w:val="auto"/>
              </w:rPr>
            </w:pPr>
          </w:p>
        </w:tc>
        <w:tc>
          <w:tcPr>
            <w:tcW w:w="960" w:type="dxa"/>
            <w:vAlign w:val="bottom"/>
            <w:shd w:val="clear" w:color="auto" w:fill="0077C0"/>
          </w:tcPr>
          <w:p>
            <w:pPr>
              <w:spacing w:after="0" w:line="20" w:lineRule="exact"/>
              <w:rPr>
                <w:sz w:val="1"/>
                <w:szCs w:val="1"/>
                <w:color w:val="auto"/>
              </w:rPr>
            </w:pPr>
          </w:p>
        </w:tc>
        <w:tc>
          <w:tcPr>
            <w:tcW w:w="220" w:type="dxa"/>
            <w:vAlign w:val="bottom"/>
            <w:shd w:val="clear" w:color="auto" w:fill="0077C0"/>
          </w:tcPr>
          <w:p>
            <w:pPr>
              <w:spacing w:after="0" w:line="20" w:lineRule="exact"/>
              <w:rPr>
                <w:sz w:val="1"/>
                <w:szCs w:val="1"/>
                <w:color w:val="auto"/>
              </w:rPr>
            </w:pPr>
          </w:p>
        </w:tc>
        <w:tc>
          <w:tcPr>
            <w:tcW w:w="720" w:type="dxa"/>
            <w:vAlign w:val="bottom"/>
            <w:shd w:val="clear" w:color="auto" w:fill="0077C0"/>
          </w:tcPr>
          <w:p>
            <w:pPr>
              <w:spacing w:after="0" w:line="20" w:lineRule="exact"/>
              <w:rPr>
                <w:sz w:val="1"/>
                <w:szCs w:val="1"/>
                <w:color w:val="auto"/>
              </w:rPr>
            </w:pPr>
          </w:p>
        </w:tc>
        <w:tc>
          <w:tcPr>
            <w:tcW w:w="320" w:type="dxa"/>
            <w:vAlign w:val="bottom"/>
            <w:shd w:val="clear" w:color="auto" w:fill="0077C0"/>
          </w:tcPr>
          <w:p>
            <w:pPr>
              <w:spacing w:after="0" w:line="20" w:lineRule="exact"/>
              <w:rPr>
                <w:sz w:val="1"/>
                <w:szCs w:val="1"/>
                <w:color w:val="auto"/>
              </w:rPr>
            </w:pPr>
          </w:p>
        </w:tc>
        <w:tc>
          <w:tcPr>
            <w:tcW w:w="740" w:type="dxa"/>
            <w:vAlign w:val="bottom"/>
            <w:shd w:val="clear" w:color="auto" w:fill="0077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Values presented in millions of dollars and have been adjusted for eliminations, unless otherwise specified.</w:t>
      </w:r>
    </w:p>
    <w:p>
      <w:pPr>
        <w:spacing w:after="0" w:line="72" w:lineRule="exact"/>
        <w:rPr>
          <w:sz w:val="20"/>
          <w:szCs w:val="20"/>
          <w:color w:val="auto"/>
        </w:rPr>
      </w:pPr>
    </w:p>
    <w:p>
      <w:pPr>
        <w:ind w:left="160" w:hanging="120"/>
        <w:spacing w:after="0"/>
        <w:tabs>
          <w:tab w:leader="none" w:pos="160" w:val="left"/>
        </w:tabs>
        <w:numPr>
          <w:ilvl w:val="1"/>
          <w:numId w:val="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Includes interest income of $214 in “All Other.”</w:t>
      </w:r>
    </w:p>
    <w:p>
      <w:pPr>
        <w:spacing w:after="0" w:line="146" w:lineRule="exact"/>
        <w:rPr>
          <w:rFonts w:ascii="Times New Roman" w:cs="Times New Roman" w:eastAsia="Times New Roman" w:hAnsi="Times New Roman"/>
          <w:sz w:val="15"/>
          <w:szCs w:val="15"/>
          <w:color w:val="auto"/>
          <w:vertAlign w:val="superscript"/>
        </w:rPr>
      </w:pPr>
    </w:p>
    <w:p>
      <w:pPr>
        <w:ind w:left="140" w:hanging="114"/>
        <w:spacing w:after="0"/>
        <w:tabs>
          <w:tab w:leader="none" w:pos="140" w:val="left"/>
        </w:tabs>
        <w:numPr>
          <w:ilvl w:val="0"/>
          <w:numId w:val="1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Valuation of product transfers between operating segments.</w:t>
      </w:r>
    </w:p>
    <w:p>
      <w:pPr>
        <w:spacing w:after="0" w:line="163" w:lineRule="exact"/>
        <w:rPr>
          <w:rFonts w:ascii="Times New Roman" w:cs="Times New Roman" w:eastAsia="Times New Roman" w:hAnsi="Times New Roman"/>
          <w:sz w:val="14"/>
          <w:szCs w:val="14"/>
          <w:color w:val="auto"/>
          <w:vertAlign w:val="superscript"/>
        </w:rPr>
      </w:pPr>
    </w:p>
    <w:p>
      <w:pPr>
        <w:ind w:left="140" w:hanging="114"/>
        <w:spacing w:after="0"/>
        <w:tabs>
          <w:tab w:leader="none" w:pos="140" w:val="left"/>
        </w:tabs>
        <w:numPr>
          <w:ilvl w:val="0"/>
          <w:numId w:val="1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interest expense of $872 in “All Other.”</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Upstream</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Downstream</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Int’l.</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5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Int’l.</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Segment Total</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580" w:type="dxa"/>
            <w:vAlign w:val="bottom"/>
            <w:tcBorders>
              <w:bottom w:val="single" w:sz="8" w:color="0077C0"/>
            </w:tcBorders>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other operating revenues before elimination</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34,061</w:t>
            </w:r>
          </w:p>
        </w:tc>
        <w:tc>
          <w:tcPr>
            <w:tcW w:w="50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31,271</w:t>
            </w: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55,647</w:t>
            </w: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53,023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174,002</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174,407</w:t>
            </w:r>
          </w:p>
        </w:tc>
        <w:tc>
          <w:tcPr>
            <w:tcW w:w="0" w:type="dxa"/>
            <w:vAlign w:val="bottom"/>
          </w:tcPr>
          <w:p>
            <w:pPr>
              <w:spacing w:after="0"/>
              <w:rPr>
                <w:sz w:val="1"/>
                <w:szCs w:val="1"/>
                <w:color w:val="auto"/>
              </w:rPr>
            </w:pPr>
          </w:p>
        </w:tc>
      </w:tr>
      <w:tr>
        <w:trPr>
          <w:trHeight w:val="19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Intersegment revenue elimination</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(19,971)</w:t>
            </w: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(6,707)</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(5,436)</w:t>
            </w:r>
          </w:p>
        </w:tc>
        <w:tc>
          <w:tcPr>
            <w:tcW w:w="5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(35,430)</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(35,762)</w:t>
            </w:r>
          </w:p>
        </w:tc>
        <w:tc>
          <w:tcPr>
            <w:tcW w:w="0" w:type="dxa"/>
            <w:vAlign w:val="bottom"/>
          </w:tcPr>
          <w:p>
            <w:pPr>
              <w:spacing w:after="0"/>
              <w:rPr>
                <w:sz w:val="1"/>
                <w:szCs w:val="1"/>
                <w:color w:val="auto"/>
              </w:rPr>
            </w:pPr>
          </w:p>
        </w:tc>
      </w:tr>
      <w:tr>
        <w:trPr>
          <w:trHeight w:val="23"/>
        </w:trPr>
        <w:tc>
          <w:tcPr>
            <w:tcW w:w="3580" w:type="dxa"/>
            <w:vAlign w:val="bottom"/>
            <w:tcBorders>
              <w:bottom w:val="single" w:sz="8" w:color="0077C0"/>
            </w:tcBorders>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Sales and Other Operating Revenues</w:t>
            </w: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14,090</w:t>
            </w:r>
          </w:p>
        </w:tc>
        <w:tc>
          <w:tcPr>
            <w:tcW w:w="5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24,564</w:t>
            </w:r>
          </w:p>
        </w:tc>
        <w:tc>
          <w:tcPr>
            <w:tcW w:w="3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50,211</w:t>
            </w:r>
          </w:p>
        </w:tc>
        <w:tc>
          <w:tcPr>
            <w:tcW w:w="5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49,707</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138,572</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w:t>
            </w:r>
          </w:p>
        </w:tc>
        <w:tc>
          <w:tcPr>
            <w:tcW w:w="3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138,645</w:t>
            </w:r>
          </w:p>
        </w:tc>
        <w:tc>
          <w:tcPr>
            <w:tcW w:w="0" w:type="dxa"/>
            <w:vAlign w:val="bottom"/>
          </w:tcPr>
          <w:p>
            <w:pPr>
              <w:spacing w:after="0"/>
              <w:rPr>
                <w:sz w:val="1"/>
                <w:szCs w:val="1"/>
                <w:color w:val="auto"/>
              </w:rPr>
            </w:pPr>
          </w:p>
        </w:tc>
      </w:tr>
      <w:tr>
        <w:trPr>
          <w:trHeight w:val="75"/>
        </w:trPr>
        <w:tc>
          <w:tcPr>
            <w:tcW w:w="3580" w:type="dxa"/>
            <w:vAlign w:val="bottom"/>
            <w:tcBorders>
              <w:top w:val="single" w:sz="8" w:color="0077C0"/>
            </w:tcBorders>
          </w:tcPr>
          <w:p>
            <w:pPr>
              <w:spacing w:after="0"/>
              <w:rPr>
                <w:sz w:val="6"/>
                <w:szCs w:val="6"/>
                <w:color w:val="auto"/>
              </w:rPr>
            </w:pPr>
          </w:p>
        </w:tc>
        <w:tc>
          <w:tcPr>
            <w:tcW w:w="340" w:type="dxa"/>
            <w:vAlign w:val="bottom"/>
            <w:tcBorders>
              <w:top w:val="single" w:sz="8" w:color="0077C0"/>
            </w:tcBorders>
          </w:tcPr>
          <w:p>
            <w:pPr>
              <w:spacing w:after="0"/>
              <w:rPr>
                <w:sz w:val="6"/>
                <w:szCs w:val="6"/>
                <w:color w:val="auto"/>
              </w:rPr>
            </w:pPr>
          </w:p>
        </w:tc>
        <w:tc>
          <w:tcPr>
            <w:tcW w:w="780" w:type="dxa"/>
            <w:vAlign w:val="bottom"/>
            <w:tcBorders>
              <w:top w:val="single" w:sz="8" w:color="0077C0"/>
            </w:tcBorders>
          </w:tcPr>
          <w:p>
            <w:pPr>
              <w:spacing w:after="0"/>
              <w:rPr>
                <w:sz w:val="6"/>
                <w:szCs w:val="6"/>
                <w:color w:val="auto"/>
              </w:rPr>
            </w:pPr>
          </w:p>
        </w:tc>
        <w:tc>
          <w:tcPr>
            <w:tcW w:w="500" w:type="dxa"/>
            <w:vAlign w:val="bottom"/>
            <w:tcBorders>
              <w:top w:val="single" w:sz="8" w:color="0077C0"/>
            </w:tcBorders>
          </w:tcPr>
          <w:p>
            <w:pPr>
              <w:spacing w:after="0"/>
              <w:rPr>
                <w:sz w:val="6"/>
                <w:szCs w:val="6"/>
                <w:color w:val="auto"/>
              </w:rPr>
            </w:pPr>
          </w:p>
        </w:tc>
        <w:tc>
          <w:tcPr>
            <w:tcW w:w="640" w:type="dxa"/>
            <w:vAlign w:val="bottom"/>
            <w:tcBorders>
              <w:top w:val="single" w:sz="8" w:color="0077C0"/>
            </w:tcBorders>
          </w:tcPr>
          <w:p>
            <w:pPr>
              <w:spacing w:after="0"/>
              <w:rPr>
                <w:sz w:val="6"/>
                <w:szCs w:val="6"/>
                <w:color w:val="auto"/>
              </w:rPr>
            </w:pPr>
          </w:p>
        </w:tc>
        <w:tc>
          <w:tcPr>
            <w:tcW w:w="360" w:type="dxa"/>
            <w:vAlign w:val="bottom"/>
            <w:tcBorders>
              <w:top w:val="single" w:sz="8" w:color="0077C0"/>
            </w:tcBorders>
          </w:tcPr>
          <w:p>
            <w:pPr>
              <w:spacing w:after="0"/>
              <w:rPr>
                <w:sz w:val="6"/>
                <w:szCs w:val="6"/>
                <w:color w:val="auto"/>
              </w:rPr>
            </w:pPr>
          </w:p>
        </w:tc>
        <w:tc>
          <w:tcPr>
            <w:tcW w:w="780" w:type="dxa"/>
            <w:vAlign w:val="bottom"/>
            <w:tcBorders>
              <w:top w:val="single" w:sz="8" w:color="0077C0"/>
            </w:tcBorders>
          </w:tcPr>
          <w:p>
            <w:pPr>
              <w:spacing w:after="0"/>
              <w:rPr>
                <w:sz w:val="6"/>
                <w:szCs w:val="6"/>
                <w:color w:val="auto"/>
              </w:rPr>
            </w:pPr>
          </w:p>
        </w:tc>
        <w:tc>
          <w:tcPr>
            <w:tcW w:w="520" w:type="dxa"/>
            <w:vAlign w:val="bottom"/>
            <w:tcBorders>
              <w:top w:val="single" w:sz="8" w:color="0077C0"/>
            </w:tcBorders>
          </w:tcPr>
          <w:p>
            <w:pPr>
              <w:spacing w:after="0"/>
              <w:rPr>
                <w:sz w:val="6"/>
                <w:szCs w:val="6"/>
                <w:color w:val="auto"/>
              </w:rPr>
            </w:pPr>
          </w:p>
        </w:tc>
        <w:tc>
          <w:tcPr>
            <w:tcW w:w="600" w:type="dxa"/>
            <w:vAlign w:val="bottom"/>
            <w:tcBorders>
              <w:top w:val="single" w:sz="8" w:color="0077C0"/>
            </w:tcBorders>
          </w:tcPr>
          <w:p>
            <w:pPr>
              <w:spacing w:after="0"/>
              <w:rPr>
                <w:sz w:val="6"/>
                <w:szCs w:val="6"/>
                <w:color w:val="auto"/>
              </w:rPr>
            </w:pPr>
          </w:p>
        </w:tc>
        <w:tc>
          <w:tcPr>
            <w:tcW w:w="160" w:type="dxa"/>
            <w:vAlign w:val="bottom"/>
            <w:tcBorders>
              <w:top w:val="single" w:sz="8" w:color="0077C0"/>
            </w:tcBorders>
          </w:tcPr>
          <w:p>
            <w:pPr>
              <w:spacing w:after="0"/>
              <w:rPr>
                <w:sz w:val="6"/>
                <w:szCs w:val="6"/>
                <w:color w:val="auto"/>
              </w:rPr>
            </w:pPr>
          </w:p>
        </w:tc>
        <w:tc>
          <w:tcPr>
            <w:tcW w:w="960" w:type="dxa"/>
            <w:vAlign w:val="bottom"/>
            <w:tcBorders>
              <w:top w:val="single" w:sz="8" w:color="0077C0"/>
            </w:tcBorders>
          </w:tcPr>
          <w:p>
            <w:pPr>
              <w:spacing w:after="0"/>
              <w:rPr>
                <w:sz w:val="6"/>
                <w:szCs w:val="6"/>
                <w:color w:val="auto"/>
              </w:rPr>
            </w:pPr>
          </w:p>
        </w:tc>
        <w:tc>
          <w:tcPr>
            <w:tcW w:w="200" w:type="dxa"/>
            <w:vAlign w:val="bottom"/>
            <w:tcBorders>
              <w:top w:val="single" w:sz="8" w:color="0077C0"/>
            </w:tcBorders>
          </w:tcPr>
          <w:p>
            <w:pPr>
              <w:spacing w:after="0"/>
              <w:rPr>
                <w:sz w:val="6"/>
                <w:szCs w:val="6"/>
                <w:color w:val="auto"/>
              </w:rPr>
            </w:pPr>
          </w:p>
        </w:tc>
        <w:tc>
          <w:tcPr>
            <w:tcW w:w="740" w:type="dxa"/>
            <w:vAlign w:val="bottom"/>
            <w:tcBorders>
              <w:top w:val="single" w:sz="8" w:color="0077C0"/>
            </w:tcBorders>
          </w:tcPr>
          <w:p>
            <w:pPr>
              <w:spacing w:after="0"/>
              <w:rPr>
                <w:sz w:val="6"/>
                <w:szCs w:val="6"/>
                <w:color w:val="auto"/>
              </w:rPr>
            </w:pPr>
          </w:p>
        </w:tc>
        <w:tc>
          <w:tcPr>
            <w:tcW w:w="320" w:type="dxa"/>
            <w:vAlign w:val="bottom"/>
            <w:tcBorders>
              <w:top w:val="single" w:sz="8" w:color="0077C0"/>
            </w:tcBorders>
          </w:tcPr>
          <w:p>
            <w:pPr>
              <w:spacing w:after="0"/>
              <w:rPr>
                <w:sz w:val="6"/>
                <w:szCs w:val="6"/>
                <w:color w:val="auto"/>
              </w:rPr>
            </w:pPr>
          </w:p>
        </w:tc>
        <w:tc>
          <w:tcPr>
            <w:tcW w:w="760" w:type="dxa"/>
            <w:vAlign w:val="bottom"/>
            <w:tcBorders>
              <w:top w:val="single" w:sz="8" w:color="0077C0"/>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equity affiliates</w:t>
            </w:r>
          </w:p>
        </w:tc>
        <w:tc>
          <w:tcPr>
            <w:tcW w:w="3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5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5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2,345</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3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0" w:type="dxa"/>
            <w:vAlign w:val="bottom"/>
          </w:tcPr>
          <w:p>
            <w:pPr>
              <w:spacing w:after="0"/>
              <w:rPr>
                <w:sz w:val="1"/>
                <w:szCs w:val="1"/>
                <w:color w:val="auto"/>
              </w:rPr>
            </w:pPr>
          </w:p>
        </w:tc>
      </w:tr>
      <w:tr>
        <w:trPr>
          <w:trHeight w:val="19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(loss)</w:t>
            </w:r>
            <w:r>
              <w:rPr>
                <w:rFonts w:ascii="Times New Roman" w:cs="Times New Roman" w:eastAsia="Times New Roman" w:hAnsi="Times New Roman"/>
                <w:sz w:val="9"/>
                <w:szCs w:val="9"/>
                <w:color w:val="auto"/>
              </w:rPr>
              <w:t>(1)</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5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0" w:type="dxa"/>
            <w:vAlign w:val="bottom"/>
          </w:tcPr>
          <w:p>
            <w:pPr>
              <w:spacing w:after="0"/>
              <w:rPr>
                <w:sz w:val="1"/>
                <w:szCs w:val="1"/>
                <w:color w:val="auto"/>
              </w:rPr>
            </w:pPr>
          </w:p>
        </w:tc>
      </w:tr>
      <w:tr>
        <w:trPr>
          <w:trHeight w:val="23"/>
        </w:trPr>
        <w:tc>
          <w:tcPr>
            <w:tcW w:w="3580" w:type="dxa"/>
            <w:vAlign w:val="bottom"/>
            <w:tcBorders>
              <w:bottom w:val="single" w:sz="8" w:color="0077C0"/>
            </w:tcBorders>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 and Other Income</w:t>
            </w: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14,490</w:t>
            </w:r>
          </w:p>
        </w:tc>
        <w:tc>
          <w:tcPr>
            <w:tcW w:w="5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26,608</w:t>
            </w:r>
          </w:p>
        </w:tc>
        <w:tc>
          <w:tcPr>
            <w:tcW w:w="3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50,744</w:t>
            </w:r>
          </w:p>
        </w:tc>
        <w:tc>
          <w:tcPr>
            <w:tcW w:w="5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49,808</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141,650</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508</w:t>
            </w:r>
          </w:p>
        </w:tc>
        <w:tc>
          <w:tcPr>
            <w:tcW w:w="3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142,158</w:t>
            </w:r>
          </w:p>
        </w:tc>
        <w:tc>
          <w:tcPr>
            <w:tcW w:w="0" w:type="dxa"/>
            <w:vAlign w:val="bottom"/>
          </w:tcPr>
          <w:p>
            <w:pPr>
              <w:spacing w:after="0"/>
              <w:rPr>
                <w:sz w:val="1"/>
                <w:szCs w:val="1"/>
                <w:color w:val="auto"/>
              </w:rPr>
            </w:pPr>
          </w:p>
        </w:tc>
      </w:tr>
      <w:tr>
        <w:trPr>
          <w:trHeight w:val="75"/>
        </w:trPr>
        <w:tc>
          <w:tcPr>
            <w:tcW w:w="3580" w:type="dxa"/>
            <w:vAlign w:val="bottom"/>
            <w:tcBorders>
              <w:top w:val="single" w:sz="8" w:color="0077C0"/>
            </w:tcBorders>
          </w:tcPr>
          <w:p>
            <w:pPr>
              <w:spacing w:after="0"/>
              <w:rPr>
                <w:sz w:val="6"/>
                <w:szCs w:val="6"/>
                <w:color w:val="auto"/>
              </w:rPr>
            </w:pPr>
          </w:p>
        </w:tc>
        <w:tc>
          <w:tcPr>
            <w:tcW w:w="340" w:type="dxa"/>
            <w:vAlign w:val="bottom"/>
            <w:tcBorders>
              <w:top w:val="single" w:sz="8" w:color="0077C0"/>
            </w:tcBorders>
          </w:tcPr>
          <w:p>
            <w:pPr>
              <w:spacing w:after="0"/>
              <w:rPr>
                <w:sz w:val="6"/>
                <w:szCs w:val="6"/>
                <w:color w:val="auto"/>
              </w:rPr>
            </w:pPr>
          </w:p>
        </w:tc>
        <w:tc>
          <w:tcPr>
            <w:tcW w:w="780" w:type="dxa"/>
            <w:vAlign w:val="bottom"/>
            <w:tcBorders>
              <w:top w:val="single" w:sz="8" w:color="0077C0"/>
            </w:tcBorders>
          </w:tcPr>
          <w:p>
            <w:pPr>
              <w:spacing w:after="0"/>
              <w:rPr>
                <w:sz w:val="6"/>
                <w:szCs w:val="6"/>
                <w:color w:val="auto"/>
              </w:rPr>
            </w:pPr>
          </w:p>
        </w:tc>
        <w:tc>
          <w:tcPr>
            <w:tcW w:w="500" w:type="dxa"/>
            <w:vAlign w:val="bottom"/>
            <w:tcBorders>
              <w:top w:val="single" w:sz="8" w:color="0077C0"/>
            </w:tcBorders>
          </w:tcPr>
          <w:p>
            <w:pPr>
              <w:spacing w:after="0"/>
              <w:rPr>
                <w:sz w:val="6"/>
                <w:szCs w:val="6"/>
                <w:color w:val="auto"/>
              </w:rPr>
            </w:pPr>
          </w:p>
        </w:tc>
        <w:tc>
          <w:tcPr>
            <w:tcW w:w="640" w:type="dxa"/>
            <w:vAlign w:val="bottom"/>
            <w:tcBorders>
              <w:top w:val="single" w:sz="8" w:color="0077C0"/>
            </w:tcBorders>
          </w:tcPr>
          <w:p>
            <w:pPr>
              <w:spacing w:after="0"/>
              <w:rPr>
                <w:sz w:val="6"/>
                <w:szCs w:val="6"/>
                <w:color w:val="auto"/>
              </w:rPr>
            </w:pPr>
          </w:p>
        </w:tc>
        <w:tc>
          <w:tcPr>
            <w:tcW w:w="360" w:type="dxa"/>
            <w:vAlign w:val="bottom"/>
            <w:tcBorders>
              <w:top w:val="single" w:sz="8" w:color="0077C0"/>
            </w:tcBorders>
          </w:tcPr>
          <w:p>
            <w:pPr>
              <w:spacing w:after="0"/>
              <w:rPr>
                <w:sz w:val="6"/>
                <w:szCs w:val="6"/>
                <w:color w:val="auto"/>
              </w:rPr>
            </w:pPr>
          </w:p>
        </w:tc>
        <w:tc>
          <w:tcPr>
            <w:tcW w:w="780" w:type="dxa"/>
            <w:vAlign w:val="bottom"/>
            <w:tcBorders>
              <w:top w:val="single" w:sz="8" w:color="0077C0"/>
            </w:tcBorders>
          </w:tcPr>
          <w:p>
            <w:pPr>
              <w:spacing w:after="0"/>
              <w:rPr>
                <w:sz w:val="6"/>
                <w:szCs w:val="6"/>
                <w:color w:val="auto"/>
              </w:rPr>
            </w:pPr>
          </w:p>
        </w:tc>
        <w:tc>
          <w:tcPr>
            <w:tcW w:w="520" w:type="dxa"/>
            <w:vAlign w:val="bottom"/>
            <w:tcBorders>
              <w:top w:val="single" w:sz="8" w:color="0077C0"/>
            </w:tcBorders>
          </w:tcPr>
          <w:p>
            <w:pPr>
              <w:spacing w:after="0"/>
              <w:rPr>
                <w:sz w:val="6"/>
                <w:szCs w:val="6"/>
                <w:color w:val="auto"/>
              </w:rPr>
            </w:pPr>
          </w:p>
        </w:tc>
        <w:tc>
          <w:tcPr>
            <w:tcW w:w="600" w:type="dxa"/>
            <w:vAlign w:val="bottom"/>
            <w:tcBorders>
              <w:top w:val="single" w:sz="8" w:color="0077C0"/>
            </w:tcBorders>
          </w:tcPr>
          <w:p>
            <w:pPr>
              <w:spacing w:after="0"/>
              <w:rPr>
                <w:sz w:val="6"/>
                <w:szCs w:val="6"/>
                <w:color w:val="auto"/>
              </w:rPr>
            </w:pPr>
          </w:p>
        </w:tc>
        <w:tc>
          <w:tcPr>
            <w:tcW w:w="160" w:type="dxa"/>
            <w:vAlign w:val="bottom"/>
            <w:tcBorders>
              <w:top w:val="single" w:sz="8" w:color="0077C0"/>
            </w:tcBorders>
          </w:tcPr>
          <w:p>
            <w:pPr>
              <w:spacing w:after="0"/>
              <w:rPr>
                <w:sz w:val="6"/>
                <w:szCs w:val="6"/>
                <w:color w:val="auto"/>
              </w:rPr>
            </w:pPr>
          </w:p>
        </w:tc>
        <w:tc>
          <w:tcPr>
            <w:tcW w:w="960" w:type="dxa"/>
            <w:vAlign w:val="bottom"/>
            <w:tcBorders>
              <w:top w:val="single" w:sz="8" w:color="0077C0"/>
            </w:tcBorders>
          </w:tcPr>
          <w:p>
            <w:pPr>
              <w:spacing w:after="0"/>
              <w:rPr>
                <w:sz w:val="6"/>
                <w:szCs w:val="6"/>
                <w:color w:val="auto"/>
              </w:rPr>
            </w:pPr>
          </w:p>
        </w:tc>
        <w:tc>
          <w:tcPr>
            <w:tcW w:w="200" w:type="dxa"/>
            <w:vAlign w:val="bottom"/>
            <w:tcBorders>
              <w:top w:val="single" w:sz="8" w:color="0077C0"/>
            </w:tcBorders>
          </w:tcPr>
          <w:p>
            <w:pPr>
              <w:spacing w:after="0"/>
              <w:rPr>
                <w:sz w:val="6"/>
                <w:szCs w:val="6"/>
                <w:color w:val="auto"/>
              </w:rPr>
            </w:pPr>
          </w:p>
        </w:tc>
        <w:tc>
          <w:tcPr>
            <w:tcW w:w="740" w:type="dxa"/>
            <w:vAlign w:val="bottom"/>
            <w:tcBorders>
              <w:top w:val="single" w:sz="8" w:color="0077C0"/>
            </w:tcBorders>
          </w:tcPr>
          <w:p>
            <w:pPr>
              <w:spacing w:after="0"/>
              <w:rPr>
                <w:sz w:val="6"/>
                <w:szCs w:val="6"/>
                <w:color w:val="auto"/>
              </w:rPr>
            </w:pPr>
          </w:p>
        </w:tc>
        <w:tc>
          <w:tcPr>
            <w:tcW w:w="320" w:type="dxa"/>
            <w:vAlign w:val="bottom"/>
            <w:tcBorders>
              <w:top w:val="single" w:sz="8" w:color="0077C0"/>
            </w:tcBorders>
          </w:tcPr>
          <w:p>
            <w:pPr>
              <w:spacing w:after="0"/>
              <w:rPr>
                <w:sz w:val="6"/>
                <w:szCs w:val="6"/>
                <w:color w:val="auto"/>
              </w:rPr>
            </w:pPr>
          </w:p>
        </w:tc>
        <w:tc>
          <w:tcPr>
            <w:tcW w:w="760" w:type="dxa"/>
            <w:vAlign w:val="bottom"/>
            <w:tcBorders>
              <w:top w:val="single" w:sz="8" w:color="0077C0"/>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Intersegment product transfers</w:t>
            </w:r>
            <w:r>
              <w:rPr>
                <w:rFonts w:ascii="Times New Roman" w:cs="Times New Roman" w:eastAsia="Times New Roman" w:hAnsi="Times New Roman"/>
                <w:sz w:val="9"/>
                <w:szCs w:val="9"/>
                <w:color w:val="auto"/>
              </w:rPr>
              <w:t>(2)</w:t>
            </w:r>
          </w:p>
        </w:tc>
        <w:tc>
          <w:tcPr>
            <w:tcW w:w="3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18,055</w:t>
            </w:r>
          </w:p>
        </w:tc>
        <w:tc>
          <w:tcPr>
            <w:tcW w:w="5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2,159</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(19,736)</w:t>
            </w:r>
          </w:p>
        </w:tc>
        <w:tc>
          <w:tcPr>
            <w:tcW w:w="5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3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Less expenses:</w:t>
            </w: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Purchased crude oil and products</w:t>
            </w:r>
          </w:p>
        </w:tc>
        <w:tc>
          <w:tcPr>
            <w:tcW w:w="3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10,961</w:t>
            </w:r>
          </w:p>
        </w:tc>
        <w:tc>
          <w:tcPr>
            <w:tcW w:w="5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8,412</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21,843</w:t>
            </w:r>
          </w:p>
        </w:tc>
        <w:tc>
          <w:tcPr>
            <w:tcW w:w="5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41,650</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82,866</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82,866</w:t>
            </w:r>
          </w:p>
        </w:tc>
        <w:tc>
          <w:tcPr>
            <w:tcW w:w="0" w:type="dxa"/>
            <w:vAlign w:val="bottom"/>
          </w:tcPr>
          <w:p>
            <w:pPr>
              <w:spacing w:after="0"/>
              <w:rPr>
                <w:sz w:val="1"/>
                <w:szCs w:val="1"/>
                <w:color w:val="auto"/>
              </w:rPr>
            </w:pPr>
          </w:p>
        </w:tc>
      </w:tr>
      <w:tr>
        <w:trPr>
          <w:trHeight w:val="19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and SG&amp;A expenses</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7,481</w:t>
            </w: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4,137</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6,540</w:t>
            </w:r>
          </w:p>
        </w:tc>
        <w:tc>
          <w:tcPr>
            <w:tcW w:w="5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4,259</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22,417</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24,414</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3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6,947</w:t>
            </w:r>
          </w:p>
        </w:tc>
        <w:tc>
          <w:tcPr>
            <w:tcW w:w="5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6,104</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5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14,039</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3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14,248</w:t>
            </w:r>
          </w:p>
        </w:tc>
        <w:tc>
          <w:tcPr>
            <w:tcW w:w="0" w:type="dxa"/>
            <w:vAlign w:val="bottom"/>
          </w:tcPr>
          <w:p>
            <w:pPr>
              <w:spacing w:after="0"/>
              <w:rPr>
                <w:sz w:val="1"/>
                <w:szCs w:val="1"/>
                <w:color w:val="auto"/>
              </w:rPr>
            </w:pPr>
          </w:p>
        </w:tc>
      </w:tr>
      <w:tr>
        <w:trPr>
          <w:trHeight w:val="19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costs and deductions</w:t>
            </w:r>
            <w:r>
              <w:rPr>
                <w:rFonts w:ascii="Times New Roman" w:cs="Times New Roman" w:eastAsia="Times New Roman" w:hAnsi="Times New Roman"/>
                <w:sz w:val="9"/>
                <w:szCs w:val="9"/>
                <w:color w:val="auto"/>
              </w:rPr>
              <w:t>(3)</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5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4,513</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5,486</w:t>
            </w:r>
          </w:p>
        </w:tc>
        <w:tc>
          <w:tcPr>
            <w:tcW w:w="0" w:type="dxa"/>
            <w:vAlign w:val="bottom"/>
          </w:tcPr>
          <w:p>
            <w:pPr>
              <w:spacing w:after="0"/>
              <w:rPr>
                <w:sz w:val="1"/>
                <w:szCs w:val="1"/>
                <w:color w:val="auto"/>
              </w:rPr>
            </w:pPr>
          </w:p>
        </w:tc>
      </w:tr>
      <w:tr>
        <w:trPr>
          <w:trHeight w:val="23"/>
        </w:trPr>
        <w:tc>
          <w:tcPr>
            <w:tcW w:w="3580" w:type="dxa"/>
            <w:vAlign w:val="bottom"/>
            <w:tcBorders>
              <w:bottom w:val="single" w:sz="8" w:color="0077C0"/>
            </w:tcBorders>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Costs and Other Deductions</w:t>
            </w: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26,603</w:t>
            </w:r>
          </w:p>
        </w:tc>
        <w:tc>
          <w:tcPr>
            <w:tcW w:w="5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19,629</w:t>
            </w:r>
          </w:p>
        </w:tc>
        <w:tc>
          <w:tcPr>
            <w:tcW w:w="3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29,666</w:t>
            </w:r>
          </w:p>
        </w:tc>
        <w:tc>
          <w:tcPr>
            <w:tcW w:w="5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47,937</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123,835</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3,179</w:t>
            </w:r>
          </w:p>
        </w:tc>
        <w:tc>
          <w:tcPr>
            <w:tcW w:w="3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127,014</w:t>
            </w:r>
          </w:p>
        </w:tc>
        <w:tc>
          <w:tcPr>
            <w:tcW w:w="0" w:type="dxa"/>
            <w:vAlign w:val="bottom"/>
          </w:tcPr>
          <w:p>
            <w:pPr>
              <w:spacing w:after="0"/>
              <w:rPr>
                <w:sz w:val="1"/>
                <w:szCs w:val="1"/>
                <w:color w:val="auto"/>
              </w:rPr>
            </w:pPr>
          </w:p>
        </w:tc>
      </w:tr>
      <w:tr>
        <w:trPr>
          <w:trHeight w:val="75"/>
        </w:trPr>
        <w:tc>
          <w:tcPr>
            <w:tcW w:w="3580" w:type="dxa"/>
            <w:vAlign w:val="bottom"/>
            <w:tcBorders>
              <w:top w:val="single" w:sz="8" w:color="0077C0"/>
            </w:tcBorders>
          </w:tcPr>
          <w:p>
            <w:pPr>
              <w:spacing w:after="0"/>
              <w:rPr>
                <w:sz w:val="6"/>
                <w:szCs w:val="6"/>
                <w:color w:val="auto"/>
              </w:rPr>
            </w:pPr>
          </w:p>
        </w:tc>
        <w:tc>
          <w:tcPr>
            <w:tcW w:w="340" w:type="dxa"/>
            <w:vAlign w:val="bottom"/>
            <w:tcBorders>
              <w:top w:val="single" w:sz="8" w:color="0077C0"/>
            </w:tcBorders>
          </w:tcPr>
          <w:p>
            <w:pPr>
              <w:spacing w:after="0"/>
              <w:rPr>
                <w:sz w:val="6"/>
                <w:szCs w:val="6"/>
                <w:color w:val="auto"/>
              </w:rPr>
            </w:pPr>
          </w:p>
        </w:tc>
        <w:tc>
          <w:tcPr>
            <w:tcW w:w="780" w:type="dxa"/>
            <w:vAlign w:val="bottom"/>
            <w:tcBorders>
              <w:top w:val="single" w:sz="8" w:color="0077C0"/>
            </w:tcBorders>
          </w:tcPr>
          <w:p>
            <w:pPr>
              <w:spacing w:after="0"/>
              <w:rPr>
                <w:sz w:val="6"/>
                <w:szCs w:val="6"/>
                <w:color w:val="auto"/>
              </w:rPr>
            </w:pPr>
          </w:p>
        </w:tc>
        <w:tc>
          <w:tcPr>
            <w:tcW w:w="500" w:type="dxa"/>
            <w:vAlign w:val="bottom"/>
            <w:tcBorders>
              <w:top w:val="single" w:sz="8" w:color="0077C0"/>
            </w:tcBorders>
          </w:tcPr>
          <w:p>
            <w:pPr>
              <w:spacing w:after="0"/>
              <w:rPr>
                <w:sz w:val="6"/>
                <w:szCs w:val="6"/>
                <w:color w:val="auto"/>
              </w:rPr>
            </w:pPr>
          </w:p>
        </w:tc>
        <w:tc>
          <w:tcPr>
            <w:tcW w:w="640" w:type="dxa"/>
            <w:vAlign w:val="bottom"/>
            <w:tcBorders>
              <w:top w:val="single" w:sz="8" w:color="0077C0"/>
            </w:tcBorders>
          </w:tcPr>
          <w:p>
            <w:pPr>
              <w:spacing w:after="0"/>
              <w:rPr>
                <w:sz w:val="6"/>
                <w:szCs w:val="6"/>
                <w:color w:val="auto"/>
              </w:rPr>
            </w:pPr>
          </w:p>
        </w:tc>
        <w:tc>
          <w:tcPr>
            <w:tcW w:w="360" w:type="dxa"/>
            <w:vAlign w:val="bottom"/>
            <w:tcBorders>
              <w:top w:val="single" w:sz="8" w:color="0077C0"/>
            </w:tcBorders>
          </w:tcPr>
          <w:p>
            <w:pPr>
              <w:spacing w:after="0"/>
              <w:rPr>
                <w:sz w:val="6"/>
                <w:szCs w:val="6"/>
                <w:color w:val="auto"/>
              </w:rPr>
            </w:pPr>
          </w:p>
        </w:tc>
        <w:tc>
          <w:tcPr>
            <w:tcW w:w="780" w:type="dxa"/>
            <w:vAlign w:val="bottom"/>
            <w:tcBorders>
              <w:top w:val="single" w:sz="8" w:color="0077C0"/>
            </w:tcBorders>
          </w:tcPr>
          <w:p>
            <w:pPr>
              <w:spacing w:after="0"/>
              <w:rPr>
                <w:sz w:val="6"/>
                <w:szCs w:val="6"/>
                <w:color w:val="auto"/>
              </w:rPr>
            </w:pPr>
          </w:p>
        </w:tc>
        <w:tc>
          <w:tcPr>
            <w:tcW w:w="520" w:type="dxa"/>
            <w:vAlign w:val="bottom"/>
            <w:tcBorders>
              <w:top w:val="single" w:sz="8" w:color="0077C0"/>
            </w:tcBorders>
          </w:tcPr>
          <w:p>
            <w:pPr>
              <w:spacing w:after="0"/>
              <w:rPr>
                <w:sz w:val="6"/>
                <w:szCs w:val="6"/>
                <w:color w:val="auto"/>
              </w:rPr>
            </w:pPr>
          </w:p>
        </w:tc>
        <w:tc>
          <w:tcPr>
            <w:tcW w:w="600" w:type="dxa"/>
            <w:vAlign w:val="bottom"/>
            <w:tcBorders>
              <w:top w:val="single" w:sz="8" w:color="0077C0"/>
            </w:tcBorders>
          </w:tcPr>
          <w:p>
            <w:pPr>
              <w:spacing w:after="0"/>
              <w:rPr>
                <w:sz w:val="6"/>
                <w:szCs w:val="6"/>
                <w:color w:val="auto"/>
              </w:rPr>
            </w:pPr>
          </w:p>
        </w:tc>
        <w:tc>
          <w:tcPr>
            <w:tcW w:w="160" w:type="dxa"/>
            <w:vAlign w:val="bottom"/>
            <w:tcBorders>
              <w:top w:val="single" w:sz="8" w:color="0077C0"/>
            </w:tcBorders>
          </w:tcPr>
          <w:p>
            <w:pPr>
              <w:spacing w:after="0"/>
              <w:rPr>
                <w:sz w:val="6"/>
                <w:szCs w:val="6"/>
                <w:color w:val="auto"/>
              </w:rPr>
            </w:pPr>
          </w:p>
        </w:tc>
        <w:tc>
          <w:tcPr>
            <w:tcW w:w="960" w:type="dxa"/>
            <w:vAlign w:val="bottom"/>
            <w:tcBorders>
              <w:top w:val="single" w:sz="8" w:color="0077C0"/>
            </w:tcBorders>
          </w:tcPr>
          <w:p>
            <w:pPr>
              <w:spacing w:after="0"/>
              <w:rPr>
                <w:sz w:val="6"/>
                <w:szCs w:val="6"/>
                <w:color w:val="auto"/>
              </w:rPr>
            </w:pPr>
          </w:p>
        </w:tc>
        <w:tc>
          <w:tcPr>
            <w:tcW w:w="200" w:type="dxa"/>
            <w:vAlign w:val="bottom"/>
            <w:tcBorders>
              <w:top w:val="single" w:sz="8" w:color="0077C0"/>
            </w:tcBorders>
          </w:tcPr>
          <w:p>
            <w:pPr>
              <w:spacing w:after="0"/>
              <w:rPr>
                <w:sz w:val="6"/>
                <w:szCs w:val="6"/>
                <w:color w:val="auto"/>
              </w:rPr>
            </w:pPr>
          </w:p>
        </w:tc>
        <w:tc>
          <w:tcPr>
            <w:tcW w:w="740" w:type="dxa"/>
            <w:vAlign w:val="bottom"/>
            <w:tcBorders>
              <w:top w:val="single" w:sz="8" w:color="0077C0"/>
            </w:tcBorders>
          </w:tcPr>
          <w:p>
            <w:pPr>
              <w:spacing w:after="0"/>
              <w:rPr>
                <w:sz w:val="6"/>
                <w:szCs w:val="6"/>
                <w:color w:val="auto"/>
              </w:rPr>
            </w:pPr>
          </w:p>
        </w:tc>
        <w:tc>
          <w:tcPr>
            <w:tcW w:w="320" w:type="dxa"/>
            <w:vAlign w:val="bottom"/>
            <w:tcBorders>
              <w:top w:val="single" w:sz="8" w:color="0077C0"/>
            </w:tcBorders>
          </w:tcPr>
          <w:p>
            <w:pPr>
              <w:spacing w:after="0"/>
              <w:rPr>
                <w:sz w:val="6"/>
                <w:szCs w:val="6"/>
                <w:color w:val="auto"/>
              </w:rPr>
            </w:pPr>
          </w:p>
        </w:tc>
        <w:tc>
          <w:tcPr>
            <w:tcW w:w="760" w:type="dxa"/>
            <w:vAlign w:val="bottom"/>
            <w:tcBorders>
              <w:top w:val="single" w:sz="8" w:color="0077C0"/>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5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w:t>
            </w:r>
          </w:p>
        </w:tc>
        <w:tc>
          <w:tcPr>
            <w:tcW w:w="3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5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5,847</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3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5,504</w:t>
            </w:r>
          </w:p>
        </w:tc>
        <w:tc>
          <w:tcPr>
            <w:tcW w:w="0" w:type="dxa"/>
            <w:vAlign w:val="bottom"/>
          </w:tcPr>
          <w:p>
            <w:pPr>
              <w:spacing w:after="0"/>
              <w:rPr>
                <w:sz w:val="1"/>
                <w:szCs w:val="1"/>
                <w:color w:val="auto"/>
              </w:rPr>
            </w:pPr>
          </w:p>
        </w:tc>
      </w:tr>
      <w:tr>
        <w:trPr>
          <w:trHeight w:val="146"/>
        </w:trPr>
        <w:tc>
          <w:tcPr>
            <w:tcW w:w="3580" w:type="dxa"/>
            <w:vAlign w:val="bottom"/>
            <w:tcBorders>
              <w:top w:val="single" w:sz="8" w:color="0077C0"/>
            </w:tcBorders>
          </w:tcPr>
          <w:p>
            <w:pPr>
              <w:ind w:left="360"/>
              <w:spacing w:after="0" w:line="147" w:lineRule="exact"/>
              <w:rPr>
                <w:sz w:val="20"/>
                <w:szCs w:val="20"/>
                <w:color w:val="auto"/>
              </w:rPr>
            </w:pPr>
            <w:r>
              <w:rPr>
                <w:rFonts w:ascii="Times New Roman" w:cs="Times New Roman" w:eastAsia="Times New Roman" w:hAnsi="Times New Roman"/>
                <w:sz w:val="14"/>
                <w:szCs w:val="14"/>
                <w:color w:val="auto"/>
              </w:rPr>
              <w:t>Less: Net income (loss) attributable to non-controlling</w:t>
            </w:r>
          </w:p>
        </w:tc>
        <w:tc>
          <w:tcPr>
            <w:tcW w:w="340" w:type="dxa"/>
            <w:vAlign w:val="bottom"/>
            <w:tcBorders>
              <w:top w:val="single" w:sz="8" w:color="0077C0"/>
            </w:tcBorders>
          </w:tcPr>
          <w:p>
            <w:pPr>
              <w:spacing w:after="0"/>
              <w:rPr>
                <w:sz w:val="12"/>
                <w:szCs w:val="12"/>
                <w:color w:val="auto"/>
              </w:rPr>
            </w:pPr>
          </w:p>
        </w:tc>
        <w:tc>
          <w:tcPr>
            <w:tcW w:w="780" w:type="dxa"/>
            <w:vAlign w:val="bottom"/>
            <w:tcBorders>
              <w:top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500" w:type="dxa"/>
            <w:vAlign w:val="bottom"/>
            <w:tcBorders>
              <w:top w:val="single" w:sz="8" w:color="0077C0"/>
            </w:tcBorders>
          </w:tcPr>
          <w:p>
            <w:pPr>
              <w:spacing w:after="0"/>
              <w:rPr>
                <w:sz w:val="12"/>
                <w:szCs w:val="12"/>
                <w:color w:val="auto"/>
              </w:rPr>
            </w:pPr>
          </w:p>
        </w:tc>
        <w:tc>
          <w:tcPr>
            <w:tcW w:w="640" w:type="dxa"/>
            <w:vAlign w:val="bottom"/>
            <w:tcBorders>
              <w:top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60" w:type="dxa"/>
            <w:vAlign w:val="bottom"/>
            <w:tcBorders>
              <w:top w:val="single" w:sz="8" w:color="0077C0"/>
            </w:tcBorders>
          </w:tcPr>
          <w:p>
            <w:pPr>
              <w:spacing w:after="0"/>
              <w:rPr>
                <w:sz w:val="12"/>
                <w:szCs w:val="12"/>
                <w:color w:val="auto"/>
              </w:rPr>
            </w:pPr>
          </w:p>
        </w:tc>
        <w:tc>
          <w:tcPr>
            <w:tcW w:w="780" w:type="dxa"/>
            <w:vAlign w:val="bottom"/>
            <w:tcBorders>
              <w:top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0077C0"/>
            </w:tcBorders>
          </w:tcPr>
          <w:p>
            <w:pPr>
              <w:spacing w:after="0"/>
              <w:rPr>
                <w:sz w:val="12"/>
                <w:szCs w:val="12"/>
                <w:color w:val="auto"/>
              </w:rPr>
            </w:pPr>
          </w:p>
        </w:tc>
        <w:tc>
          <w:tcPr>
            <w:tcW w:w="600" w:type="dxa"/>
            <w:vAlign w:val="bottom"/>
            <w:tcBorders>
              <w:top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60" w:type="dxa"/>
            <w:vAlign w:val="bottom"/>
            <w:tcBorders>
              <w:top w:val="single" w:sz="8" w:color="0077C0"/>
            </w:tcBorders>
          </w:tcPr>
          <w:p>
            <w:pPr>
              <w:spacing w:after="0"/>
              <w:rPr>
                <w:sz w:val="12"/>
                <w:szCs w:val="12"/>
                <w:color w:val="auto"/>
              </w:rPr>
            </w:pPr>
          </w:p>
        </w:tc>
        <w:tc>
          <w:tcPr>
            <w:tcW w:w="960" w:type="dxa"/>
            <w:vAlign w:val="bottom"/>
            <w:tcBorders>
              <w:top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00" w:type="dxa"/>
            <w:vAlign w:val="bottom"/>
            <w:tcBorders>
              <w:top w:val="single" w:sz="8" w:color="0077C0"/>
            </w:tcBorders>
          </w:tcPr>
          <w:p>
            <w:pPr>
              <w:spacing w:after="0"/>
              <w:rPr>
                <w:sz w:val="12"/>
                <w:szCs w:val="12"/>
                <w:color w:val="auto"/>
              </w:rPr>
            </w:pPr>
          </w:p>
        </w:tc>
        <w:tc>
          <w:tcPr>
            <w:tcW w:w="740" w:type="dxa"/>
            <w:vAlign w:val="bottom"/>
            <w:tcBorders>
              <w:top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0077C0"/>
            </w:tcBorders>
          </w:tcPr>
          <w:p>
            <w:pPr>
              <w:spacing w:after="0"/>
              <w:rPr>
                <w:sz w:val="12"/>
                <w:szCs w:val="12"/>
                <w:color w:val="auto"/>
              </w:rPr>
            </w:pPr>
          </w:p>
        </w:tc>
        <w:tc>
          <w:tcPr>
            <w:tcW w:w="760" w:type="dxa"/>
            <w:vAlign w:val="bottom"/>
            <w:tcBorders>
              <w:top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93"/>
        </w:trPr>
        <w:tc>
          <w:tcPr>
            <w:tcW w:w="3580" w:type="dxa"/>
            <w:vAlign w:val="bottom"/>
            <w:tcBorders>
              <w:bottom w:val="single" w:sz="8" w:color="0077C0"/>
            </w:tcBorders>
          </w:tcPr>
          <w:p>
            <w:pPr>
              <w:ind w:left="360"/>
              <w:spacing w:after="0"/>
              <w:rPr>
                <w:sz w:val="20"/>
                <w:szCs w:val="20"/>
                <w:color w:val="auto"/>
              </w:rPr>
            </w:pPr>
            <w:r>
              <w:rPr>
                <w:rFonts w:ascii="Times New Roman" w:cs="Times New Roman" w:eastAsia="Times New Roman" w:hAnsi="Times New Roman"/>
                <w:sz w:val="14"/>
                <w:szCs w:val="14"/>
                <w:color w:val="auto"/>
              </w:rPr>
              <w:t>interests</w:t>
            </w:r>
          </w:p>
        </w:tc>
        <w:tc>
          <w:tcPr>
            <w:tcW w:w="340" w:type="dxa"/>
            <w:vAlign w:val="bottom"/>
            <w:tcBorders>
              <w:bottom w:val="single" w:sz="8" w:color="0077C0"/>
            </w:tcBorders>
          </w:tcPr>
          <w:p>
            <w:pPr>
              <w:spacing w:after="0"/>
              <w:rPr>
                <w:sz w:val="16"/>
                <w:szCs w:val="16"/>
                <w:color w:val="auto"/>
              </w:rPr>
            </w:pPr>
          </w:p>
        </w:tc>
        <w:tc>
          <w:tcPr>
            <w:tcW w:w="780" w:type="dxa"/>
            <w:vAlign w:val="bottom"/>
            <w:tcBorders>
              <w:bottom w:val="single" w:sz="8" w:color="0077C0"/>
            </w:tcBorders>
            <w:vMerge w:val="continue"/>
          </w:tcPr>
          <w:p>
            <w:pPr>
              <w:spacing w:after="0"/>
              <w:rPr>
                <w:sz w:val="16"/>
                <w:szCs w:val="16"/>
                <w:color w:val="auto"/>
              </w:rPr>
            </w:pPr>
          </w:p>
        </w:tc>
        <w:tc>
          <w:tcPr>
            <w:tcW w:w="50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vMerge w:val="continue"/>
          </w:tcPr>
          <w:p>
            <w:pPr>
              <w:spacing w:after="0"/>
              <w:rPr>
                <w:sz w:val="16"/>
                <w:szCs w:val="16"/>
                <w:color w:val="auto"/>
              </w:rPr>
            </w:pPr>
          </w:p>
        </w:tc>
        <w:tc>
          <w:tcPr>
            <w:tcW w:w="360" w:type="dxa"/>
            <w:vAlign w:val="bottom"/>
            <w:tcBorders>
              <w:bottom w:val="single" w:sz="8" w:color="0077C0"/>
            </w:tcBorders>
          </w:tcPr>
          <w:p>
            <w:pPr>
              <w:spacing w:after="0"/>
              <w:rPr>
                <w:sz w:val="16"/>
                <w:szCs w:val="16"/>
                <w:color w:val="auto"/>
              </w:rPr>
            </w:pPr>
          </w:p>
        </w:tc>
        <w:tc>
          <w:tcPr>
            <w:tcW w:w="780" w:type="dxa"/>
            <w:vAlign w:val="bottom"/>
            <w:tcBorders>
              <w:bottom w:val="single" w:sz="8" w:color="0077C0"/>
            </w:tcBorders>
            <w:vMerge w:val="continue"/>
          </w:tcPr>
          <w:p>
            <w:pPr>
              <w:spacing w:after="0"/>
              <w:rPr>
                <w:sz w:val="16"/>
                <w:szCs w:val="16"/>
                <w:color w:val="auto"/>
              </w:rPr>
            </w:pPr>
          </w:p>
        </w:tc>
        <w:tc>
          <w:tcPr>
            <w:tcW w:w="52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vMerge w:val="continue"/>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960" w:type="dxa"/>
            <w:vAlign w:val="bottom"/>
            <w:tcBorders>
              <w:bottom w:val="single" w:sz="8" w:color="0077C0"/>
            </w:tcBorders>
            <w:vMerge w:val="continue"/>
          </w:tcPr>
          <w:p>
            <w:pPr>
              <w:spacing w:after="0"/>
              <w:rPr>
                <w:sz w:val="16"/>
                <w:szCs w:val="16"/>
                <w:color w:val="auto"/>
              </w:rPr>
            </w:pPr>
          </w:p>
        </w:tc>
        <w:tc>
          <w:tcPr>
            <w:tcW w:w="20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vMerge w:val="continue"/>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760" w:type="dxa"/>
            <w:vAlign w:val="bottom"/>
            <w:tcBorders>
              <w:bottom w:val="single" w:sz="8" w:color="0077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Attributable to Chevron Corporation</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4,558</w:t>
            </w:r>
          </w:p>
        </w:tc>
        <w:tc>
          <w:tcPr>
            <w:tcW w:w="50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5,229</w:t>
            </w: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1,145</w:t>
            </w: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11,986</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(2,457)</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9,529</w:t>
            </w:r>
          </w:p>
        </w:tc>
        <w:tc>
          <w:tcPr>
            <w:tcW w:w="0" w:type="dxa"/>
            <w:vAlign w:val="bottom"/>
          </w:tcPr>
          <w:p>
            <w:pPr>
              <w:spacing w:after="0"/>
              <w:rPr>
                <w:sz w:val="1"/>
                <w:szCs w:val="1"/>
                <w:color w:val="auto"/>
              </w:rPr>
            </w:pPr>
          </w:p>
        </w:tc>
      </w:tr>
      <w:tr>
        <w:trPr>
          <w:trHeight w:val="20"/>
        </w:trPr>
        <w:tc>
          <w:tcPr>
            <w:tcW w:w="3580" w:type="dxa"/>
            <w:vAlign w:val="bottom"/>
            <w:shd w:val="clear" w:color="auto" w:fill="0077C0"/>
          </w:tcPr>
          <w:p>
            <w:pPr>
              <w:spacing w:after="0" w:line="20" w:lineRule="exact"/>
              <w:rPr>
                <w:sz w:val="1"/>
                <w:szCs w:val="1"/>
                <w:color w:val="auto"/>
              </w:rPr>
            </w:pPr>
          </w:p>
        </w:tc>
        <w:tc>
          <w:tcPr>
            <w:tcW w:w="340" w:type="dxa"/>
            <w:vAlign w:val="bottom"/>
            <w:shd w:val="clear" w:color="auto" w:fill="0077C0"/>
          </w:tcPr>
          <w:p>
            <w:pPr>
              <w:spacing w:after="0" w:line="20" w:lineRule="exact"/>
              <w:rPr>
                <w:sz w:val="1"/>
                <w:szCs w:val="1"/>
                <w:color w:val="auto"/>
              </w:rPr>
            </w:pPr>
          </w:p>
        </w:tc>
        <w:tc>
          <w:tcPr>
            <w:tcW w:w="780" w:type="dxa"/>
            <w:vAlign w:val="bottom"/>
            <w:shd w:val="clear" w:color="auto" w:fill="0077C0"/>
          </w:tcPr>
          <w:p>
            <w:pPr>
              <w:spacing w:after="0" w:line="20" w:lineRule="exact"/>
              <w:rPr>
                <w:sz w:val="1"/>
                <w:szCs w:val="1"/>
                <w:color w:val="auto"/>
              </w:rPr>
            </w:pPr>
          </w:p>
        </w:tc>
        <w:tc>
          <w:tcPr>
            <w:tcW w:w="500" w:type="dxa"/>
            <w:vAlign w:val="bottom"/>
            <w:shd w:val="clear" w:color="auto" w:fill="0077C0"/>
          </w:tcPr>
          <w:p>
            <w:pPr>
              <w:spacing w:after="0" w:line="20" w:lineRule="exact"/>
              <w:rPr>
                <w:sz w:val="1"/>
                <w:szCs w:val="1"/>
                <w:color w:val="auto"/>
              </w:rPr>
            </w:pPr>
          </w:p>
        </w:tc>
        <w:tc>
          <w:tcPr>
            <w:tcW w:w="640" w:type="dxa"/>
            <w:vAlign w:val="bottom"/>
            <w:shd w:val="clear" w:color="auto" w:fill="0077C0"/>
          </w:tcPr>
          <w:p>
            <w:pPr>
              <w:spacing w:after="0" w:line="20" w:lineRule="exact"/>
              <w:rPr>
                <w:sz w:val="1"/>
                <w:szCs w:val="1"/>
                <w:color w:val="auto"/>
              </w:rPr>
            </w:pPr>
          </w:p>
        </w:tc>
        <w:tc>
          <w:tcPr>
            <w:tcW w:w="360" w:type="dxa"/>
            <w:vAlign w:val="bottom"/>
            <w:shd w:val="clear" w:color="auto" w:fill="0077C0"/>
          </w:tcPr>
          <w:p>
            <w:pPr>
              <w:spacing w:after="0" w:line="20" w:lineRule="exact"/>
              <w:rPr>
                <w:sz w:val="1"/>
                <w:szCs w:val="1"/>
                <w:color w:val="auto"/>
              </w:rPr>
            </w:pPr>
          </w:p>
        </w:tc>
        <w:tc>
          <w:tcPr>
            <w:tcW w:w="780" w:type="dxa"/>
            <w:vAlign w:val="bottom"/>
            <w:shd w:val="clear" w:color="auto" w:fill="0077C0"/>
          </w:tcPr>
          <w:p>
            <w:pPr>
              <w:spacing w:after="0" w:line="20" w:lineRule="exact"/>
              <w:rPr>
                <w:sz w:val="1"/>
                <w:szCs w:val="1"/>
                <w:color w:val="auto"/>
              </w:rPr>
            </w:pPr>
          </w:p>
        </w:tc>
        <w:tc>
          <w:tcPr>
            <w:tcW w:w="520" w:type="dxa"/>
            <w:vAlign w:val="bottom"/>
            <w:shd w:val="clear" w:color="auto" w:fill="0077C0"/>
          </w:tcPr>
          <w:p>
            <w:pPr>
              <w:spacing w:after="0" w:line="20" w:lineRule="exact"/>
              <w:rPr>
                <w:sz w:val="1"/>
                <w:szCs w:val="1"/>
                <w:color w:val="auto"/>
              </w:rPr>
            </w:pPr>
          </w:p>
        </w:tc>
        <w:tc>
          <w:tcPr>
            <w:tcW w:w="600" w:type="dxa"/>
            <w:vAlign w:val="bottom"/>
            <w:shd w:val="clear" w:color="auto" w:fill="0077C0"/>
          </w:tcPr>
          <w:p>
            <w:pPr>
              <w:spacing w:after="0" w:line="20" w:lineRule="exact"/>
              <w:rPr>
                <w:sz w:val="1"/>
                <w:szCs w:val="1"/>
                <w:color w:val="auto"/>
              </w:rPr>
            </w:pPr>
          </w:p>
        </w:tc>
        <w:tc>
          <w:tcPr>
            <w:tcW w:w="160" w:type="dxa"/>
            <w:vAlign w:val="bottom"/>
            <w:shd w:val="clear" w:color="auto" w:fill="0077C0"/>
          </w:tcPr>
          <w:p>
            <w:pPr>
              <w:spacing w:after="0" w:line="20" w:lineRule="exact"/>
              <w:rPr>
                <w:sz w:val="1"/>
                <w:szCs w:val="1"/>
                <w:color w:val="auto"/>
              </w:rPr>
            </w:pPr>
          </w:p>
        </w:tc>
        <w:tc>
          <w:tcPr>
            <w:tcW w:w="960" w:type="dxa"/>
            <w:vAlign w:val="bottom"/>
            <w:shd w:val="clear" w:color="auto" w:fill="0077C0"/>
          </w:tcPr>
          <w:p>
            <w:pPr>
              <w:spacing w:after="0" w:line="20" w:lineRule="exact"/>
              <w:rPr>
                <w:sz w:val="1"/>
                <w:szCs w:val="1"/>
                <w:color w:val="auto"/>
              </w:rPr>
            </w:pPr>
          </w:p>
        </w:tc>
        <w:tc>
          <w:tcPr>
            <w:tcW w:w="200" w:type="dxa"/>
            <w:vAlign w:val="bottom"/>
            <w:shd w:val="clear" w:color="auto" w:fill="0077C0"/>
          </w:tcPr>
          <w:p>
            <w:pPr>
              <w:spacing w:after="0" w:line="20" w:lineRule="exact"/>
              <w:rPr>
                <w:sz w:val="1"/>
                <w:szCs w:val="1"/>
                <w:color w:val="auto"/>
              </w:rPr>
            </w:pPr>
          </w:p>
        </w:tc>
        <w:tc>
          <w:tcPr>
            <w:tcW w:w="740" w:type="dxa"/>
            <w:vAlign w:val="bottom"/>
            <w:shd w:val="clear" w:color="auto" w:fill="0077C0"/>
          </w:tcPr>
          <w:p>
            <w:pPr>
              <w:spacing w:after="0" w:line="20" w:lineRule="exact"/>
              <w:rPr>
                <w:sz w:val="1"/>
                <w:szCs w:val="1"/>
                <w:color w:val="auto"/>
              </w:rPr>
            </w:pPr>
          </w:p>
        </w:tc>
        <w:tc>
          <w:tcPr>
            <w:tcW w:w="320" w:type="dxa"/>
            <w:vAlign w:val="bottom"/>
            <w:shd w:val="clear" w:color="auto" w:fill="0077C0"/>
          </w:tcPr>
          <w:p>
            <w:pPr>
              <w:spacing w:after="0" w:line="20" w:lineRule="exact"/>
              <w:rPr>
                <w:sz w:val="1"/>
                <w:szCs w:val="1"/>
                <w:color w:val="auto"/>
              </w:rPr>
            </w:pPr>
          </w:p>
        </w:tc>
        <w:tc>
          <w:tcPr>
            <w:tcW w:w="760" w:type="dxa"/>
            <w:vAlign w:val="bottom"/>
            <w:shd w:val="clear" w:color="auto" w:fill="0077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Values presented in millions of dollars and have been adjusted for eliminations, unless otherwise specified.</w:t>
      </w:r>
    </w:p>
    <w:p>
      <w:pPr>
        <w:spacing w:after="0" w:line="72" w:lineRule="exact"/>
        <w:rPr>
          <w:sz w:val="20"/>
          <w:szCs w:val="20"/>
          <w:color w:val="auto"/>
        </w:rPr>
      </w:pPr>
    </w:p>
    <w:p>
      <w:pPr>
        <w:ind w:left="160" w:hanging="120"/>
        <w:spacing w:after="0"/>
        <w:tabs>
          <w:tab w:leader="none" w:pos="160" w:val="left"/>
        </w:tabs>
        <w:numPr>
          <w:ilvl w:val="1"/>
          <w:numId w:val="1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Includes interest income of $193 in “All Other.”</w:t>
      </w:r>
    </w:p>
    <w:p>
      <w:pPr>
        <w:spacing w:after="0" w:line="146" w:lineRule="exact"/>
        <w:rPr>
          <w:rFonts w:ascii="Times New Roman" w:cs="Times New Roman" w:eastAsia="Times New Roman" w:hAnsi="Times New Roman"/>
          <w:sz w:val="15"/>
          <w:szCs w:val="15"/>
          <w:color w:val="auto"/>
          <w:vertAlign w:val="superscript"/>
        </w:rPr>
      </w:pPr>
    </w:p>
    <w:p>
      <w:pPr>
        <w:ind w:left="140" w:hanging="114"/>
        <w:spacing w:after="0"/>
        <w:tabs>
          <w:tab w:leader="none" w:pos="14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Valuation of product transfers between operating segments.</w:t>
      </w:r>
    </w:p>
    <w:p>
      <w:pPr>
        <w:spacing w:after="0" w:line="163" w:lineRule="exact"/>
        <w:rPr>
          <w:rFonts w:ascii="Times New Roman" w:cs="Times New Roman" w:eastAsia="Times New Roman" w:hAnsi="Times New Roman"/>
          <w:sz w:val="14"/>
          <w:szCs w:val="14"/>
          <w:color w:val="auto"/>
          <w:vertAlign w:val="superscript"/>
        </w:rPr>
      </w:pPr>
    </w:p>
    <w:p>
      <w:pPr>
        <w:ind w:left="140" w:hanging="114"/>
        <w:spacing w:after="0"/>
        <w:tabs>
          <w:tab w:leader="none" w:pos="14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interest expense of $771 in “All Other.”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Segment Assets </w:t>
      </w:r>
      <w:r>
        <w:rPr>
          <w:rFonts w:ascii="Times New Roman" w:cs="Times New Roman" w:eastAsia="Times New Roman" w:hAnsi="Times New Roman"/>
          <w:sz w:val="18"/>
          <w:szCs w:val="18"/>
          <w:color w:val="auto"/>
        </w:rPr>
        <w:t>Segment assets do not include intercompany investments or intercompany receivables. Segment assets at September 30, 2026,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720" w:type="dxa"/>
            <w:vAlign w:val="bottom"/>
            <w:gridSpan w:val="2"/>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At September 30,</w:t>
            </w:r>
          </w:p>
        </w:tc>
        <w:tc>
          <w:tcPr>
            <w:tcW w:w="300" w:type="dxa"/>
            <w:vAlign w:val="bottom"/>
          </w:tcPr>
          <w:p>
            <w:pPr>
              <w:spacing w:after="0"/>
              <w:rPr>
                <w:sz w:val="13"/>
                <w:szCs w:val="13"/>
                <w:color w:val="auto"/>
              </w:rPr>
            </w:pPr>
          </w:p>
        </w:tc>
        <w:tc>
          <w:tcPr>
            <w:tcW w:w="14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At December 31,</w:t>
            </w:r>
          </w:p>
        </w:tc>
      </w:tr>
      <w:tr>
        <w:trPr>
          <w:trHeight w:val="194"/>
        </w:trPr>
        <w:tc>
          <w:tcPr>
            <w:tcW w:w="7820" w:type="dxa"/>
            <w:vAlign w:val="bottom"/>
          </w:tcPr>
          <w:p>
            <w:pPr>
              <w:spacing w:after="0"/>
              <w:rPr>
                <w:sz w:val="16"/>
                <w:szCs w:val="16"/>
                <w:color w:val="auto"/>
              </w:rPr>
            </w:pPr>
          </w:p>
        </w:tc>
        <w:tc>
          <w:tcPr>
            <w:tcW w:w="10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0077C0"/>
            </w:tcBorders>
          </w:tcPr>
          <w:p>
            <w:pPr>
              <w:spacing w:after="0"/>
              <w:rPr>
                <w:sz w:val="16"/>
                <w:szCs w:val="16"/>
                <w:color w:val="auto"/>
              </w:rPr>
            </w:pPr>
          </w:p>
        </w:tc>
        <w:tc>
          <w:tcPr>
            <w:tcW w:w="300" w:type="dxa"/>
            <w:vAlign w:val="bottom"/>
            <w:tcBorders>
              <w:bottom w:val="single" w:sz="8" w:color="0077C0"/>
            </w:tcBorders>
          </w:tcPr>
          <w:p>
            <w:pPr>
              <w:spacing w:after="0"/>
              <w:rPr>
                <w:sz w:val="16"/>
                <w:szCs w:val="16"/>
                <w:color w:val="auto"/>
              </w:rPr>
            </w:pPr>
          </w:p>
        </w:tc>
        <w:tc>
          <w:tcPr>
            <w:tcW w:w="1400" w:type="dxa"/>
            <w:vAlign w:val="bottom"/>
            <w:tcBorders>
              <w:bottom w:val="single" w:sz="8" w:color="0077C0"/>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8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Segment Assets</w:t>
            </w:r>
          </w:p>
        </w:tc>
        <w:tc>
          <w:tcPr>
            <w:tcW w:w="1020" w:type="dxa"/>
            <w:vAlign w:val="bottom"/>
            <w:tcBorders>
              <w:bottom w:val="single" w:sz="8" w:color="0077C0"/>
            </w:tcBorders>
          </w:tcPr>
          <w:p>
            <w:pPr>
              <w:spacing w:after="0"/>
              <w:rPr>
                <w:sz w:val="19"/>
                <w:szCs w:val="19"/>
                <w:color w:val="auto"/>
              </w:rPr>
            </w:pPr>
          </w:p>
        </w:tc>
        <w:tc>
          <w:tcPr>
            <w:tcW w:w="2400" w:type="dxa"/>
            <w:vAlign w:val="bottom"/>
            <w:tcBorders>
              <w:bottom w:val="single" w:sz="8" w:color="0077C0"/>
            </w:tcBorders>
            <w:gridSpan w:val="3"/>
          </w:tcPr>
          <w:p>
            <w:pPr>
              <w:jc w:val="right"/>
              <w:ind w:right="1012"/>
              <w:spacing w:after="0"/>
              <w:rPr>
                <w:sz w:val="20"/>
                <w:szCs w:val="20"/>
                <w:color w:val="auto"/>
              </w:rPr>
            </w:pPr>
            <w:r>
              <w:rPr>
                <w:rFonts w:ascii="Times New Roman" w:cs="Times New Roman" w:eastAsia="Times New Roman" w:hAnsi="Times New Roman"/>
                <w:sz w:val="14"/>
                <w:szCs w:val="14"/>
                <w:b w:val="1"/>
                <w:bCs w:val="1"/>
                <w:color w:val="auto"/>
              </w:rPr>
              <w:t>(Millions of dollars)</w:t>
            </w:r>
          </w:p>
        </w:tc>
      </w:tr>
      <w:tr>
        <w:trPr>
          <w:trHeight w:val="23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Upstream</w:t>
            </w: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82,274</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84,559</w:t>
            </w:r>
          </w:p>
        </w:tc>
      </w:tr>
      <w:tr>
        <w:trPr>
          <w:trHeight w:val="243"/>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0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99"/>
              </w:rPr>
              <w:t>165,651</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168,200</w:t>
            </w:r>
          </w:p>
        </w:tc>
      </w:tr>
      <w:tr>
        <w:trPr>
          <w:trHeight w:val="243"/>
        </w:trPr>
        <w:tc>
          <w:tcPr>
            <w:tcW w:w="7820" w:type="dxa"/>
            <w:vAlign w:val="bottom"/>
            <w:tcBorders>
              <w:bottom w:val="single" w:sz="8" w:color="0077C0"/>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020" w:type="dxa"/>
            <w:vAlign w:val="bottom"/>
            <w:tcBorders>
              <w:bottom w:val="single" w:sz="8" w:color="0077C0"/>
            </w:tcBorders>
            <w:shd w:val="clear" w:color="auto" w:fill="CCEEFF"/>
          </w:tcPr>
          <w:p>
            <w:pPr>
              <w:spacing w:after="0"/>
              <w:rPr>
                <w:sz w:val="21"/>
                <w:szCs w:val="21"/>
                <w:color w:val="auto"/>
              </w:rPr>
            </w:pPr>
          </w:p>
        </w:tc>
        <w:tc>
          <w:tcPr>
            <w:tcW w:w="700" w:type="dxa"/>
            <w:vAlign w:val="bottom"/>
            <w:tcBorders>
              <w:bottom w:val="single" w:sz="8" w:color="0077C0"/>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4,216</w:t>
            </w:r>
          </w:p>
        </w:tc>
        <w:tc>
          <w:tcPr>
            <w:tcW w:w="300" w:type="dxa"/>
            <w:vAlign w:val="bottom"/>
            <w:tcBorders>
              <w:bottom w:val="single" w:sz="8" w:color="0077C0"/>
            </w:tcBorders>
            <w:shd w:val="clear" w:color="auto" w:fill="CCEEFF"/>
          </w:tcPr>
          <w:p>
            <w:pPr>
              <w:spacing w:after="0"/>
              <w:rPr>
                <w:sz w:val="21"/>
                <w:szCs w:val="21"/>
                <w:color w:val="auto"/>
              </w:rPr>
            </w:pPr>
          </w:p>
        </w:tc>
        <w:tc>
          <w:tcPr>
            <w:tcW w:w="14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w:t>
            </w:r>
          </w:p>
        </w:tc>
      </w:tr>
      <w:tr>
        <w:trPr>
          <w:trHeight w:val="236"/>
        </w:trPr>
        <w:tc>
          <w:tcPr>
            <w:tcW w:w="78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Upstream</w:t>
            </w:r>
          </w:p>
        </w:tc>
        <w:tc>
          <w:tcPr>
            <w:tcW w:w="1020" w:type="dxa"/>
            <w:vAlign w:val="bottom"/>
            <w:tcBorders>
              <w:bottom w:val="single" w:sz="8" w:color="0077C0"/>
            </w:tcBorders>
          </w:tcPr>
          <w:p>
            <w:pPr>
              <w:spacing w:after="0"/>
              <w:rPr>
                <w:sz w:val="20"/>
                <w:szCs w:val="20"/>
                <w:color w:val="auto"/>
              </w:rPr>
            </w:pPr>
          </w:p>
        </w:tc>
        <w:tc>
          <w:tcPr>
            <w:tcW w:w="700" w:type="dxa"/>
            <w:vAlign w:val="bottom"/>
            <w:tcBorders>
              <w:bottom w:val="single" w:sz="8" w:color="0077C0"/>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99"/>
              </w:rPr>
              <w:t>252,141</w:t>
            </w:r>
          </w:p>
        </w:tc>
        <w:tc>
          <w:tcPr>
            <w:tcW w:w="300" w:type="dxa"/>
            <w:vAlign w:val="bottom"/>
            <w:tcBorders>
              <w:bottom w:val="single" w:sz="8" w:color="0077C0"/>
            </w:tcBorders>
          </w:tcPr>
          <w:p>
            <w:pPr>
              <w:spacing w:after="0"/>
              <w:rPr>
                <w:sz w:val="20"/>
                <w:szCs w:val="20"/>
                <w:color w:val="auto"/>
              </w:rPr>
            </w:pPr>
          </w:p>
        </w:tc>
        <w:tc>
          <w:tcPr>
            <w:tcW w:w="14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256,975</w:t>
            </w:r>
          </w:p>
        </w:tc>
      </w:tr>
      <w:tr>
        <w:trPr>
          <w:trHeight w:val="23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Downstream</w:t>
            </w:r>
          </w:p>
        </w:tc>
        <w:tc>
          <w:tcPr>
            <w:tcW w:w="10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43"/>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36,530</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33,745</w:t>
            </w:r>
          </w:p>
        </w:tc>
      </w:tr>
      <w:tr>
        <w:trPr>
          <w:trHeight w:val="24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0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25,638</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21,146</w:t>
            </w:r>
          </w:p>
        </w:tc>
      </w:tr>
      <w:tr>
        <w:trPr>
          <w:trHeight w:val="243"/>
        </w:trPr>
        <w:tc>
          <w:tcPr>
            <w:tcW w:w="7820" w:type="dxa"/>
            <w:vAlign w:val="bottom"/>
            <w:tcBorders>
              <w:bottom w:val="single" w:sz="8" w:color="0077C0"/>
            </w:tcBorders>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020" w:type="dxa"/>
            <w:vAlign w:val="bottom"/>
            <w:tcBorders>
              <w:bottom w:val="single" w:sz="8" w:color="0077C0"/>
            </w:tcBorders>
          </w:tcPr>
          <w:p>
            <w:pPr>
              <w:spacing w:after="0"/>
              <w:rPr>
                <w:sz w:val="21"/>
                <w:szCs w:val="21"/>
                <w:color w:val="auto"/>
              </w:rPr>
            </w:pPr>
          </w:p>
        </w:tc>
        <w:tc>
          <w:tcPr>
            <w:tcW w:w="700" w:type="dxa"/>
            <w:vAlign w:val="bottom"/>
            <w:tcBorders>
              <w:bottom w:val="single" w:sz="8" w:color="0077C0"/>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352</w:t>
            </w:r>
          </w:p>
        </w:tc>
        <w:tc>
          <w:tcPr>
            <w:tcW w:w="300" w:type="dxa"/>
            <w:vAlign w:val="bottom"/>
            <w:tcBorders>
              <w:bottom w:val="single" w:sz="8" w:color="0077C0"/>
            </w:tcBorders>
          </w:tcPr>
          <w:p>
            <w:pPr>
              <w:spacing w:after="0"/>
              <w:rPr>
                <w:sz w:val="21"/>
                <w:szCs w:val="21"/>
                <w:color w:val="auto"/>
              </w:rPr>
            </w:pPr>
          </w:p>
        </w:tc>
        <w:tc>
          <w:tcPr>
            <w:tcW w:w="14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37"/>
        </w:trPr>
        <w:tc>
          <w:tcPr>
            <w:tcW w:w="782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Downstream</w:t>
            </w:r>
          </w:p>
        </w:tc>
        <w:tc>
          <w:tcPr>
            <w:tcW w:w="1020" w:type="dxa"/>
            <w:vAlign w:val="bottom"/>
            <w:tcBorders>
              <w:bottom w:val="single" w:sz="8" w:color="0077C0"/>
            </w:tcBorders>
            <w:shd w:val="clear" w:color="auto" w:fill="CCEEFF"/>
          </w:tcPr>
          <w:p>
            <w:pPr>
              <w:spacing w:after="0"/>
              <w:rPr>
                <w:sz w:val="20"/>
                <w:szCs w:val="20"/>
                <w:color w:val="auto"/>
              </w:rPr>
            </w:pPr>
          </w:p>
        </w:tc>
        <w:tc>
          <w:tcPr>
            <w:tcW w:w="700" w:type="dxa"/>
            <w:vAlign w:val="bottom"/>
            <w:tcBorders>
              <w:bottom w:val="single" w:sz="8" w:color="0077C0"/>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62,520</w:t>
            </w:r>
          </w:p>
        </w:tc>
        <w:tc>
          <w:tcPr>
            <w:tcW w:w="300" w:type="dxa"/>
            <w:vAlign w:val="bottom"/>
            <w:tcBorders>
              <w:bottom w:val="single" w:sz="8" w:color="0077C0"/>
            </w:tcBorders>
            <w:shd w:val="clear" w:color="auto" w:fill="CCEEFF"/>
          </w:tcPr>
          <w:p>
            <w:pPr>
              <w:spacing w:after="0"/>
              <w:rPr>
                <w:sz w:val="20"/>
                <w:szCs w:val="20"/>
                <w:color w:val="auto"/>
              </w:rPr>
            </w:pPr>
          </w:p>
        </w:tc>
        <w:tc>
          <w:tcPr>
            <w:tcW w:w="14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55,243</w:t>
            </w:r>
          </w:p>
        </w:tc>
      </w:tr>
      <w:tr>
        <w:trPr>
          <w:trHeight w:val="23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Assets</w:t>
            </w:r>
          </w:p>
        </w:tc>
        <w:tc>
          <w:tcPr>
            <w:tcW w:w="10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99"/>
              </w:rPr>
              <w:t>314,661</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312,218</w:t>
            </w: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43"/>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17,075</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10,396</w:t>
            </w:r>
          </w:p>
        </w:tc>
      </w:tr>
      <w:tr>
        <w:trPr>
          <w:trHeight w:val="243"/>
        </w:trPr>
        <w:tc>
          <w:tcPr>
            <w:tcW w:w="7820" w:type="dxa"/>
            <w:vAlign w:val="bottom"/>
            <w:tcBorders>
              <w:bottom w:val="single" w:sz="8" w:color="0077C0"/>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020" w:type="dxa"/>
            <w:vAlign w:val="bottom"/>
            <w:tcBorders>
              <w:bottom w:val="single" w:sz="8" w:color="0077C0"/>
            </w:tcBorders>
            <w:shd w:val="clear" w:color="auto" w:fill="CCEEFF"/>
          </w:tcPr>
          <w:p>
            <w:pPr>
              <w:spacing w:after="0"/>
              <w:rPr>
                <w:sz w:val="21"/>
                <w:szCs w:val="21"/>
                <w:color w:val="auto"/>
              </w:rPr>
            </w:pPr>
          </w:p>
        </w:tc>
        <w:tc>
          <w:tcPr>
            <w:tcW w:w="700" w:type="dxa"/>
            <w:vAlign w:val="bottom"/>
            <w:tcBorders>
              <w:bottom w:val="single" w:sz="8" w:color="0077C0"/>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2,050</w:t>
            </w:r>
          </w:p>
        </w:tc>
        <w:tc>
          <w:tcPr>
            <w:tcW w:w="300" w:type="dxa"/>
            <w:vAlign w:val="bottom"/>
            <w:tcBorders>
              <w:bottom w:val="single" w:sz="8" w:color="0077C0"/>
            </w:tcBorders>
            <w:shd w:val="clear" w:color="auto" w:fill="CCEEFF"/>
          </w:tcPr>
          <w:p>
            <w:pPr>
              <w:spacing w:after="0"/>
              <w:rPr>
                <w:sz w:val="21"/>
                <w:szCs w:val="21"/>
                <w:color w:val="auto"/>
              </w:rPr>
            </w:pPr>
          </w:p>
        </w:tc>
        <w:tc>
          <w:tcPr>
            <w:tcW w:w="14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37"/>
        </w:trPr>
        <w:tc>
          <w:tcPr>
            <w:tcW w:w="78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All Other</w:t>
            </w:r>
          </w:p>
        </w:tc>
        <w:tc>
          <w:tcPr>
            <w:tcW w:w="1020" w:type="dxa"/>
            <w:vAlign w:val="bottom"/>
            <w:tcBorders>
              <w:bottom w:val="single" w:sz="8" w:color="0077C0"/>
            </w:tcBorders>
          </w:tcPr>
          <w:p>
            <w:pPr>
              <w:spacing w:after="0"/>
              <w:rPr>
                <w:sz w:val="20"/>
                <w:szCs w:val="20"/>
                <w:color w:val="auto"/>
              </w:rPr>
            </w:pPr>
          </w:p>
        </w:tc>
        <w:tc>
          <w:tcPr>
            <w:tcW w:w="700" w:type="dxa"/>
            <w:vAlign w:val="bottom"/>
            <w:tcBorders>
              <w:bottom w:val="single" w:sz="8" w:color="0077C0"/>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19,125</w:t>
            </w:r>
          </w:p>
        </w:tc>
        <w:tc>
          <w:tcPr>
            <w:tcW w:w="300" w:type="dxa"/>
            <w:vAlign w:val="bottom"/>
            <w:tcBorders>
              <w:bottom w:val="single" w:sz="8" w:color="0077C0"/>
            </w:tcBorders>
          </w:tcPr>
          <w:p>
            <w:pPr>
              <w:spacing w:after="0"/>
              <w:rPr>
                <w:sz w:val="20"/>
                <w:szCs w:val="20"/>
                <w:color w:val="auto"/>
              </w:rPr>
            </w:pPr>
          </w:p>
        </w:tc>
        <w:tc>
          <w:tcPr>
            <w:tcW w:w="14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11,794</w:t>
            </w:r>
          </w:p>
        </w:tc>
      </w:tr>
      <w:tr>
        <w:trPr>
          <w:trHeight w:val="23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 United States</w:t>
            </w:r>
          </w:p>
        </w:tc>
        <w:tc>
          <w:tcPr>
            <w:tcW w:w="10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99"/>
              </w:rPr>
              <w:t>135,879</w:t>
            </w: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128,700</w:t>
            </w: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 International</w:t>
            </w:r>
          </w:p>
        </w:tc>
        <w:tc>
          <w:tcPr>
            <w:tcW w:w="10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99"/>
              </w:rPr>
              <w:t>193,339</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190,744</w:t>
            </w:r>
          </w:p>
        </w:tc>
      </w:tr>
      <w:tr>
        <w:trPr>
          <w:trHeight w:val="243"/>
        </w:trPr>
        <w:tc>
          <w:tcPr>
            <w:tcW w:w="782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020" w:type="dxa"/>
            <w:vAlign w:val="bottom"/>
            <w:tcBorders>
              <w:bottom w:val="single" w:sz="8" w:color="0077C0"/>
            </w:tcBorders>
            <w:shd w:val="clear" w:color="auto" w:fill="CCEEFF"/>
          </w:tcPr>
          <w:p>
            <w:pPr>
              <w:spacing w:after="0"/>
              <w:rPr>
                <w:sz w:val="21"/>
                <w:szCs w:val="21"/>
                <w:color w:val="auto"/>
              </w:rPr>
            </w:pPr>
          </w:p>
        </w:tc>
        <w:tc>
          <w:tcPr>
            <w:tcW w:w="700" w:type="dxa"/>
            <w:vAlign w:val="bottom"/>
            <w:tcBorders>
              <w:bottom w:val="single" w:sz="8" w:color="0077C0"/>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4,568</w:t>
            </w:r>
          </w:p>
        </w:tc>
        <w:tc>
          <w:tcPr>
            <w:tcW w:w="300" w:type="dxa"/>
            <w:vAlign w:val="bottom"/>
            <w:tcBorders>
              <w:bottom w:val="single" w:sz="8" w:color="0077C0"/>
            </w:tcBorders>
            <w:shd w:val="clear" w:color="auto" w:fill="CCEEFF"/>
          </w:tcPr>
          <w:p>
            <w:pPr>
              <w:spacing w:after="0"/>
              <w:rPr>
                <w:sz w:val="21"/>
                <w:szCs w:val="21"/>
                <w:color w:val="auto"/>
              </w:rPr>
            </w:pPr>
          </w:p>
        </w:tc>
        <w:tc>
          <w:tcPr>
            <w:tcW w:w="14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w:t>
            </w:r>
          </w:p>
        </w:tc>
      </w:tr>
      <w:tr>
        <w:trPr>
          <w:trHeight w:val="236"/>
        </w:trPr>
        <w:tc>
          <w:tcPr>
            <w:tcW w:w="78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20" w:type="dxa"/>
            <w:vAlign w:val="bottom"/>
            <w:tcBorders>
              <w:bottom w:val="single" w:sz="8" w:color="0077C0"/>
            </w:tcBorders>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0077C0"/>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99"/>
              </w:rPr>
              <w:t>333,786</w:t>
            </w:r>
          </w:p>
        </w:tc>
        <w:tc>
          <w:tcPr>
            <w:tcW w:w="300" w:type="dxa"/>
            <w:vAlign w:val="bottom"/>
            <w:tcBorders>
              <w:bottom w:val="single" w:sz="8" w:color="0077C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324,012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Employee Benefits</w:t>
      </w:r>
    </w:p>
    <w:p>
      <w:pPr>
        <w:spacing w:after="0" w:line="10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Chevron has defined benefit pension plans for many employees. The company typically prefunds defined benefit plans as required by local regulations or in certain situations where prefunding provides economic advantages. In the United States, all qualified plans are subject to the Employee Retirement Income Security Act minimum funding standard. The company does not typically fund U.S. nonqualified pension plans that are not subject to funding requirements under laws and regulations because contributions to these pension plans may be less economic and investment returns may be less attractive than the company’s other investment alternatives.</w:t>
      </w:r>
    </w:p>
    <w:p>
      <w:pPr>
        <w:spacing w:after="0" w:line="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 also sponsors other postretirement employee benefit (OPEB) plans that provide medical and dental benefits, as well as life insurance for qualifying retired employees. The plans are unfunded, and the company and the retirees share the costs. For the company’s main U.S. medical plan, the increase to the pre-Medicare company contribution for retiree medical coverage is limited to no more than 4 percent each year. Certain life insurance benefits are paid by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costs for 2026 and 2025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320" w:type="dxa"/>
            <w:vAlign w:val="bottom"/>
            <w:gridSpan w:val="3"/>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520" w:type="dxa"/>
            <w:vAlign w:val="bottom"/>
            <w:gridSpan w:val="3"/>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360" w:type="dxa"/>
            <w:vAlign w:val="bottom"/>
          </w:tcPr>
          <w:p>
            <w:pPr>
              <w:spacing w:after="0"/>
              <w:rPr>
                <w:sz w:val="16"/>
                <w:szCs w:val="16"/>
                <w:color w:val="auto"/>
              </w:rPr>
            </w:pPr>
          </w:p>
        </w:tc>
        <w:tc>
          <w:tcPr>
            <w:tcW w:w="880" w:type="dxa"/>
            <w:vAlign w:val="bottom"/>
            <w:tcBorders>
              <w:bottom w:val="single" w:sz="8" w:color="0077C0"/>
            </w:tcBorders>
          </w:tcPr>
          <w:p>
            <w:pPr>
              <w:spacing w:after="0"/>
              <w:rPr>
                <w:sz w:val="16"/>
                <w:szCs w:val="16"/>
                <w:color w:val="auto"/>
              </w:rPr>
            </w:pPr>
          </w:p>
        </w:tc>
        <w:tc>
          <w:tcPr>
            <w:tcW w:w="1440" w:type="dxa"/>
            <w:vAlign w:val="bottom"/>
            <w:tcBorders>
              <w:bottom w:val="single" w:sz="8" w:color="0077C0"/>
            </w:tcBorders>
            <w:gridSpan w:val="2"/>
          </w:tcPr>
          <w:p>
            <w:pPr>
              <w:jc w:val="center"/>
              <w:ind w:right="3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0077C0"/>
            </w:tcBorders>
          </w:tcPr>
          <w:p>
            <w:pPr>
              <w:spacing w:after="0"/>
              <w:rPr>
                <w:sz w:val="16"/>
                <w:szCs w:val="16"/>
                <w:color w:val="auto"/>
              </w:rPr>
            </w:pPr>
          </w:p>
        </w:tc>
        <w:tc>
          <w:tcPr>
            <w:tcW w:w="440" w:type="dxa"/>
            <w:vAlign w:val="bottom"/>
            <w:tcBorders>
              <w:bottom w:val="single" w:sz="8" w:color="0077C0"/>
            </w:tcBorders>
          </w:tcPr>
          <w:p>
            <w:pPr>
              <w:spacing w:after="0"/>
              <w:rPr>
                <w:sz w:val="16"/>
                <w:szCs w:val="16"/>
                <w:color w:val="auto"/>
              </w:rPr>
            </w:pPr>
          </w:p>
        </w:tc>
        <w:tc>
          <w:tcPr>
            <w:tcW w:w="1640" w:type="dxa"/>
            <w:vAlign w:val="bottom"/>
            <w:tcBorders>
              <w:bottom w:val="single" w:sz="8" w:color="0077C0"/>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0077C0"/>
            </w:tcBorders>
          </w:tcPr>
          <w:p>
            <w:pPr>
              <w:spacing w:after="0"/>
              <w:rPr>
                <w:sz w:val="16"/>
                <w:szCs w:val="16"/>
                <w:color w:val="auto"/>
              </w:rPr>
            </w:pPr>
          </w:p>
        </w:tc>
      </w:tr>
      <w:tr>
        <w:trPr>
          <w:trHeight w:val="191"/>
        </w:trPr>
        <w:tc>
          <w:tcPr>
            <w:tcW w:w="5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6"/>
                <w:szCs w:val="16"/>
                <w:color w:val="auto"/>
              </w:rPr>
            </w:pPr>
          </w:p>
        </w:tc>
        <w:tc>
          <w:tcPr>
            <w:tcW w:w="88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360" w:type="dxa"/>
            <w:vAlign w:val="bottom"/>
          </w:tcPr>
          <w:p>
            <w:pPr>
              <w:spacing w:after="0"/>
              <w:rPr>
                <w:sz w:val="2"/>
                <w:szCs w:val="2"/>
                <w:color w:val="auto"/>
              </w:rPr>
            </w:pPr>
          </w:p>
        </w:tc>
        <w:tc>
          <w:tcPr>
            <w:tcW w:w="2320" w:type="dxa"/>
            <w:vAlign w:val="bottom"/>
            <w:tcBorders>
              <w:bottom w:val="single" w:sz="8" w:color="0077C0"/>
            </w:tcBorders>
            <w:gridSpan w:val="3"/>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1640" w:type="dxa"/>
            <w:vAlign w:val="bottom"/>
            <w:tcBorders>
              <w:bottom w:val="single" w:sz="8" w:color="0077C0"/>
            </w:tcBorders>
            <w:gridSpan w:val="2"/>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r>
      <w:tr>
        <w:trPr>
          <w:trHeight w:val="186"/>
        </w:trPr>
        <w:tc>
          <w:tcPr>
            <w:tcW w:w="5360" w:type="dxa"/>
            <w:vAlign w:val="bottom"/>
          </w:tcPr>
          <w:p>
            <w:pPr>
              <w:spacing w:after="0"/>
              <w:rPr>
                <w:sz w:val="16"/>
                <w:szCs w:val="16"/>
                <w:color w:val="auto"/>
              </w:rPr>
            </w:pPr>
          </w:p>
        </w:tc>
        <w:tc>
          <w:tcPr>
            <w:tcW w:w="2320" w:type="dxa"/>
            <w:vAlign w:val="bottom"/>
            <w:gridSpan w:val="3"/>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880" w:type="dxa"/>
            <w:vAlign w:val="bottom"/>
          </w:tcPr>
          <w:p>
            <w:pPr>
              <w:spacing w:after="0"/>
              <w:rPr>
                <w:sz w:val="16"/>
                <w:szCs w:val="16"/>
                <w:color w:val="auto"/>
              </w:rPr>
            </w:pPr>
          </w:p>
        </w:tc>
      </w:tr>
      <w:tr>
        <w:trPr>
          <w:trHeight w:val="23"/>
        </w:trPr>
        <w:tc>
          <w:tcPr>
            <w:tcW w:w="536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110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r>
      <w:tr>
        <w:trPr>
          <w:trHeight w:val="23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5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 cost</w:t>
            </w:r>
          </w:p>
        </w:tc>
        <w:tc>
          <w:tcPr>
            <w:tcW w:w="88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85</w:t>
            </w:r>
          </w:p>
        </w:tc>
        <w:tc>
          <w:tcPr>
            <w:tcW w:w="92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92</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257</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43"/>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88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128</w:t>
            </w:r>
          </w:p>
        </w:tc>
        <w:tc>
          <w:tcPr>
            <w:tcW w:w="92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132</w:t>
            </w:r>
          </w:p>
        </w:tc>
        <w:tc>
          <w:tcPr>
            <w:tcW w:w="44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371</w:t>
            </w: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43"/>
        </w:trPr>
        <w:tc>
          <w:tcPr>
            <w:tcW w:w="5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w:t>
            </w:r>
          </w:p>
        </w:tc>
        <w:tc>
          <w:tcPr>
            <w:tcW w:w="9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(197)</w:t>
            </w: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(582)</w:t>
            </w:r>
          </w:p>
        </w:tc>
        <w:tc>
          <w:tcPr>
            <w:tcW w:w="5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43"/>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prior service costs (credits)</w:t>
            </w:r>
          </w:p>
        </w:tc>
        <w:tc>
          <w:tcPr>
            <w:tcW w:w="88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w:t>
            </w:r>
          </w:p>
        </w:tc>
        <w:tc>
          <w:tcPr>
            <w:tcW w:w="92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w:t>
            </w: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5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actuarial losses (gains)</w:t>
            </w:r>
          </w:p>
        </w:tc>
        <w:tc>
          <w:tcPr>
            <w:tcW w:w="8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w:t>
            </w:r>
          </w:p>
        </w:tc>
        <w:tc>
          <w:tcPr>
            <w:tcW w:w="9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75</w:t>
            </w:r>
          </w:p>
        </w:tc>
        <w:tc>
          <w:tcPr>
            <w:tcW w:w="5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43"/>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Settlement losses (gains)</w:t>
            </w:r>
          </w:p>
        </w:tc>
        <w:tc>
          <w:tcPr>
            <w:tcW w:w="88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32</w:t>
            </w:r>
          </w:p>
        </w:tc>
        <w:tc>
          <w:tcPr>
            <w:tcW w:w="92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145</w:t>
            </w: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Curtailment losses (gains)</w:t>
            </w:r>
          </w:p>
        </w:tc>
        <w:tc>
          <w:tcPr>
            <w:tcW w:w="8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43"/>
        </w:trPr>
        <w:tc>
          <w:tcPr>
            <w:tcW w:w="5360" w:type="dxa"/>
            <w:vAlign w:val="bottom"/>
            <w:tcBorders>
              <w:bottom w:val="single" w:sz="8" w:color="0077C0"/>
            </w:tcBorders>
          </w:tcPr>
          <w:p>
            <w:pPr>
              <w:ind w:left="240"/>
              <w:spacing w:after="0"/>
              <w:rPr>
                <w:sz w:val="20"/>
                <w:szCs w:val="20"/>
                <w:color w:val="auto"/>
              </w:rPr>
            </w:pPr>
            <w:r>
              <w:rPr>
                <w:rFonts w:ascii="Times New Roman" w:cs="Times New Roman" w:eastAsia="Times New Roman" w:hAnsi="Times New Roman"/>
                <w:sz w:val="18"/>
                <w:szCs w:val="18"/>
                <w:color w:val="auto"/>
              </w:rPr>
              <w:t>Special termination benefits</w:t>
            </w:r>
          </w:p>
        </w:tc>
        <w:tc>
          <w:tcPr>
            <w:tcW w:w="880" w:type="dxa"/>
            <w:vAlign w:val="bottom"/>
            <w:tcBorders>
              <w:bottom w:val="single" w:sz="8" w:color="0077C0"/>
            </w:tcBorders>
          </w:tcPr>
          <w:p>
            <w:pPr>
              <w:spacing w:after="0"/>
              <w:rPr>
                <w:sz w:val="21"/>
                <w:szCs w:val="21"/>
                <w:color w:val="auto"/>
              </w:rPr>
            </w:pPr>
          </w:p>
        </w:tc>
        <w:tc>
          <w:tcPr>
            <w:tcW w:w="520" w:type="dxa"/>
            <w:vAlign w:val="bottom"/>
            <w:tcBorders>
              <w:bottom w:val="single" w:sz="8" w:color="0077C0"/>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0077C0"/>
            </w:tcBorders>
          </w:tcPr>
          <w:p>
            <w:pPr>
              <w:spacing w:after="0"/>
              <w:rPr>
                <w:sz w:val="21"/>
                <w:szCs w:val="21"/>
                <w:color w:val="auto"/>
              </w:rPr>
            </w:pPr>
          </w:p>
        </w:tc>
        <w:tc>
          <w:tcPr>
            <w:tcW w:w="600" w:type="dxa"/>
            <w:vAlign w:val="bottom"/>
            <w:tcBorders>
              <w:bottom w:val="single" w:sz="8" w:color="0077C0"/>
            </w:tcBorders>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tcBorders>
              <w:bottom w:val="single" w:sz="8" w:color="0077C0"/>
            </w:tcBorders>
          </w:tcPr>
          <w:p>
            <w:pPr>
              <w:spacing w:after="0"/>
              <w:rPr>
                <w:sz w:val="21"/>
                <w:szCs w:val="21"/>
                <w:color w:val="auto"/>
              </w:rPr>
            </w:pPr>
          </w:p>
        </w:tc>
        <w:tc>
          <w:tcPr>
            <w:tcW w:w="1100" w:type="dxa"/>
            <w:vAlign w:val="bottom"/>
            <w:tcBorders>
              <w:bottom w:val="single" w:sz="8" w:color="0077C0"/>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0077C0"/>
            </w:tcBorders>
          </w:tcPr>
          <w:p>
            <w:pPr>
              <w:spacing w:after="0"/>
              <w:rPr>
                <w:sz w:val="21"/>
                <w:szCs w:val="21"/>
                <w:color w:val="auto"/>
              </w:rPr>
            </w:pP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7"/>
        </w:trPr>
        <w:tc>
          <w:tcPr>
            <w:tcW w:w="5360" w:type="dxa"/>
            <w:vAlign w:val="bottom"/>
            <w:tcBorders>
              <w:bottom w:val="single" w:sz="8" w:color="0077C0"/>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 United States</w:t>
            </w:r>
          </w:p>
        </w:tc>
        <w:tc>
          <w:tcPr>
            <w:tcW w:w="880" w:type="dxa"/>
            <w:vAlign w:val="bottom"/>
            <w:tcBorders>
              <w:bottom w:val="single" w:sz="8" w:color="0077C0"/>
            </w:tcBorders>
            <w:shd w:val="clear" w:color="auto" w:fill="CCEEFF"/>
          </w:tcPr>
          <w:p>
            <w:pPr>
              <w:spacing w:after="0"/>
              <w:rPr>
                <w:sz w:val="20"/>
                <w:szCs w:val="20"/>
                <w:color w:val="auto"/>
              </w:rPr>
            </w:pPr>
          </w:p>
        </w:tc>
        <w:tc>
          <w:tcPr>
            <w:tcW w:w="520" w:type="dxa"/>
            <w:vAlign w:val="bottom"/>
            <w:tcBorders>
              <w:bottom w:val="single" w:sz="8" w:color="0077C0"/>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75</w:t>
            </w:r>
          </w:p>
        </w:tc>
        <w:tc>
          <w:tcPr>
            <w:tcW w:w="920" w:type="dxa"/>
            <w:vAlign w:val="bottom"/>
            <w:tcBorders>
              <w:bottom w:val="single" w:sz="8" w:color="0077C0"/>
            </w:tcBorders>
            <w:shd w:val="clear" w:color="auto" w:fill="CCEEFF"/>
          </w:tcPr>
          <w:p>
            <w:pPr>
              <w:spacing w:after="0"/>
              <w:rPr>
                <w:sz w:val="20"/>
                <w:szCs w:val="20"/>
                <w:color w:val="auto"/>
              </w:rPr>
            </w:pPr>
          </w:p>
        </w:tc>
        <w:tc>
          <w:tcPr>
            <w:tcW w:w="600" w:type="dxa"/>
            <w:vAlign w:val="bottom"/>
            <w:tcBorders>
              <w:bottom w:val="single" w:sz="8" w:color="0077C0"/>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122</w:t>
            </w:r>
          </w:p>
        </w:tc>
        <w:tc>
          <w:tcPr>
            <w:tcW w:w="440" w:type="dxa"/>
            <w:vAlign w:val="bottom"/>
            <w:tcBorders>
              <w:bottom w:val="single" w:sz="8" w:color="0077C0"/>
            </w:tcBorders>
            <w:shd w:val="clear" w:color="auto" w:fill="CCEEFF"/>
          </w:tcPr>
          <w:p>
            <w:pPr>
              <w:spacing w:after="0"/>
              <w:rPr>
                <w:sz w:val="20"/>
                <w:szCs w:val="20"/>
                <w:color w:val="auto"/>
              </w:rPr>
            </w:pPr>
          </w:p>
        </w:tc>
        <w:tc>
          <w:tcPr>
            <w:tcW w:w="1100" w:type="dxa"/>
            <w:vAlign w:val="bottom"/>
            <w:tcBorders>
              <w:bottom w:val="single" w:sz="8" w:color="0077C0"/>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269</w:t>
            </w:r>
          </w:p>
        </w:tc>
        <w:tc>
          <w:tcPr>
            <w:tcW w:w="540" w:type="dxa"/>
            <w:vAlign w:val="bottom"/>
            <w:tcBorders>
              <w:bottom w:val="single" w:sz="8" w:color="0077C0"/>
            </w:tcBorders>
            <w:shd w:val="clear" w:color="auto" w:fill="CCEEFF"/>
          </w:tcPr>
          <w:p>
            <w:pPr>
              <w:spacing w:after="0"/>
              <w:rPr>
                <w:sz w:val="20"/>
                <w:szCs w:val="20"/>
                <w:color w:val="auto"/>
              </w:rPr>
            </w:pPr>
          </w:p>
        </w:tc>
        <w:tc>
          <w:tcPr>
            <w:tcW w:w="8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3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3"/>
        </w:trPr>
        <w:tc>
          <w:tcPr>
            <w:tcW w:w="5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 cost</w:t>
            </w:r>
          </w:p>
        </w:tc>
        <w:tc>
          <w:tcPr>
            <w:tcW w:w="8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w:t>
            </w:r>
          </w:p>
        </w:tc>
        <w:tc>
          <w:tcPr>
            <w:tcW w:w="9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47</w:t>
            </w:r>
          </w:p>
        </w:tc>
        <w:tc>
          <w:tcPr>
            <w:tcW w:w="5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88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60</w:t>
            </w:r>
          </w:p>
        </w:tc>
        <w:tc>
          <w:tcPr>
            <w:tcW w:w="92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55</w:t>
            </w:r>
          </w:p>
        </w:tc>
        <w:tc>
          <w:tcPr>
            <w:tcW w:w="44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180</w:t>
            </w: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43"/>
        </w:trPr>
        <w:tc>
          <w:tcPr>
            <w:tcW w:w="5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9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(189)</w:t>
            </w:r>
          </w:p>
        </w:tc>
        <w:tc>
          <w:tcPr>
            <w:tcW w:w="5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43"/>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prior service costs (credits)</w:t>
            </w:r>
          </w:p>
        </w:tc>
        <w:tc>
          <w:tcPr>
            <w:tcW w:w="88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w:t>
            </w:r>
          </w:p>
        </w:tc>
        <w:tc>
          <w:tcPr>
            <w:tcW w:w="92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8</w:t>
            </w: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5360" w:type="dxa"/>
            <w:vAlign w:val="bottom"/>
            <w:tcBorders>
              <w:bottom w:val="single" w:sz="8" w:color="0077C0"/>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actuarial losses (gains)</w:t>
            </w:r>
          </w:p>
        </w:tc>
        <w:tc>
          <w:tcPr>
            <w:tcW w:w="880" w:type="dxa"/>
            <w:vAlign w:val="bottom"/>
            <w:tcBorders>
              <w:bottom w:val="single" w:sz="8" w:color="0077C0"/>
            </w:tcBorders>
            <w:shd w:val="clear" w:color="auto" w:fill="CCEEFF"/>
          </w:tcPr>
          <w:p>
            <w:pPr>
              <w:spacing w:after="0"/>
              <w:rPr>
                <w:sz w:val="21"/>
                <w:szCs w:val="21"/>
                <w:color w:val="auto"/>
              </w:rPr>
            </w:pPr>
          </w:p>
        </w:tc>
        <w:tc>
          <w:tcPr>
            <w:tcW w:w="520" w:type="dxa"/>
            <w:vAlign w:val="bottom"/>
            <w:tcBorders>
              <w:bottom w:val="single" w:sz="8" w:color="0077C0"/>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w:t>
            </w:r>
          </w:p>
        </w:tc>
        <w:tc>
          <w:tcPr>
            <w:tcW w:w="920" w:type="dxa"/>
            <w:vAlign w:val="bottom"/>
            <w:tcBorders>
              <w:bottom w:val="single" w:sz="8" w:color="0077C0"/>
            </w:tcBorders>
            <w:shd w:val="clear" w:color="auto" w:fill="CCEEFF"/>
          </w:tcPr>
          <w:p>
            <w:pPr>
              <w:spacing w:after="0"/>
              <w:rPr>
                <w:sz w:val="21"/>
                <w:szCs w:val="21"/>
                <w:color w:val="auto"/>
              </w:rPr>
            </w:pPr>
          </w:p>
        </w:tc>
        <w:tc>
          <w:tcPr>
            <w:tcW w:w="600" w:type="dxa"/>
            <w:vAlign w:val="bottom"/>
            <w:tcBorders>
              <w:bottom w:val="single" w:sz="8" w:color="0077C0"/>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tcBorders>
              <w:bottom w:val="single" w:sz="8" w:color="0077C0"/>
            </w:tcBorders>
            <w:shd w:val="clear" w:color="auto" w:fill="CCEEFF"/>
          </w:tcPr>
          <w:p>
            <w:pPr>
              <w:spacing w:after="0"/>
              <w:rPr>
                <w:sz w:val="21"/>
                <w:szCs w:val="21"/>
                <w:color w:val="auto"/>
              </w:rPr>
            </w:pPr>
          </w:p>
        </w:tc>
        <w:tc>
          <w:tcPr>
            <w:tcW w:w="1100" w:type="dxa"/>
            <w:vAlign w:val="bottom"/>
            <w:tcBorders>
              <w:bottom w:val="single" w:sz="8" w:color="0077C0"/>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37</w:t>
            </w:r>
          </w:p>
        </w:tc>
        <w:tc>
          <w:tcPr>
            <w:tcW w:w="540" w:type="dxa"/>
            <w:vAlign w:val="bottom"/>
            <w:tcBorders>
              <w:bottom w:val="single" w:sz="8" w:color="0077C0"/>
            </w:tcBorders>
            <w:shd w:val="clear" w:color="auto" w:fill="CCEEFF"/>
          </w:tcPr>
          <w:p>
            <w:pPr>
              <w:spacing w:after="0"/>
              <w:rPr>
                <w:sz w:val="21"/>
                <w:szCs w:val="21"/>
                <w:color w:val="auto"/>
              </w:rPr>
            </w:pPr>
          </w:p>
        </w:tc>
        <w:tc>
          <w:tcPr>
            <w:tcW w:w="8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7"/>
        </w:trPr>
        <w:tc>
          <w:tcPr>
            <w:tcW w:w="5360" w:type="dxa"/>
            <w:vAlign w:val="bottom"/>
            <w:tcBorders>
              <w:bottom w:val="single" w:sz="8" w:color="0077C0"/>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Total International</w:t>
            </w:r>
          </w:p>
        </w:tc>
        <w:tc>
          <w:tcPr>
            <w:tcW w:w="880" w:type="dxa"/>
            <w:vAlign w:val="bottom"/>
            <w:tcBorders>
              <w:bottom w:val="single" w:sz="8" w:color="0077C0"/>
            </w:tcBorders>
          </w:tcPr>
          <w:p>
            <w:pPr>
              <w:spacing w:after="0"/>
              <w:rPr>
                <w:sz w:val="20"/>
                <w:szCs w:val="20"/>
                <w:color w:val="auto"/>
              </w:rPr>
            </w:pPr>
          </w:p>
        </w:tc>
        <w:tc>
          <w:tcPr>
            <w:tcW w:w="520" w:type="dxa"/>
            <w:vAlign w:val="bottom"/>
            <w:tcBorders>
              <w:bottom w:val="single" w:sz="8" w:color="0077C0"/>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28</w:t>
            </w:r>
          </w:p>
        </w:tc>
        <w:tc>
          <w:tcPr>
            <w:tcW w:w="920" w:type="dxa"/>
            <w:vAlign w:val="bottom"/>
            <w:tcBorders>
              <w:bottom w:val="single" w:sz="8" w:color="0077C0"/>
            </w:tcBorders>
          </w:tcPr>
          <w:p>
            <w:pPr>
              <w:spacing w:after="0"/>
              <w:rPr>
                <w:sz w:val="20"/>
                <w:szCs w:val="20"/>
                <w:color w:val="auto"/>
              </w:rPr>
            </w:pPr>
          </w:p>
        </w:tc>
        <w:tc>
          <w:tcPr>
            <w:tcW w:w="600" w:type="dxa"/>
            <w:vAlign w:val="bottom"/>
            <w:tcBorders>
              <w:bottom w:val="single" w:sz="8" w:color="0077C0"/>
            </w:tcBorders>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tcBorders>
              <w:bottom w:val="single" w:sz="8" w:color="0077C0"/>
            </w:tcBorders>
          </w:tcPr>
          <w:p>
            <w:pPr>
              <w:spacing w:after="0"/>
              <w:rPr>
                <w:sz w:val="20"/>
                <w:szCs w:val="20"/>
                <w:color w:val="auto"/>
              </w:rPr>
            </w:pPr>
          </w:p>
        </w:tc>
        <w:tc>
          <w:tcPr>
            <w:tcW w:w="1100" w:type="dxa"/>
            <w:vAlign w:val="bottom"/>
            <w:tcBorders>
              <w:bottom w:val="single" w:sz="8" w:color="0077C0"/>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83</w:t>
            </w:r>
          </w:p>
        </w:tc>
        <w:tc>
          <w:tcPr>
            <w:tcW w:w="540" w:type="dxa"/>
            <w:vAlign w:val="bottom"/>
            <w:tcBorders>
              <w:bottom w:val="single" w:sz="8" w:color="0077C0"/>
            </w:tcBorders>
          </w:tcPr>
          <w:p>
            <w:pPr>
              <w:spacing w:after="0"/>
              <w:rPr>
                <w:sz w:val="20"/>
                <w:szCs w:val="20"/>
                <w:color w:val="auto"/>
              </w:rPr>
            </w:pP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6"/>
        </w:trPr>
        <w:tc>
          <w:tcPr>
            <w:tcW w:w="536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Pension Benefit Costs</w:t>
            </w:r>
          </w:p>
        </w:tc>
        <w:tc>
          <w:tcPr>
            <w:tcW w:w="880" w:type="dxa"/>
            <w:vAlign w:val="bottom"/>
            <w:tcBorders>
              <w:bottom w:val="single" w:sz="8" w:color="0077C0"/>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0077C0"/>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103</w:t>
            </w:r>
          </w:p>
        </w:tc>
        <w:tc>
          <w:tcPr>
            <w:tcW w:w="920" w:type="dxa"/>
            <w:vAlign w:val="bottom"/>
            <w:tcBorders>
              <w:bottom w:val="single" w:sz="8" w:color="0077C0"/>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0077C0"/>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148</w:t>
            </w:r>
          </w:p>
        </w:tc>
        <w:tc>
          <w:tcPr>
            <w:tcW w:w="440" w:type="dxa"/>
            <w:vAlign w:val="bottom"/>
            <w:tcBorders>
              <w:bottom w:val="single" w:sz="8" w:color="0077C0"/>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0077C0"/>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352</w:t>
            </w:r>
          </w:p>
        </w:tc>
        <w:tc>
          <w:tcPr>
            <w:tcW w:w="540" w:type="dxa"/>
            <w:vAlign w:val="bottom"/>
            <w:tcBorders>
              <w:bottom w:val="single" w:sz="8" w:color="0077C0"/>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37"/>
        </w:trPr>
        <w:tc>
          <w:tcPr>
            <w:tcW w:w="5360" w:type="dxa"/>
            <w:vAlign w:val="bottom"/>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Other Benefits</w:t>
            </w:r>
            <w:r>
              <w:rPr>
                <w:rFonts w:ascii="Times New Roman" w:cs="Times New Roman" w:eastAsia="Times New Roman" w:hAnsi="Times New Roman"/>
                <w:sz w:val="23"/>
                <w:szCs w:val="23"/>
                <w:b w:val="1"/>
                <w:bCs w:val="1"/>
                <w:color w:val="auto"/>
                <w:vertAlign w:val="superscript"/>
              </w:rPr>
              <w:t>(1)</w:t>
            </w: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3"/>
        </w:trPr>
        <w:tc>
          <w:tcPr>
            <w:tcW w:w="5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 cost</w:t>
            </w:r>
          </w:p>
        </w:tc>
        <w:tc>
          <w:tcPr>
            <w:tcW w:w="88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w:t>
            </w:r>
          </w:p>
        </w:tc>
        <w:tc>
          <w:tcPr>
            <w:tcW w:w="92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22</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88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25</w:t>
            </w:r>
          </w:p>
        </w:tc>
        <w:tc>
          <w:tcPr>
            <w:tcW w:w="92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44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73</w:t>
            </w: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5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prior service costs (credits)</w:t>
            </w:r>
          </w:p>
        </w:tc>
        <w:tc>
          <w:tcPr>
            <w:tcW w:w="8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9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(17)</w:t>
            </w:r>
          </w:p>
        </w:tc>
        <w:tc>
          <w:tcPr>
            <w:tcW w:w="5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actuarial losses (gains)</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92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(8)</w:t>
            </w: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5360" w:type="dxa"/>
            <w:vAlign w:val="bottom"/>
            <w:tcBorders>
              <w:bottom w:val="single" w:sz="8" w:color="0077C0"/>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Curtailment losses (gains)</w:t>
            </w:r>
          </w:p>
        </w:tc>
        <w:tc>
          <w:tcPr>
            <w:tcW w:w="880" w:type="dxa"/>
            <w:vAlign w:val="bottom"/>
            <w:tcBorders>
              <w:bottom w:val="single" w:sz="8" w:color="0077C0"/>
            </w:tcBorders>
            <w:shd w:val="clear" w:color="auto" w:fill="CCEEFF"/>
          </w:tcPr>
          <w:p>
            <w:pPr>
              <w:spacing w:after="0"/>
              <w:rPr>
                <w:sz w:val="21"/>
                <w:szCs w:val="21"/>
                <w:color w:val="auto"/>
              </w:rPr>
            </w:pPr>
          </w:p>
        </w:tc>
        <w:tc>
          <w:tcPr>
            <w:tcW w:w="520" w:type="dxa"/>
            <w:vAlign w:val="bottom"/>
            <w:tcBorders>
              <w:bottom w:val="single" w:sz="8" w:color="0077C0"/>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0077C0"/>
            </w:tcBorders>
            <w:shd w:val="clear" w:color="auto" w:fill="CCEEFF"/>
          </w:tcPr>
          <w:p>
            <w:pPr>
              <w:spacing w:after="0"/>
              <w:rPr>
                <w:sz w:val="21"/>
                <w:szCs w:val="21"/>
                <w:color w:val="auto"/>
              </w:rPr>
            </w:pPr>
          </w:p>
        </w:tc>
        <w:tc>
          <w:tcPr>
            <w:tcW w:w="600" w:type="dxa"/>
            <w:vAlign w:val="bottom"/>
            <w:tcBorders>
              <w:bottom w:val="single" w:sz="8" w:color="0077C0"/>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Borders>
              <w:bottom w:val="single" w:sz="8" w:color="0077C0"/>
            </w:tcBorders>
            <w:shd w:val="clear" w:color="auto" w:fill="CCEEFF"/>
          </w:tcPr>
          <w:p>
            <w:pPr>
              <w:spacing w:after="0"/>
              <w:rPr>
                <w:sz w:val="21"/>
                <w:szCs w:val="21"/>
                <w:color w:val="auto"/>
              </w:rPr>
            </w:pPr>
          </w:p>
        </w:tc>
        <w:tc>
          <w:tcPr>
            <w:tcW w:w="1100" w:type="dxa"/>
            <w:vAlign w:val="bottom"/>
            <w:tcBorders>
              <w:bottom w:val="single" w:sz="8" w:color="0077C0"/>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0077C0"/>
            </w:tcBorders>
            <w:shd w:val="clear" w:color="auto" w:fill="CCEEFF"/>
          </w:tcPr>
          <w:p>
            <w:pPr>
              <w:spacing w:after="0"/>
              <w:rPr>
                <w:sz w:val="21"/>
                <w:szCs w:val="21"/>
                <w:color w:val="auto"/>
              </w:rPr>
            </w:pPr>
          </w:p>
        </w:tc>
        <w:tc>
          <w:tcPr>
            <w:tcW w:w="8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53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Other Benefit Costs</w:t>
            </w:r>
          </w:p>
        </w:tc>
        <w:tc>
          <w:tcPr>
            <w:tcW w:w="880" w:type="dxa"/>
            <w:vAlign w:val="bottom"/>
            <w:tcBorders>
              <w:bottom w:val="single" w:sz="8" w:color="0077C0"/>
            </w:tcBorders>
          </w:tcPr>
          <w:p>
            <w:pPr>
              <w:jc w:val="right"/>
              <w:ind w:right="678"/>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0077C0"/>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w:t>
            </w:r>
          </w:p>
        </w:tc>
        <w:tc>
          <w:tcPr>
            <w:tcW w:w="920" w:type="dxa"/>
            <w:vAlign w:val="bottom"/>
            <w:tcBorders>
              <w:bottom w:val="single" w:sz="8" w:color="0077C0"/>
            </w:tcBorders>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0077C0"/>
            </w:tcBorders>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tcBorders>
              <w:bottom w:val="single" w:sz="8" w:color="0077C0"/>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0077C0"/>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70</w:t>
            </w:r>
          </w:p>
        </w:tc>
        <w:tc>
          <w:tcPr>
            <w:tcW w:w="540" w:type="dxa"/>
            <w:vAlign w:val="bottom"/>
            <w:tcBorders>
              <w:bottom w:val="single" w:sz="8" w:color="0077C0"/>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55" w:lineRule="exact"/>
        <w:rPr>
          <w:sz w:val="20"/>
          <w:szCs w:val="20"/>
          <w:color w:val="auto"/>
        </w:rPr>
      </w:pPr>
    </w:p>
    <w:p>
      <w:pPr>
        <w:ind w:left="180" w:hanging="153"/>
        <w:spacing w:after="0"/>
        <w:tabs>
          <w:tab w:leader="none" w:pos="18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costs for U.S. and international OPEB plans. Obligations for plans outside the United States are not significant relative to the company’s total OPEB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Through September 30, 2026, a total of $538 million was contributed to employee pension plans (including $450 million to the U.S. plans). Total contributions for the full year are currently estimated to be approximately $775 million ($675 million for the U.S. plans and $100 million for the international plans). Contribution amounts are dependent upon plan investment returns, changes in pension obligations, regulatory requirements, and other economic factors. Additional funding may ultimately be required if investment returns are insufficient to offset increases in plan obligations.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nine months of 2026, the company contributed $113 million to its OPEB plans.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Assets Held For Sale</w:t>
      </w:r>
    </w:p>
    <w:p>
      <w:pPr>
        <w:spacing w:after="0" w:line="9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At September 30, 2026, the company classified $914 million of net properties, plant and equipment as “Assets held for sale” on the Consolidated Balance Sheet. These assets are associated with upstream and downstream operations that are expected to be sold in the next 12 months. The revenues and earnings contributions of these assets in 2025 and the first nine months of 2026 were not material.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0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income tax expense increased $1.8 billion between quarterly periods from $1.8 billion in 2025 to $3.6 billion in 2026. The company’s income before income tax expense increased $8.2 billion from $5.4 billion in 2025 to $13.6 billion in 2026, primarily due to higher upstream realizations and higher downstream margins on refined product sales. The company’s effective tax rate decreased between quarterly periods from 33 percent in 2025 to 26 percent in 2026. The change in effective tax rate was primarily due to mix effects, resulting from the absolute level of earnings or losses and whether they arose in higher or lower tax rate jurisdictions, and a decrease in current period unfavorable tax items relative to the company’s income before tax.</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income tax expense increased $4.2 billion between nine-month periods from $5.5 billion in 2025 to $9.7 billion in 2026. The company’s income before income tax expense increased $19.1 billion, from $15.1 billion in 2025 to $34.3 billion in 2026, primarily due to higher upstream realizations and sales volumes, and higher downstream margins on refined product sales, partly offset by higher depreciation, depletion and amortization. The company’s effective tax rate decreased between nine-month periods from 36 percent in 2025 to 28 percent in 2026. The change in effective tax rate was primarily due to mix effects, resulting from the absolute level of earnings or losses and whether they arose in higher or lower tax rate jurisdictions, and a decrease in current period unfavorable tax items relative to the company’s income before tax.</w:t>
      </w:r>
    </w:p>
    <w:p>
      <w:pPr>
        <w:spacing w:after="0" w:line="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 engages in ongoing discussions with tax authorities regarding the resolution of tax matters in various jurisdictions. Both the outcome of these tax matters and the timing of resolution and/or closure of the tax audits are highly uncertain. Given the number of years that still remain subject to examination and the number of matters being examined in the various tax jurisdictions, the company is unable to estimate the range of possible adjustments to the balance of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Litigation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E51837"/>
        </w:rPr>
        <w:t>Climate Change</w:t>
      </w:r>
    </w:p>
    <w:p>
      <w:pPr>
        <w:spacing w:after="0" w:line="108"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Governmental and other plaintiffs in various jurisdictions across the United States have brought lawsuits against fossil fuel producing companies, including Chevron entities, purporting to seek legal and equitable relief to address alleged impacts of climate change. Chevron entities are or were among the codefendants in 35 separate lawsuits filed by various U.S. cities and counties, seven U.S. states, the District of Columbia, the Commonwealth of Puerto Rico, two Native American tribes, and a trade group in both federal and state courts.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The lawsuits have asserted various causes of action, including public nuisance, private nuisance, failure to warn, fraud, conspiracy to commit fraud, design defect, product defect, trespass, negligence, impairment of public trust, equitable relief for pollution, impairment and destruction of natural resources, unjust enrichment, violations of consumer and environmental protection statutes, violations of unfair competition statutes, violations of federal and state antitrust statutes, and violations of federal and state RICO statutes, based upon, among other things, the company’s production of oil and gas products and alleged misrepresentations or omissions relating to climate change risks associated with those products. Further such lawsuits are likely to be brought by other parties. While defendants have sought to remove cases filed in state court to federal court, most of those cases have been remanded to state court and the U.S. Supreme Court has denied petitions for certiorari on the question of whether federal courts have jurisdiction over those cases. The U.S. Supreme Court has also denied certiorari to review a decision from the Hawaii Supreme Court allowing claims brought by the City and County of Honolulu to proceed past the pleadings. On October 5, 2026, the U.S. Supreme Court heard argument in </w:t>
      </w:r>
      <w:r>
        <w:rPr>
          <w:rFonts w:ascii="Times New Roman" w:cs="Times New Roman" w:eastAsia="Times New Roman" w:hAnsi="Times New Roman"/>
          <w:sz w:val="18"/>
          <w:szCs w:val="18"/>
          <w:i w:val="1"/>
          <w:iCs w:val="1"/>
          <w:color w:val="auto"/>
        </w:rPr>
        <w:t>Suncor Energy (U.S.A.) Inc., et al. v. County Commissioners of Boulder County, et. al.</w:t>
      </w:r>
      <w:r>
        <w:rPr>
          <w:rFonts w:ascii="Times New Roman" w:cs="Times New Roman" w:eastAsia="Times New Roman" w:hAnsi="Times New Roman"/>
          <w:sz w:val="18"/>
          <w:szCs w:val="18"/>
          <w:color w:val="auto"/>
        </w:rPr>
        <w:t xml:space="preserve"> (No. 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170), a case in which no Chevron entity is a party, to address the questions of whether federal law precludes state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 claims seeking relief for injuries allegedly caused by the effects of interstate and international greenhouse gas emissions on the global climate and whether the U.S. Supreme Court has statutory and Article III jurisdiction to hear that case. The unprecedented legal theories set forth in these climate lawsuits include claims for damages (both compensatory and punitive), injunctive and other forms of equitable relief, including without limitation abatement, contribution to abatement funds, disgorgement of profits and equitable relief for pollution, impairment and destruction of natural resources, civil penalties and liability for fees and costs of suits. Due to the unprecedented nature of the suits, the company is unable to estimate any range of possible liability, but given the uncertainty of litigation there can be no assurance that the cases will not have a material adverse effect on the company’s results of operations and financial condition. Management believes that these lawsuits are legally and factually meritless and detract from constructive efforts to address the important policy issues presented by climate change and will vigorously defend against such lawsuits.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14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xml:space="preserve">The cases are: </w:t>
      </w:r>
      <w:r>
        <w:rPr>
          <w:rFonts w:ascii="Times New Roman" w:cs="Times New Roman" w:eastAsia="Times New Roman" w:hAnsi="Times New Roman"/>
          <w:sz w:val="13"/>
          <w:szCs w:val="13"/>
          <w:i w:val="1"/>
          <w:iCs w:val="1"/>
          <w:color w:val="auto"/>
        </w:rPr>
        <w:t>City of Annapolis v. BP P.L.C., et al.</w:t>
      </w:r>
      <w:r>
        <w:rPr>
          <w:rFonts w:ascii="Times New Roman" w:cs="Times New Roman" w:eastAsia="Times New Roman" w:hAnsi="Times New Roman"/>
          <w:sz w:val="13"/>
          <w:szCs w:val="13"/>
          <w:color w:val="auto"/>
        </w:rPr>
        <w:t xml:space="preserve">, No. C-02-CV-21-000250 (Md. Cir. Ct.) (dismissed on the merits; dismissal affirmed by the Supreme Court of Maryland); </w:t>
      </w:r>
      <w:r>
        <w:rPr>
          <w:rFonts w:ascii="Times New Roman" w:cs="Times New Roman" w:eastAsia="Times New Roman" w:hAnsi="Times New Roman"/>
          <w:sz w:val="13"/>
          <w:szCs w:val="13"/>
          <w:i w:val="1"/>
          <w:iCs w:val="1"/>
          <w:color w:val="auto"/>
        </w:rPr>
        <w:t>Anne Arundel County v. BP</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P.L.C., et al.</w:t>
      </w:r>
      <w:r>
        <w:rPr>
          <w:rFonts w:ascii="Times New Roman" w:cs="Times New Roman" w:eastAsia="Times New Roman" w:hAnsi="Times New Roman"/>
          <w:sz w:val="13"/>
          <w:szCs w:val="13"/>
          <w:color w:val="auto"/>
        </w:rPr>
        <w:t>, No. C-02-CV-21-000565 (Md. Cir. Ct.) (dismissed on the merits; dismissal affirmed by the Supreme Court of Maryland);</w:t>
      </w:r>
      <w:r>
        <w:rPr>
          <w:rFonts w:ascii="Times New Roman" w:cs="Times New Roman" w:eastAsia="Times New Roman" w:hAnsi="Times New Roman"/>
          <w:sz w:val="13"/>
          <w:szCs w:val="13"/>
          <w:i w:val="1"/>
          <w:iCs w:val="1"/>
          <w:color w:val="auto"/>
        </w:rPr>
        <w:t xml:space="preserve"> Mayor and City Council of Baltimore v. BP P.L.C., et al</w:t>
      </w:r>
      <w:r>
        <w:rPr>
          <w:rFonts w:ascii="Times New Roman" w:cs="Times New Roman" w:eastAsia="Times New Roman" w:hAnsi="Times New Roman"/>
          <w:sz w:val="13"/>
          <w:szCs w:val="13"/>
          <w:color w:val="auto"/>
        </w:rPr>
        <w:t xml:space="preserve">., No. 24-C-18-004219 (Md. Cir. Ct.) (dismissed on the merits; dismissal affirmed by the Supreme Court of Maryland); </w:t>
      </w:r>
      <w:r>
        <w:rPr>
          <w:rFonts w:ascii="Times New Roman" w:cs="Times New Roman" w:eastAsia="Times New Roman" w:hAnsi="Times New Roman"/>
          <w:sz w:val="13"/>
          <w:szCs w:val="13"/>
          <w:i w:val="1"/>
          <w:iCs w:val="1"/>
          <w:color w:val="auto"/>
        </w:rPr>
        <w:t>Municipality of Bayamon et al. v. Exxon Mobil Corp., et al</w:t>
      </w:r>
      <w:r>
        <w:rPr>
          <w:rFonts w:ascii="Times New Roman" w:cs="Times New Roman" w:eastAsia="Times New Roman" w:hAnsi="Times New Roman"/>
          <w:sz w:val="13"/>
          <w:szCs w:val="13"/>
          <w:color w:val="auto"/>
        </w:rPr>
        <w:t xml:space="preserve">., No. 22-cv-1550 (D.P.R.) (dismissed on the merits; Plaintiffs’ appeal pending); </w:t>
      </w:r>
      <w:r>
        <w:rPr>
          <w:rFonts w:ascii="Times New Roman" w:cs="Times New Roman" w:eastAsia="Times New Roman" w:hAnsi="Times New Roman"/>
          <w:sz w:val="13"/>
          <w:szCs w:val="13"/>
          <w:i w:val="1"/>
          <w:iCs w:val="1"/>
          <w:color w:val="auto"/>
        </w:rPr>
        <w:t>People ex rel. Bonta v. Exxon Mobil Corp., et al</w:t>
      </w:r>
      <w:r>
        <w:rPr>
          <w:rFonts w:ascii="Times New Roman" w:cs="Times New Roman" w:eastAsia="Times New Roman" w:hAnsi="Times New Roman"/>
          <w:sz w:val="13"/>
          <w:szCs w:val="13"/>
          <w:color w:val="auto"/>
        </w:rPr>
        <w:t xml:space="preserve">., No. CGC-23-609134 (Cal. Super. Ct.); </w:t>
      </w:r>
      <w:r>
        <w:rPr>
          <w:rFonts w:ascii="Times New Roman" w:cs="Times New Roman" w:eastAsia="Times New Roman" w:hAnsi="Times New Roman"/>
          <w:sz w:val="13"/>
          <w:szCs w:val="13"/>
          <w:i w:val="1"/>
          <w:iCs w:val="1"/>
          <w:color w:val="auto"/>
        </w:rPr>
        <w:t>Bucks County v. BP P.L.C., et al</w:t>
      </w:r>
      <w:r>
        <w:rPr>
          <w:rFonts w:ascii="Times New Roman" w:cs="Times New Roman" w:eastAsia="Times New Roman" w:hAnsi="Times New Roman"/>
          <w:sz w:val="13"/>
          <w:szCs w:val="13"/>
          <w:color w:val="auto"/>
        </w:rPr>
        <w:t xml:space="preserve">., No. 2024-01836 (Pa. Ct. Com. Pl.) (dismissed on the merits; Plaintiff’s appeal pending); </w:t>
      </w:r>
      <w:r>
        <w:rPr>
          <w:rFonts w:ascii="Times New Roman" w:cs="Times New Roman" w:eastAsia="Times New Roman" w:hAnsi="Times New Roman"/>
          <w:sz w:val="13"/>
          <w:szCs w:val="13"/>
          <w:i w:val="1"/>
          <w:iCs w:val="1"/>
          <w:color w:val="auto"/>
        </w:rPr>
        <w:t>City of Charleston v. Brabham Oil Co., et al</w:t>
      </w:r>
      <w:r>
        <w:rPr>
          <w:rFonts w:ascii="Times New Roman" w:cs="Times New Roman" w:eastAsia="Times New Roman" w:hAnsi="Times New Roman"/>
          <w:sz w:val="13"/>
          <w:szCs w:val="13"/>
          <w:color w:val="auto"/>
        </w:rPr>
        <w:t xml:space="preserve">., No. 2020-CP-10-3975 (S.C. Ct. of Com. Pl.) (dismissed on the merits and for lack of personal jurisdiction); </w:t>
      </w:r>
      <w:r>
        <w:rPr>
          <w:rFonts w:ascii="Times New Roman" w:cs="Times New Roman" w:eastAsia="Times New Roman" w:hAnsi="Times New Roman"/>
          <w:sz w:val="13"/>
          <w:szCs w:val="13"/>
          <w:i w:val="1"/>
          <w:iCs w:val="1"/>
          <w:color w:val="auto"/>
        </w:rPr>
        <w:t>City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Chicago v. BP P.L.C., et al</w:t>
      </w:r>
      <w:r>
        <w:rPr>
          <w:rFonts w:ascii="Times New Roman" w:cs="Times New Roman" w:eastAsia="Times New Roman" w:hAnsi="Times New Roman"/>
          <w:sz w:val="13"/>
          <w:szCs w:val="13"/>
          <w:color w:val="auto"/>
        </w:rPr>
        <w:t>., No. 2024CH01024 (Ill. Cir. Ct.);</w:t>
      </w:r>
      <w:r>
        <w:rPr>
          <w:rFonts w:ascii="Times New Roman" w:cs="Times New Roman" w:eastAsia="Times New Roman" w:hAnsi="Times New Roman"/>
          <w:sz w:val="13"/>
          <w:szCs w:val="13"/>
          <w:i w:val="1"/>
          <w:iCs w:val="1"/>
          <w:color w:val="auto"/>
        </w:rPr>
        <w:t xml:space="preserve"> District of Columbia v. Exxon Mobil Corp., et al</w:t>
      </w:r>
      <w:r>
        <w:rPr>
          <w:rFonts w:ascii="Times New Roman" w:cs="Times New Roman" w:eastAsia="Times New Roman" w:hAnsi="Times New Roman"/>
          <w:sz w:val="13"/>
          <w:szCs w:val="13"/>
          <w:color w:val="auto"/>
        </w:rPr>
        <w:t>., No. 2020-CA-002892-B (D.C. Super. Ct.);</w:t>
      </w:r>
      <w:r>
        <w:rPr>
          <w:rFonts w:ascii="Times New Roman" w:cs="Times New Roman" w:eastAsia="Times New Roman" w:hAnsi="Times New Roman"/>
          <w:sz w:val="13"/>
          <w:szCs w:val="13"/>
          <w:i w:val="1"/>
          <w:iCs w:val="1"/>
          <w:color w:val="auto"/>
        </w:rPr>
        <w:t xml:space="preserve"> Delaware ex rel. Jennings v. BP America Inc., et al</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C.A. No. N20C-09-097 (Del. Super. Ct.) (dismissed on the merits in substantial part); </w:t>
      </w:r>
      <w:r>
        <w:rPr>
          <w:rFonts w:ascii="Times New Roman" w:cs="Times New Roman" w:eastAsia="Times New Roman" w:hAnsi="Times New Roman"/>
          <w:sz w:val="13"/>
          <w:szCs w:val="13"/>
          <w:i w:val="1"/>
          <w:iCs w:val="1"/>
          <w:color w:val="auto"/>
        </w:rPr>
        <w:t>State of Hawaii v. BP P.L.C., et al</w:t>
      </w:r>
      <w:r>
        <w:rPr>
          <w:rFonts w:ascii="Times New Roman" w:cs="Times New Roman" w:eastAsia="Times New Roman" w:hAnsi="Times New Roman"/>
          <w:sz w:val="13"/>
          <w:szCs w:val="13"/>
          <w:color w:val="auto"/>
        </w:rPr>
        <w:t xml:space="preserve">., 1CCV-25-0000717 (Haw. Cir. Ct.); </w:t>
      </w:r>
      <w:r>
        <w:rPr>
          <w:rFonts w:ascii="Times New Roman" w:cs="Times New Roman" w:eastAsia="Times New Roman" w:hAnsi="Times New Roman"/>
          <w:sz w:val="13"/>
          <w:szCs w:val="13"/>
          <w:i w:val="1"/>
          <w:iCs w:val="1"/>
          <w:color w:val="auto"/>
        </w:rPr>
        <w:t>City of Hoboken v. Exxon Mobil Corp., et al</w:t>
      </w:r>
      <w:r>
        <w:rPr>
          <w:rFonts w:ascii="Times New Roman" w:cs="Times New Roman" w:eastAsia="Times New Roman" w:hAnsi="Times New Roman"/>
          <w:sz w:val="13"/>
          <w:szCs w:val="13"/>
          <w:color w:val="auto"/>
        </w:rPr>
        <w:t xml:space="preserve">., No. HUD-L-003179-20 (N.J. Super. Ct.); </w:t>
      </w:r>
      <w:r>
        <w:rPr>
          <w:rFonts w:ascii="Times New Roman" w:cs="Times New Roman" w:eastAsia="Times New Roman" w:hAnsi="Times New Roman"/>
          <w:sz w:val="13"/>
          <w:szCs w:val="13"/>
          <w:i w:val="1"/>
          <w:iCs w:val="1"/>
          <w:color w:val="auto"/>
        </w:rPr>
        <w:t>City and County of Honolulu, et al. v. Sunoco LP, et al.</w:t>
      </w:r>
      <w:r>
        <w:rPr>
          <w:rFonts w:ascii="Times New Roman" w:cs="Times New Roman" w:eastAsia="Times New Roman" w:hAnsi="Times New Roman"/>
          <w:sz w:val="13"/>
          <w:szCs w:val="13"/>
          <w:color w:val="auto"/>
        </w:rPr>
        <w:t xml:space="preserve">, No. 1CCV-20-0000380 (Haw. Cir. Ct.); </w:t>
      </w:r>
      <w:r>
        <w:rPr>
          <w:rFonts w:ascii="Times New Roman" w:cs="Times New Roman" w:eastAsia="Times New Roman" w:hAnsi="Times New Roman"/>
          <w:sz w:val="13"/>
          <w:szCs w:val="13"/>
          <w:i w:val="1"/>
          <w:iCs w:val="1"/>
          <w:color w:val="auto"/>
        </w:rPr>
        <w:t>City of Imperial Beach v. Chevron Corp., et al</w:t>
      </w:r>
      <w:r>
        <w:rPr>
          <w:rFonts w:ascii="Times New Roman" w:cs="Times New Roman" w:eastAsia="Times New Roman" w:hAnsi="Times New Roman"/>
          <w:sz w:val="13"/>
          <w:szCs w:val="13"/>
          <w:color w:val="auto"/>
        </w:rPr>
        <w:t xml:space="preserve">., No. C17-01227 (Cal. Super. Ct.); </w:t>
      </w:r>
      <w:r>
        <w:rPr>
          <w:rFonts w:ascii="Times New Roman" w:cs="Times New Roman" w:eastAsia="Times New Roman" w:hAnsi="Times New Roman"/>
          <w:sz w:val="13"/>
          <w:szCs w:val="13"/>
          <w:i w:val="1"/>
          <w:iCs w:val="1"/>
          <w:color w:val="auto"/>
        </w:rPr>
        <w:t>King County v. BP P.L.C., et al</w:t>
      </w:r>
      <w:r>
        <w:rPr>
          <w:rFonts w:ascii="Times New Roman" w:cs="Times New Roman" w:eastAsia="Times New Roman" w:hAnsi="Times New Roman"/>
          <w:sz w:val="13"/>
          <w:szCs w:val="13"/>
          <w:color w:val="auto"/>
        </w:rPr>
        <w:t xml:space="preserve">., No. 18-2-11859-0 (Wash. Super. Ct.) (voluntarily dismissed); </w:t>
      </w:r>
      <w:r>
        <w:rPr>
          <w:rFonts w:ascii="Times New Roman" w:cs="Times New Roman" w:eastAsia="Times New Roman" w:hAnsi="Times New Roman"/>
          <w:sz w:val="13"/>
          <w:szCs w:val="13"/>
          <w:i w:val="1"/>
          <w:iCs w:val="1"/>
          <w:color w:val="auto"/>
        </w:rPr>
        <w:t>Maine v. BP P.L.C. et al</w:t>
      </w:r>
      <w:r>
        <w:rPr>
          <w:rFonts w:ascii="Times New Roman" w:cs="Times New Roman" w:eastAsia="Times New Roman" w:hAnsi="Times New Roman"/>
          <w:sz w:val="13"/>
          <w:szCs w:val="13"/>
          <w:color w:val="auto"/>
        </w:rPr>
        <w:t xml:space="preserve">., No. PORSC-CV-24-442 (Me. Super. Ct.); </w:t>
      </w:r>
      <w:r>
        <w:rPr>
          <w:rFonts w:ascii="Times New Roman" w:cs="Times New Roman" w:eastAsia="Times New Roman" w:hAnsi="Times New Roman"/>
          <w:sz w:val="13"/>
          <w:szCs w:val="13"/>
          <w:i w:val="1"/>
          <w:iCs w:val="1"/>
          <w:color w:val="auto"/>
        </w:rPr>
        <w:t>Makah Indian Tribe v. Exxon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Mobil Corp., et al</w:t>
      </w:r>
      <w:r>
        <w:rPr>
          <w:rFonts w:ascii="Times New Roman" w:cs="Times New Roman" w:eastAsia="Times New Roman" w:hAnsi="Times New Roman"/>
          <w:sz w:val="13"/>
          <w:szCs w:val="13"/>
          <w:color w:val="auto"/>
        </w:rPr>
        <w:t>., No. 23-25216-1-SEA (Wash. Super. Ct.);</w:t>
      </w:r>
      <w:r>
        <w:rPr>
          <w:rFonts w:ascii="Times New Roman" w:cs="Times New Roman" w:eastAsia="Times New Roman" w:hAnsi="Times New Roman"/>
          <w:sz w:val="13"/>
          <w:szCs w:val="13"/>
          <w:i w:val="1"/>
          <w:iCs w:val="1"/>
          <w:color w:val="auto"/>
        </w:rPr>
        <w:t xml:space="preserve"> County of Marin v. Chevron Corp., et al</w:t>
      </w:r>
      <w:r>
        <w:rPr>
          <w:rFonts w:ascii="Times New Roman" w:cs="Times New Roman" w:eastAsia="Times New Roman" w:hAnsi="Times New Roman"/>
          <w:sz w:val="13"/>
          <w:szCs w:val="13"/>
          <w:color w:val="auto"/>
        </w:rPr>
        <w:t>., No. 17-cv-02586 (Cal. Super. Ct.);</w:t>
      </w:r>
      <w:r>
        <w:rPr>
          <w:rFonts w:ascii="Times New Roman" w:cs="Times New Roman" w:eastAsia="Times New Roman" w:hAnsi="Times New Roman"/>
          <w:sz w:val="13"/>
          <w:szCs w:val="13"/>
          <w:i w:val="1"/>
          <w:iCs w:val="1"/>
          <w:color w:val="auto"/>
        </w:rPr>
        <w:t xml:space="preserve"> County of Maui v. Sunoco LP, et al</w:t>
      </w:r>
      <w:r>
        <w:rPr>
          <w:rFonts w:ascii="Times New Roman" w:cs="Times New Roman" w:eastAsia="Times New Roman" w:hAnsi="Times New Roman"/>
          <w:sz w:val="13"/>
          <w:szCs w:val="13"/>
          <w:color w:val="auto"/>
        </w:rPr>
        <w:t>., No. 2CCV-20-0000283 (Haw.</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Cir. Ct.); </w:t>
      </w:r>
      <w:r>
        <w:rPr>
          <w:rFonts w:ascii="Times New Roman" w:cs="Times New Roman" w:eastAsia="Times New Roman" w:hAnsi="Times New Roman"/>
          <w:sz w:val="13"/>
          <w:szCs w:val="13"/>
          <w:i w:val="1"/>
          <w:iCs w:val="1"/>
          <w:color w:val="auto"/>
        </w:rPr>
        <w:t>The People of the State of Michigan v. BP p.l.c., et al</w:t>
      </w:r>
      <w:r>
        <w:rPr>
          <w:rFonts w:ascii="Times New Roman" w:cs="Times New Roman" w:eastAsia="Times New Roman" w:hAnsi="Times New Roman"/>
          <w:sz w:val="13"/>
          <w:szCs w:val="13"/>
          <w:color w:val="auto"/>
        </w:rPr>
        <w:t xml:space="preserve">., Civ. No. 26-cv-00254 (W.D. Mich.) (dismissed on the merits); </w:t>
      </w:r>
      <w:r>
        <w:rPr>
          <w:rFonts w:ascii="Times New Roman" w:cs="Times New Roman" w:eastAsia="Times New Roman" w:hAnsi="Times New Roman"/>
          <w:sz w:val="13"/>
          <w:szCs w:val="13"/>
          <w:i w:val="1"/>
          <w:iCs w:val="1"/>
          <w:color w:val="auto"/>
        </w:rPr>
        <w:t>County of Middlesex v. Exxon Mobil Corp., et al.</w:t>
      </w:r>
      <w:r>
        <w:rPr>
          <w:rFonts w:ascii="Times New Roman" w:cs="Times New Roman" w:eastAsia="Times New Roman" w:hAnsi="Times New Roman"/>
          <w:sz w:val="13"/>
          <w:szCs w:val="13"/>
          <w:color w:val="auto"/>
        </w:rPr>
        <w:t xml:space="preserve">, No. MID-L-006502-26 (N.J. Super. Ct.); </w:t>
      </w:r>
      <w:r>
        <w:rPr>
          <w:rFonts w:ascii="Times New Roman" w:cs="Times New Roman" w:eastAsia="Times New Roman" w:hAnsi="Times New Roman"/>
          <w:sz w:val="13"/>
          <w:szCs w:val="13"/>
          <w:i w:val="1"/>
          <w:iCs w:val="1"/>
          <w:color w:val="auto"/>
        </w:rPr>
        <w:t>County of Multnomah v. Exxon Mobil Corp., et al</w:t>
      </w:r>
      <w:r>
        <w:rPr>
          <w:rFonts w:ascii="Times New Roman" w:cs="Times New Roman" w:eastAsia="Times New Roman" w:hAnsi="Times New Roman"/>
          <w:sz w:val="13"/>
          <w:szCs w:val="13"/>
          <w:color w:val="auto"/>
        </w:rPr>
        <w:t xml:space="preserve">., No. 23-cv-25164 (Or. Cir. Ct.); </w:t>
      </w:r>
      <w:r>
        <w:rPr>
          <w:rFonts w:ascii="Times New Roman" w:cs="Times New Roman" w:eastAsia="Times New Roman" w:hAnsi="Times New Roman"/>
          <w:sz w:val="13"/>
          <w:szCs w:val="13"/>
          <w:i w:val="1"/>
          <w:iCs w:val="1"/>
          <w:color w:val="auto"/>
        </w:rPr>
        <w:t>City of New York v. Chevron Corp., et al</w:t>
      </w:r>
      <w:r>
        <w:rPr>
          <w:rFonts w:ascii="Times New Roman" w:cs="Times New Roman" w:eastAsia="Times New Roman" w:hAnsi="Times New Roman"/>
          <w:sz w:val="13"/>
          <w:szCs w:val="13"/>
          <w:color w:val="auto"/>
        </w:rPr>
        <w:t xml:space="preserve">., No. 18-cv-00182 (S.D.N.Y.) (dismissed on the merits; dismissal affirmed by the U.S. Court of Appeals for the Second Circuit); </w:t>
      </w:r>
      <w:r>
        <w:rPr>
          <w:rFonts w:ascii="Times New Roman" w:cs="Times New Roman" w:eastAsia="Times New Roman" w:hAnsi="Times New Roman"/>
          <w:sz w:val="13"/>
          <w:szCs w:val="13"/>
          <w:i w:val="1"/>
          <w:iCs w:val="1"/>
          <w:color w:val="auto"/>
        </w:rPr>
        <w:t>City of Oakland v. BP P.L.C., et al</w:t>
      </w:r>
      <w:r>
        <w:rPr>
          <w:rFonts w:ascii="Times New Roman" w:cs="Times New Roman" w:eastAsia="Times New Roman" w:hAnsi="Times New Roman"/>
          <w:sz w:val="13"/>
          <w:szCs w:val="13"/>
          <w:color w:val="auto"/>
        </w:rPr>
        <w:t xml:space="preserve">., No. RG17875889 (Cal. Super. Ct.); </w:t>
      </w:r>
      <w:r>
        <w:rPr>
          <w:rFonts w:ascii="Times New Roman" w:cs="Times New Roman" w:eastAsia="Times New Roman" w:hAnsi="Times New Roman"/>
          <w:sz w:val="13"/>
          <w:szCs w:val="13"/>
          <w:i w:val="1"/>
          <w:iCs w:val="1"/>
          <w:color w:val="auto"/>
        </w:rPr>
        <w:t>Pacific Coast Federation of Fishermen’s Associations, Inc. v. Chevron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Corp., et al</w:t>
      </w:r>
      <w:r>
        <w:rPr>
          <w:rFonts w:ascii="Times New Roman" w:cs="Times New Roman" w:eastAsia="Times New Roman" w:hAnsi="Times New Roman"/>
          <w:sz w:val="13"/>
          <w:szCs w:val="13"/>
          <w:color w:val="auto"/>
        </w:rPr>
        <w:t>., No. CGC-18-571285 (Cal. Super. Ct.) (voluntarily dismissed);</w:t>
      </w:r>
      <w:r>
        <w:rPr>
          <w:rFonts w:ascii="Times New Roman" w:cs="Times New Roman" w:eastAsia="Times New Roman" w:hAnsi="Times New Roman"/>
          <w:sz w:val="13"/>
          <w:szCs w:val="13"/>
          <w:i w:val="1"/>
          <w:iCs w:val="1"/>
          <w:color w:val="auto"/>
        </w:rPr>
        <w:t xml:space="preserve"> Platkin, et al. v. Exxon Mobil Corp., et al</w:t>
      </w:r>
      <w:r>
        <w:rPr>
          <w:rFonts w:ascii="Times New Roman" w:cs="Times New Roman" w:eastAsia="Times New Roman" w:hAnsi="Times New Roman"/>
          <w:sz w:val="13"/>
          <w:szCs w:val="13"/>
          <w:color w:val="auto"/>
        </w:rPr>
        <w:t>., No. MER-L-001797-22 (N.J. Super. Ct.) (dismissed on the merits; Plaintiffs’ appeal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pending); </w:t>
      </w:r>
      <w:r>
        <w:rPr>
          <w:rFonts w:ascii="Times New Roman" w:cs="Times New Roman" w:eastAsia="Times New Roman" w:hAnsi="Times New Roman"/>
          <w:sz w:val="13"/>
          <w:szCs w:val="13"/>
          <w:i w:val="1"/>
          <w:iCs w:val="1"/>
          <w:color w:val="auto"/>
        </w:rPr>
        <w:t>Estado Libre Asociado de Puerto Rico [Commonwealth of Puerto Rico] v. Exxon Mobil Corp., et al</w:t>
      </w:r>
      <w:r>
        <w:rPr>
          <w:rFonts w:ascii="Times New Roman" w:cs="Times New Roman" w:eastAsia="Times New Roman" w:hAnsi="Times New Roman"/>
          <w:sz w:val="13"/>
          <w:szCs w:val="13"/>
          <w:color w:val="auto"/>
        </w:rPr>
        <w:t xml:space="preserve">., No. SJ2024CV06512 (Tribunal de Primera Instancia, Estado Libre Asociado de P.R.) [P.R. Ct. of First Instance, Commonwealth of P.R.] (voluntarily dismissed); </w:t>
      </w:r>
      <w:r>
        <w:rPr>
          <w:rFonts w:ascii="Times New Roman" w:cs="Times New Roman" w:eastAsia="Times New Roman" w:hAnsi="Times New Roman"/>
          <w:sz w:val="13"/>
          <w:szCs w:val="13"/>
          <w:i w:val="1"/>
          <w:iCs w:val="1"/>
          <w:color w:val="auto"/>
        </w:rPr>
        <w:t>State of Rhode Island v. Chevron Corp., et al</w:t>
      </w:r>
      <w:r>
        <w:rPr>
          <w:rFonts w:ascii="Times New Roman" w:cs="Times New Roman" w:eastAsia="Times New Roman" w:hAnsi="Times New Roman"/>
          <w:sz w:val="13"/>
          <w:szCs w:val="13"/>
          <w:color w:val="auto"/>
        </w:rPr>
        <w:t xml:space="preserve">., C.A. No. PC-2018-4716 (R.I. Super. Ct.); </w:t>
      </w:r>
      <w:r>
        <w:rPr>
          <w:rFonts w:ascii="Times New Roman" w:cs="Times New Roman" w:eastAsia="Times New Roman" w:hAnsi="Times New Roman"/>
          <w:sz w:val="13"/>
          <w:szCs w:val="13"/>
          <w:i w:val="1"/>
          <w:iCs w:val="1"/>
          <w:color w:val="auto"/>
        </w:rPr>
        <w:t>City of Richmond v. Chevron Corp., et al</w:t>
      </w:r>
      <w:r>
        <w:rPr>
          <w:rFonts w:ascii="Times New Roman" w:cs="Times New Roman" w:eastAsia="Times New Roman" w:hAnsi="Times New Roman"/>
          <w:sz w:val="13"/>
          <w:szCs w:val="13"/>
          <w:color w:val="auto"/>
        </w:rPr>
        <w:t xml:space="preserve">., No. C18-00055 (Cal. Super. Ct.); </w:t>
      </w:r>
      <w:r>
        <w:rPr>
          <w:rFonts w:ascii="Times New Roman" w:cs="Times New Roman" w:eastAsia="Times New Roman" w:hAnsi="Times New Roman"/>
          <w:sz w:val="13"/>
          <w:szCs w:val="13"/>
          <w:i w:val="1"/>
          <w:iCs w:val="1"/>
          <w:color w:val="auto"/>
        </w:rPr>
        <w:t>City of San Francisco v. BP P.L.C., et al.</w:t>
      </w:r>
      <w:r>
        <w:rPr>
          <w:rFonts w:ascii="Times New Roman" w:cs="Times New Roman" w:eastAsia="Times New Roman" w:hAnsi="Times New Roman"/>
          <w:sz w:val="13"/>
          <w:szCs w:val="13"/>
          <w:color w:val="auto"/>
        </w:rPr>
        <w:t xml:space="preserve">, No. CGC-17-561370 (Cal. Super. Ct.); </w:t>
      </w:r>
      <w:r>
        <w:rPr>
          <w:rFonts w:ascii="Times New Roman" w:cs="Times New Roman" w:eastAsia="Times New Roman" w:hAnsi="Times New Roman"/>
          <w:sz w:val="13"/>
          <w:szCs w:val="13"/>
          <w:i w:val="1"/>
          <w:iCs w:val="1"/>
          <w:color w:val="auto"/>
        </w:rPr>
        <w:t>Municipality of San Juan, Puerto Rico v. Exxon Mobil Corp., et al</w:t>
      </w:r>
      <w:r>
        <w:rPr>
          <w:rFonts w:ascii="Times New Roman" w:cs="Times New Roman" w:eastAsia="Times New Roman" w:hAnsi="Times New Roman"/>
          <w:sz w:val="13"/>
          <w:szCs w:val="13"/>
          <w:color w:val="auto"/>
        </w:rPr>
        <w:t xml:space="preserve">., No. 23-cv-01608 (D.P.R.) (dismissed on the merits; Plaintiff’s appeal pending); </w:t>
      </w:r>
      <w:r>
        <w:rPr>
          <w:rFonts w:ascii="Times New Roman" w:cs="Times New Roman" w:eastAsia="Times New Roman" w:hAnsi="Times New Roman"/>
          <w:sz w:val="13"/>
          <w:szCs w:val="13"/>
          <w:i w:val="1"/>
          <w:iCs w:val="1"/>
          <w:color w:val="auto"/>
        </w:rPr>
        <w:t>County of San Mateo v. Chevron Corp., et al</w:t>
      </w:r>
      <w:r>
        <w:rPr>
          <w:rFonts w:ascii="Times New Roman" w:cs="Times New Roman" w:eastAsia="Times New Roman" w:hAnsi="Times New Roman"/>
          <w:sz w:val="13"/>
          <w:szCs w:val="13"/>
          <w:color w:val="auto"/>
        </w:rPr>
        <w:t xml:space="preserve">., No. 17-CIV-03222 (Cal. Super. Ct.); </w:t>
      </w:r>
      <w:r>
        <w:rPr>
          <w:rFonts w:ascii="Times New Roman" w:cs="Times New Roman" w:eastAsia="Times New Roman" w:hAnsi="Times New Roman"/>
          <w:sz w:val="13"/>
          <w:szCs w:val="13"/>
          <w:i w:val="1"/>
          <w:iCs w:val="1"/>
          <w:color w:val="auto"/>
        </w:rPr>
        <w:t>City of Santa Cruz v. Chevron Corp., et al</w:t>
      </w:r>
      <w:r>
        <w:rPr>
          <w:rFonts w:ascii="Times New Roman" w:cs="Times New Roman" w:eastAsia="Times New Roman" w:hAnsi="Times New Roman"/>
          <w:sz w:val="13"/>
          <w:szCs w:val="13"/>
          <w:color w:val="auto"/>
        </w:rPr>
        <w:t>., No. 17-CV-03243 (Cal.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Super. Ct.); </w:t>
      </w:r>
      <w:r>
        <w:rPr>
          <w:rFonts w:ascii="Times New Roman" w:cs="Times New Roman" w:eastAsia="Times New Roman" w:hAnsi="Times New Roman"/>
          <w:sz w:val="13"/>
          <w:szCs w:val="13"/>
          <w:i w:val="1"/>
          <w:iCs w:val="1"/>
          <w:color w:val="auto"/>
        </w:rPr>
        <w:t>County of Santa Cruz v. Chevron Corp., et al</w:t>
      </w:r>
      <w:r>
        <w:rPr>
          <w:rFonts w:ascii="Times New Roman" w:cs="Times New Roman" w:eastAsia="Times New Roman" w:hAnsi="Times New Roman"/>
          <w:sz w:val="13"/>
          <w:szCs w:val="13"/>
          <w:color w:val="auto"/>
        </w:rPr>
        <w:t xml:space="preserve">., No. 17-CV-03242 (Cal. Super. Ct.); </w:t>
      </w:r>
      <w:r>
        <w:rPr>
          <w:rFonts w:ascii="Times New Roman" w:cs="Times New Roman" w:eastAsia="Times New Roman" w:hAnsi="Times New Roman"/>
          <w:sz w:val="13"/>
          <w:szCs w:val="13"/>
          <w:i w:val="1"/>
          <w:iCs w:val="1"/>
          <w:color w:val="auto"/>
        </w:rPr>
        <w:t>Shoalwater Bay Indian Tribe v. Exxon Mobil Corp., et al</w:t>
      </w:r>
      <w:r>
        <w:rPr>
          <w:rFonts w:ascii="Times New Roman" w:cs="Times New Roman" w:eastAsia="Times New Roman" w:hAnsi="Times New Roman"/>
          <w:sz w:val="13"/>
          <w:szCs w:val="13"/>
          <w:color w:val="auto"/>
        </w:rPr>
        <w:t>., No. 23-2-25215-2-SEA (Wash. Super. 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E51837"/>
        </w:rPr>
        <w:t>Louisiana</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Seven coastal parishes and the State of Louisiana have filed lawsuits in Louisiana against numerous oil and gas companies seeking remediation damages for coastal erosion in or near oil fields located within Louisiana’s coastal zone under Louisiana’s State and Local Coastal Resources Management Act (SLCRMA). Chevron entities are defendants in 34 of these cases.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The lawsuits allege that the defendants’ historical operations were conducted without necessary permits or failed to comply with permits obtained and seek remediation damages and other relief, including the costs of restoring coastal wetlands allegedly impacted by oil field operations. Further such proceedings may be brought by other parties. Most of these cases have been remanded to Louisiana state court. In April 2025, a jury in a Louisiana state court awarded Plaquemines Parish $744.6 million in a trial against Chevron entities (i.e., Plaquemines Parish v. Rozel Operating Co., et al. (“Rozel”)). The state court judge continued a hearing on Plaquemines Parish’s motion for entry of judgment on the Rozel trial verdict and stayed that case pending a decision by the United States Supreme Court on whether certain cases belong in federal, rather than state, court. In April 2026, the U.S. Supreme Court held that the Plaquemines Parish coastal erosion lawsuit was related to actions taken under federal direction for purposes of the federal-officer removal statute and remanded the matter for further proceedings. The Louisiana state-court verdict against the company in Rozel remains subject to further judicial proceedings regarding the effect of the Supreme Court’s ruling, including potential vacatur and further litigation in federal court.</w:t>
      </w:r>
    </w:p>
    <w:p>
      <w:pPr>
        <w:spacing w:after="0" w:line="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does not concede the viability of the Rozel jury verdict and plans to appeal any judgment based on that verdict. The jury’s decision was unique to the facts and circumstances of the case and may not be representative of future outcomes for other claims brought against Chevron entities under the SLCRMA. In accordance with guidance on the evaluation of loss contingencies, the company has recorded an accrual of $131 million, which the company believes to be a reasonably estimable loss in light of the available defenses. It is reasonably possible that the estimate of the loss could change based on the progression of the case, including the appeals process. However, because of the uncertainties associated with ongoing litigation, we are unable to estimate the range of reasonably possible loss that may be attributable to liabilities, if any, in excess of the amount accrued. While the company believes the jury verdict is not legally or factually supported and intends to appeal and vigorously pursue post-judgment remedies, there can be no assurances that such defense efforts will be successful. To the extent the company is required to pay remediation damages in these cases, it may have a material adverse effect on our financial position and results of operations. Management believes that the claims in these lawsuits lack legal and factual merit and will continue to vigorously defend against such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714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8" w:lineRule="exact"/>
        <w:rPr>
          <w:sz w:val="20"/>
          <w:szCs w:val="20"/>
          <w:color w:val="auto"/>
        </w:rPr>
      </w:pPr>
    </w:p>
    <w:p>
      <w:pPr>
        <w:jc w:val="both"/>
        <w:ind w:firstLine="8"/>
        <w:spacing w:after="0" w:line="248" w:lineRule="auto"/>
        <w:tabs>
          <w:tab w:leader="none" w:pos="81"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 xml:space="preserve">The cases are: </w:t>
      </w:r>
      <w:r>
        <w:rPr>
          <w:rFonts w:ascii="Times New Roman" w:cs="Times New Roman" w:eastAsia="Times New Roman" w:hAnsi="Times New Roman"/>
          <w:sz w:val="13"/>
          <w:szCs w:val="13"/>
          <w:i w:val="1"/>
          <w:iCs w:val="1"/>
          <w:color w:val="auto"/>
        </w:rPr>
        <w:t>Cameron Parish v. Alpine Exploration Companies, Inc., et al.</w:t>
      </w:r>
      <w:r>
        <w:rPr>
          <w:rFonts w:ascii="Times New Roman" w:cs="Times New Roman" w:eastAsia="Times New Roman" w:hAnsi="Times New Roman"/>
          <w:sz w:val="13"/>
          <w:szCs w:val="13"/>
          <w:color w:val="auto"/>
        </w:rPr>
        <w:t xml:space="preserve">, No. 10-19580 (38th Jud. Dist. Ct., Cameron Par.); </w:t>
      </w:r>
      <w:r>
        <w:rPr>
          <w:rFonts w:ascii="Times New Roman" w:cs="Times New Roman" w:eastAsia="Times New Roman" w:hAnsi="Times New Roman"/>
          <w:sz w:val="13"/>
          <w:szCs w:val="13"/>
          <w:i w:val="1"/>
          <w:iCs w:val="1"/>
          <w:color w:val="auto"/>
        </w:rPr>
        <w:t>Cameron Parish v. Apache Corporation (of Delaware), et al.</w:t>
      </w:r>
      <w:r>
        <w:rPr>
          <w:rFonts w:ascii="Times New Roman" w:cs="Times New Roman" w:eastAsia="Times New Roman" w:hAnsi="Times New Roman"/>
          <w:sz w:val="13"/>
          <w:szCs w:val="13"/>
          <w:color w:val="auto"/>
        </w:rPr>
        <w:t xml:space="preserve">, No. 10-19579 (38th Jud. Dist. Ct., Cameron Par.); </w:t>
      </w:r>
      <w:r>
        <w:rPr>
          <w:rFonts w:ascii="Times New Roman" w:cs="Times New Roman" w:eastAsia="Times New Roman" w:hAnsi="Times New Roman"/>
          <w:sz w:val="13"/>
          <w:szCs w:val="13"/>
          <w:i w:val="1"/>
          <w:iCs w:val="1"/>
          <w:color w:val="auto"/>
        </w:rPr>
        <w:t>Cameron Parish v</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Ballard Exploration Company, Inc., et al.</w:t>
      </w:r>
      <w:r>
        <w:rPr>
          <w:rFonts w:ascii="Times New Roman" w:cs="Times New Roman" w:eastAsia="Times New Roman" w:hAnsi="Times New Roman"/>
          <w:sz w:val="13"/>
          <w:szCs w:val="13"/>
          <w:color w:val="auto"/>
        </w:rPr>
        <w:t xml:space="preserve">, No. 10-19574 (38th Jud. Dist. Ct., Cameron Par.); </w:t>
      </w:r>
      <w:r>
        <w:rPr>
          <w:rFonts w:ascii="Times New Roman" w:cs="Times New Roman" w:eastAsia="Times New Roman" w:hAnsi="Times New Roman"/>
          <w:sz w:val="13"/>
          <w:szCs w:val="13"/>
          <w:i w:val="1"/>
          <w:iCs w:val="1"/>
          <w:color w:val="auto"/>
        </w:rPr>
        <w:t>Cameron Parish v. Bay Coquille, Inc., et al.</w:t>
      </w:r>
      <w:r>
        <w:rPr>
          <w:rFonts w:ascii="Times New Roman" w:cs="Times New Roman" w:eastAsia="Times New Roman" w:hAnsi="Times New Roman"/>
          <w:sz w:val="13"/>
          <w:szCs w:val="13"/>
          <w:color w:val="auto"/>
        </w:rPr>
        <w:t xml:space="preserve">, No. 10-19581 (38th Jud. Dist. Ct., Cameron Par.); </w:t>
      </w:r>
      <w:r>
        <w:rPr>
          <w:rFonts w:ascii="Times New Roman" w:cs="Times New Roman" w:eastAsia="Times New Roman" w:hAnsi="Times New Roman"/>
          <w:sz w:val="13"/>
          <w:szCs w:val="13"/>
          <w:i w:val="1"/>
          <w:iCs w:val="1"/>
          <w:color w:val="auto"/>
        </w:rPr>
        <w:t>Cameron Parish v. BEPCO, LP, et al.</w:t>
      </w:r>
      <w:r>
        <w:rPr>
          <w:rFonts w:ascii="Times New Roman" w:cs="Times New Roman" w:eastAsia="Times New Roman" w:hAnsi="Times New Roman"/>
          <w:sz w:val="13"/>
          <w:szCs w:val="13"/>
          <w:color w:val="auto"/>
        </w:rPr>
        <w:t xml:space="preserve">, No. 10-19572 (38th Jud. Dist. Ct., Cameron Par.); </w:t>
      </w:r>
      <w:r>
        <w:rPr>
          <w:rFonts w:ascii="Times New Roman" w:cs="Times New Roman" w:eastAsia="Times New Roman" w:hAnsi="Times New Roman"/>
          <w:sz w:val="13"/>
          <w:szCs w:val="13"/>
          <w:i w:val="1"/>
          <w:iCs w:val="1"/>
          <w:color w:val="auto"/>
        </w:rPr>
        <w:t>Cameron Parish v. BP America Production Company, et al.</w:t>
      </w:r>
      <w:r>
        <w:rPr>
          <w:rFonts w:ascii="Times New Roman" w:cs="Times New Roman" w:eastAsia="Times New Roman" w:hAnsi="Times New Roman"/>
          <w:sz w:val="13"/>
          <w:szCs w:val="13"/>
          <w:color w:val="auto"/>
        </w:rPr>
        <w:t xml:space="preserve">, No. 10-19576 (38th Jud. Dist. Ct., Cameron Par.); </w:t>
      </w:r>
      <w:r>
        <w:rPr>
          <w:rFonts w:ascii="Times New Roman" w:cs="Times New Roman" w:eastAsia="Times New Roman" w:hAnsi="Times New Roman"/>
          <w:sz w:val="13"/>
          <w:szCs w:val="13"/>
          <w:i w:val="1"/>
          <w:iCs w:val="1"/>
          <w:color w:val="auto"/>
        </w:rPr>
        <w:t>Cameron Parish v. Brammer Engineering, Inc., et al</w:t>
      </w:r>
      <w:r>
        <w:rPr>
          <w:rFonts w:ascii="Times New Roman" w:cs="Times New Roman" w:eastAsia="Times New Roman" w:hAnsi="Times New Roman"/>
          <w:sz w:val="13"/>
          <w:szCs w:val="13"/>
          <w:color w:val="auto"/>
        </w:rPr>
        <w:t xml:space="preserve">., No. 10-19573 (38th Jud. Dist. Ct., Cameron Par.); </w:t>
      </w:r>
      <w:r>
        <w:rPr>
          <w:rFonts w:ascii="Times New Roman" w:cs="Times New Roman" w:eastAsia="Times New Roman" w:hAnsi="Times New Roman"/>
          <w:sz w:val="13"/>
          <w:szCs w:val="13"/>
          <w:i w:val="1"/>
          <w:iCs w:val="1"/>
          <w:color w:val="auto"/>
        </w:rPr>
        <w:t>Jefferson Parish v. Anadarko E&amp;P Onshore LLC, et al.</w:t>
      </w:r>
      <w:r>
        <w:rPr>
          <w:rFonts w:ascii="Times New Roman" w:cs="Times New Roman" w:eastAsia="Times New Roman" w:hAnsi="Times New Roman"/>
          <w:sz w:val="13"/>
          <w:szCs w:val="13"/>
          <w:color w:val="auto"/>
        </w:rPr>
        <w:t xml:space="preserve">, No. 732-772 (24th Jud. Dist. Ct., Jefferson Par.); </w:t>
      </w:r>
      <w:r>
        <w:rPr>
          <w:rFonts w:ascii="Times New Roman" w:cs="Times New Roman" w:eastAsia="Times New Roman" w:hAnsi="Times New Roman"/>
          <w:sz w:val="13"/>
          <w:szCs w:val="13"/>
          <w:i w:val="1"/>
          <w:iCs w:val="1"/>
          <w:color w:val="auto"/>
        </w:rPr>
        <w:t>Jefferson Parish v. Atlantic Richfield Company, et al</w:t>
      </w:r>
      <w:r>
        <w:rPr>
          <w:rFonts w:ascii="Times New Roman" w:cs="Times New Roman" w:eastAsia="Times New Roman" w:hAnsi="Times New Roman"/>
          <w:sz w:val="13"/>
          <w:szCs w:val="13"/>
          <w:color w:val="auto"/>
        </w:rPr>
        <w:t xml:space="preserve">., No. 732-768 (24th Jud. Dist. Ct., Jefferson Par.); </w:t>
      </w:r>
      <w:r>
        <w:rPr>
          <w:rFonts w:ascii="Times New Roman" w:cs="Times New Roman" w:eastAsia="Times New Roman" w:hAnsi="Times New Roman"/>
          <w:sz w:val="13"/>
          <w:szCs w:val="13"/>
          <w:i w:val="1"/>
          <w:iCs w:val="1"/>
          <w:color w:val="auto"/>
        </w:rPr>
        <w:t>Jefferson Parish v. Canlan Oil Company, et al.</w:t>
      </w:r>
      <w:r>
        <w:rPr>
          <w:rFonts w:ascii="Times New Roman" w:cs="Times New Roman" w:eastAsia="Times New Roman" w:hAnsi="Times New Roman"/>
          <w:sz w:val="13"/>
          <w:szCs w:val="13"/>
          <w:color w:val="auto"/>
        </w:rPr>
        <w:t xml:space="preserve">, No. 732-771 (24th Jud. Dist. Ct., Jefferson Par.); </w:t>
      </w:r>
      <w:r>
        <w:rPr>
          <w:rFonts w:ascii="Times New Roman" w:cs="Times New Roman" w:eastAsia="Times New Roman" w:hAnsi="Times New Roman"/>
          <w:sz w:val="13"/>
          <w:szCs w:val="13"/>
          <w:i w:val="1"/>
          <w:iCs w:val="1"/>
          <w:color w:val="auto"/>
        </w:rPr>
        <w:t>Jefferson Parish v. Chevron U.S.A. Holdings, Inc., et al.</w:t>
      </w:r>
      <w:r>
        <w:rPr>
          <w:rFonts w:ascii="Times New Roman" w:cs="Times New Roman" w:eastAsia="Times New Roman" w:hAnsi="Times New Roman"/>
          <w:sz w:val="13"/>
          <w:szCs w:val="13"/>
          <w:color w:val="auto"/>
        </w:rPr>
        <w:t xml:space="preserve">, No. 732-769 (24th Jud. Dist. Ct., Jefferson Par.); </w:t>
      </w:r>
      <w:r>
        <w:rPr>
          <w:rFonts w:ascii="Times New Roman" w:cs="Times New Roman" w:eastAsia="Times New Roman" w:hAnsi="Times New Roman"/>
          <w:sz w:val="13"/>
          <w:szCs w:val="13"/>
          <w:i w:val="1"/>
          <w:iCs w:val="1"/>
          <w:color w:val="auto"/>
        </w:rPr>
        <w:t>Jefferson Parish v. Destin Operating Company, Inc., et al</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No. 732-770 (24th Jud. Dist. Ct., Jefferson Par.); </w:t>
      </w:r>
      <w:r>
        <w:rPr>
          <w:rFonts w:ascii="Times New Roman" w:cs="Times New Roman" w:eastAsia="Times New Roman" w:hAnsi="Times New Roman"/>
          <w:sz w:val="13"/>
          <w:szCs w:val="13"/>
          <w:i w:val="1"/>
          <w:iCs w:val="1"/>
          <w:color w:val="auto"/>
        </w:rPr>
        <w:t>Jefferson Parish v. Equitable Petroleum Corporation, et al.,</w:t>
      </w:r>
      <w:r>
        <w:rPr>
          <w:rFonts w:ascii="Times New Roman" w:cs="Times New Roman" w:eastAsia="Times New Roman" w:hAnsi="Times New Roman"/>
          <w:sz w:val="13"/>
          <w:szCs w:val="13"/>
          <w:color w:val="auto"/>
        </w:rPr>
        <w:t xml:space="preserve"> No. 732-775 (24th Jud. Dist. Ct., Jefferson Par.); </w:t>
      </w:r>
      <w:r>
        <w:rPr>
          <w:rFonts w:ascii="Times New Roman" w:cs="Times New Roman" w:eastAsia="Times New Roman" w:hAnsi="Times New Roman"/>
          <w:sz w:val="13"/>
          <w:szCs w:val="13"/>
          <w:i w:val="1"/>
          <w:iCs w:val="1"/>
          <w:color w:val="auto"/>
        </w:rPr>
        <w:t>Jefferson Parish v. ExxonMobil Corporation, et al.</w:t>
      </w:r>
      <w:r>
        <w:rPr>
          <w:rFonts w:ascii="Times New Roman" w:cs="Times New Roman" w:eastAsia="Times New Roman" w:hAnsi="Times New Roman"/>
          <w:sz w:val="13"/>
          <w:szCs w:val="13"/>
          <w:color w:val="auto"/>
        </w:rPr>
        <w:t xml:space="preserve">, No. 732-774 (24th Jud. Dist. Ct., Jefferson Par.); </w:t>
      </w:r>
      <w:r>
        <w:rPr>
          <w:rFonts w:ascii="Times New Roman" w:cs="Times New Roman" w:eastAsia="Times New Roman" w:hAnsi="Times New Roman"/>
          <w:sz w:val="13"/>
          <w:szCs w:val="13"/>
          <w:i w:val="1"/>
          <w:iCs w:val="1"/>
          <w:color w:val="auto"/>
        </w:rPr>
        <w:t>Plaquemines Parish v. Apache Oil Corporation, et al.</w:t>
      </w:r>
      <w:r>
        <w:rPr>
          <w:rFonts w:ascii="Times New Roman" w:cs="Times New Roman" w:eastAsia="Times New Roman" w:hAnsi="Times New Roman"/>
          <w:sz w:val="13"/>
          <w:szCs w:val="13"/>
          <w:color w:val="auto"/>
        </w:rPr>
        <w:t xml:space="preserve">, No. 61-000 (25th Jud. Dist. Ct., Plaquemines Par.); </w:t>
      </w:r>
      <w:r>
        <w:rPr>
          <w:rFonts w:ascii="Times New Roman" w:cs="Times New Roman" w:eastAsia="Times New Roman" w:hAnsi="Times New Roman"/>
          <w:sz w:val="13"/>
          <w:szCs w:val="13"/>
          <w:i w:val="1"/>
          <w:iCs w:val="1"/>
          <w:color w:val="auto"/>
        </w:rPr>
        <w:t>Plaquemines Parish v. Campbell Energy Corporation,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et al.</w:t>
      </w:r>
      <w:r>
        <w:rPr>
          <w:rFonts w:ascii="Times New Roman" w:cs="Times New Roman" w:eastAsia="Times New Roman" w:hAnsi="Times New Roman"/>
          <w:sz w:val="13"/>
          <w:szCs w:val="13"/>
          <w:color w:val="auto"/>
        </w:rPr>
        <w:t>, No. 61-001 (25th Jud. Dist. Ct., Plaquemines Par.);</w:t>
      </w:r>
      <w:r>
        <w:rPr>
          <w:rFonts w:ascii="Times New Roman" w:cs="Times New Roman" w:eastAsia="Times New Roman" w:hAnsi="Times New Roman"/>
          <w:sz w:val="13"/>
          <w:szCs w:val="13"/>
          <w:i w:val="1"/>
          <w:iCs w:val="1"/>
          <w:color w:val="auto"/>
        </w:rPr>
        <w:t xml:space="preserve"> Plaquemines Parish v. ConocoPhillips Co., et al.</w:t>
      </w:r>
      <w:r>
        <w:rPr>
          <w:rFonts w:ascii="Times New Roman" w:cs="Times New Roman" w:eastAsia="Times New Roman" w:hAnsi="Times New Roman"/>
          <w:sz w:val="13"/>
          <w:szCs w:val="13"/>
          <w:color w:val="auto"/>
        </w:rPr>
        <w:t>, No. 60-982 (25th Jud. Dist. Ct., Plaquemines Par.);</w:t>
      </w:r>
      <w:r>
        <w:rPr>
          <w:rFonts w:ascii="Times New Roman" w:cs="Times New Roman" w:eastAsia="Times New Roman" w:hAnsi="Times New Roman"/>
          <w:sz w:val="13"/>
          <w:szCs w:val="13"/>
          <w:i w:val="1"/>
          <w:iCs w:val="1"/>
          <w:color w:val="auto"/>
        </w:rPr>
        <w:t xml:space="preserve"> Plaquemines Parish v. Devon Energy Production Company, L.P., et al.</w:t>
      </w:r>
      <w:r>
        <w:rPr>
          <w:rFonts w:ascii="Times New Roman" w:cs="Times New Roman" w:eastAsia="Times New Roman" w:hAnsi="Times New Roman"/>
          <w:sz w:val="13"/>
          <w:szCs w:val="13"/>
          <w:color w:val="auto"/>
        </w:rPr>
        <w:t>, No. 60-995 (25th Jud. Dist. Ct., Plaquemines Par.);</w:t>
      </w:r>
      <w:r>
        <w:rPr>
          <w:rFonts w:ascii="Times New Roman" w:cs="Times New Roman" w:eastAsia="Times New Roman" w:hAnsi="Times New Roman"/>
          <w:sz w:val="13"/>
          <w:szCs w:val="13"/>
          <w:i w:val="1"/>
          <w:iCs w:val="1"/>
          <w:color w:val="auto"/>
        </w:rPr>
        <w:t xml:space="preserve"> Plaquemines Parish v. Equitable Petroleum Corporation, et al.</w:t>
      </w:r>
      <w:r>
        <w:rPr>
          <w:rFonts w:ascii="Times New Roman" w:cs="Times New Roman" w:eastAsia="Times New Roman" w:hAnsi="Times New Roman"/>
          <w:sz w:val="13"/>
          <w:szCs w:val="13"/>
          <w:color w:val="auto"/>
        </w:rPr>
        <w:t>, No. 60-986 (25th Jud. Dist. Ct., Plaquemines Par.);</w:t>
      </w:r>
      <w:r>
        <w:rPr>
          <w:rFonts w:ascii="Times New Roman" w:cs="Times New Roman" w:eastAsia="Times New Roman" w:hAnsi="Times New Roman"/>
          <w:sz w:val="13"/>
          <w:szCs w:val="13"/>
          <w:i w:val="1"/>
          <w:iCs w:val="1"/>
          <w:color w:val="auto"/>
        </w:rPr>
        <w:t xml:space="preserve"> Plaquemines Parish v. Exchange Oil &amp; Gas Corp.</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et al.</w:t>
      </w:r>
      <w:r>
        <w:rPr>
          <w:rFonts w:ascii="Times New Roman" w:cs="Times New Roman" w:eastAsia="Times New Roman" w:hAnsi="Times New Roman"/>
          <w:sz w:val="13"/>
          <w:szCs w:val="13"/>
          <w:color w:val="auto"/>
        </w:rPr>
        <w:t>, No. 60-984 (25th Jud. Dist. Ct., Plaquemines Par.);</w:t>
      </w:r>
      <w:r>
        <w:rPr>
          <w:rFonts w:ascii="Times New Roman" w:cs="Times New Roman" w:eastAsia="Times New Roman" w:hAnsi="Times New Roman"/>
          <w:sz w:val="13"/>
          <w:szCs w:val="13"/>
          <w:i w:val="1"/>
          <w:iCs w:val="1"/>
          <w:color w:val="auto"/>
        </w:rPr>
        <w:t xml:space="preserve"> Plaquemines Parish v. Goodrich Petroleum Company, L.L.C., et al.</w:t>
      </w:r>
      <w:r>
        <w:rPr>
          <w:rFonts w:ascii="Times New Roman" w:cs="Times New Roman" w:eastAsia="Times New Roman" w:hAnsi="Times New Roman"/>
          <w:sz w:val="13"/>
          <w:szCs w:val="13"/>
          <w:color w:val="auto"/>
        </w:rPr>
        <w:t>, No. 60-994 (25th Jud. Dist.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Ct., Plaquemines Par.); </w:t>
      </w:r>
      <w:r>
        <w:rPr>
          <w:rFonts w:ascii="Times New Roman" w:cs="Times New Roman" w:eastAsia="Times New Roman" w:hAnsi="Times New Roman"/>
          <w:sz w:val="13"/>
          <w:szCs w:val="13"/>
          <w:i w:val="1"/>
          <w:iCs w:val="1"/>
          <w:color w:val="auto"/>
        </w:rPr>
        <w:t>Plaquemines Parish v. Great Southern Oil &amp; Gas Company, Inc., et al.</w:t>
      </w:r>
      <w:r>
        <w:rPr>
          <w:rFonts w:ascii="Times New Roman" w:cs="Times New Roman" w:eastAsia="Times New Roman" w:hAnsi="Times New Roman"/>
          <w:sz w:val="13"/>
          <w:szCs w:val="13"/>
          <w:color w:val="auto"/>
        </w:rPr>
        <w:t xml:space="preserve">, No. 60-998 (25th Jud. Dist. Ct., Plaquemines Par.); </w:t>
      </w:r>
      <w:r>
        <w:rPr>
          <w:rFonts w:ascii="Times New Roman" w:cs="Times New Roman" w:eastAsia="Times New Roman" w:hAnsi="Times New Roman"/>
          <w:sz w:val="13"/>
          <w:szCs w:val="13"/>
          <w:i w:val="1"/>
          <w:iCs w:val="1"/>
          <w:color w:val="auto"/>
        </w:rPr>
        <w:t>Plaquemines Parish v. Helis Oil &amp; Gas Company, et al</w:t>
      </w:r>
      <w:r>
        <w:rPr>
          <w:rFonts w:ascii="Times New Roman" w:cs="Times New Roman" w:eastAsia="Times New Roman" w:hAnsi="Times New Roman"/>
          <w:sz w:val="13"/>
          <w:szCs w:val="13"/>
          <w:color w:val="auto"/>
        </w:rPr>
        <w:t xml:space="preserve">., No. 60-990 (25th Jud. Dist. Ct., Plaquemines Par.); </w:t>
      </w:r>
      <w:r>
        <w:rPr>
          <w:rFonts w:ascii="Times New Roman" w:cs="Times New Roman" w:eastAsia="Times New Roman" w:hAnsi="Times New Roman"/>
          <w:sz w:val="13"/>
          <w:szCs w:val="13"/>
          <w:i w:val="1"/>
          <w:iCs w:val="1"/>
          <w:color w:val="auto"/>
        </w:rPr>
        <w:t>Plaquemines Parish v. HHE Energy Co., et al.</w:t>
      </w:r>
      <w:r>
        <w:rPr>
          <w:rFonts w:ascii="Times New Roman" w:cs="Times New Roman" w:eastAsia="Times New Roman" w:hAnsi="Times New Roman"/>
          <w:sz w:val="13"/>
          <w:szCs w:val="13"/>
          <w:color w:val="auto"/>
        </w:rPr>
        <w:t xml:space="preserve">, No. 60-983 (25th Jud. Dist. Ct., Plaquemines Par.); </w:t>
      </w:r>
      <w:r>
        <w:rPr>
          <w:rFonts w:ascii="Times New Roman" w:cs="Times New Roman" w:eastAsia="Times New Roman" w:hAnsi="Times New Roman"/>
          <w:sz w:val="13"/>
          <w:szCs w:val="13"/>
          <w:i w:val="1"/>
          <w:iCs w:val="1"/>
          <w:color w:val="auto"/>
        </w:rPr>
        <w:t>Plaquemines Parish v. Hilcorp Energy Company, et al.</w:t>
      </w:r>
      <w:r>
        <w:rPr>
          <w:rFonts w:ascii="Times New Roman" w:cs="Times New Roman" w:eastAsia="Times New Roman" w:hAnsi="Times New Roman"/>
          <w:sz w:val="13"/>
          <w:szCs w:val="13"/>
          <w:color w:val="auto"/>
        </w:rPr>
        <w:t xml:space="preserve">, No. 60-999 (25th Jud. Dist. Ct., Plaquemines Par.); </w:t>
      </w:r>
      <w:r>
        <w:rPr>
          <w:rFonts w:ascii="Times New Roman" w:cs="Times New Roman" w:eastAsia="Times New Roman" w:hAnsi="Times New Roman"/>
          <w:sz w:val="13"/>
          <w:szCs w:val="13"/>
          <w:i w:val="1"/>
          <w:iCs w:val="1"/>
          <w:color w:val="auto"/>
        </w:rPr>
        <w:t>Plaquemines Parish v. June Energy, et al.</w:t>
      </w:r>
      <w:r>
        <w:rPr>
          <w:rFonts w:ascii="Times New Roman" w:cs="Times New Roman" w:eastAsia="Times New Roman" w:hAnsi="Times New Roman"/>
          <w:sz w:val="13"/>
          <w:szCs w:val="13"/>
          <w:color w:val="auto"/>
        </w:rPr>
        <w:t xml:space="preserve">, No. 60-987 (25th Jud. Dist. Ct., Plaquemines Par.); </w:t>
      </w:r>
      <w:r>
        <w:rPr>
          <w:rFonts w:ascii="Times New Roman" w:cs="Times New Roman" w:eastAsia="Times New Roman" w:hAnsi="Times New Roman"/>
          <w:sz w:val="13"/>
          <w:szCs w:val="13"/>
          <w:i w:val="1"/>
          <w:iCs w:val="1"/>
          <w:color w:val="auto"/>
        </w:rPr>
        <w:t>Plaquemines Parish v. Linder Oil Company, et al.</w:t>
      </w:r>
      <w:r>
        <w:rPr>
          <w:rFonts w:ascii="Times New Roman" w:cs="Times New Roman" w:eastAsia="Times New Roman" w:hAnsi="Times New Roman"/>
          <w:sz w:val="13"/>
          <w:szCs w:val="13"/>
          <w:color w:val="auto"/>
        </w:rPr>
        <w:t xml:space="preserve">, No. 60-988 (25th Jud. Dist. Ct., Plaquemines Par.); </w:t>
      </w:r>
      <w:r>
        <w:rPr>
          <w:rFonts w:ascii="Times New Roman" w:cs="Times New Roman" w:eastAsia="Times New Roman" w:hAnsi="Times New Roman"/>
          <w:sz w:val="13"/>
          <w:szCs w:val="13"/>
          <w:i w:val="1"/>
          <w:iCs w:val="1"/>
          <w:color w:val="auto"/>
        </w:rPr>
        <w:t>Plaquemines Parish v. LLOG Exploration &amp; Production Co.</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et al.</w:t>
      </w:r>
      <w:r>
        <w:rPr>
          <w:rFonts w:ascii="Times New Roman" w:cs="Times New Roman" w:eastAsia="Times New Roman" w:hAnsi="Times New Roman"/>
          <w:sz w:val="13"/>
          <w:szCs w:val="13"/>
          <w:color w:val="auto"/>
        </w:rPr>
        <w:t xml:space="preserve">, No. 60-985 (25th Jud. Dist. Ct., Plaquemines Par.); </w:t>
      </w:r>
      <w:r>
        <w:rPr>
          <w:rFonts w:ascii="Times New Roman" w:cs="Times New Roman" w:eastAsia="Times New Roman" w:hAnsi="Times New Roman"/>
          <w:sz w:val="13"/>
          <w:szCs w:val="13"/>
          <w:i w:val="1"/>
          <w:iCs w:val="1"/>
          <w:color w:val="auto"/>
        </w:rPr>
        <w:t>Plaquemines Parish v. Northcoast Oil Company,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et al.</w:t>
      </w:r>
      <w:r>
        <w:rPr>
          <w:rFonts w:ascii="Times New Roman" w:cs="Times New Roman" w:eastAsia="Times New Roman" w:hAnsi="Times New Roman"/>
          <w:sz w:val="13"/>
          <w:szCs w:val="13"/>
          <w:color w:val="auto"/>
        </w:rPr>
        <w:t>, No. 60-992 (25th Jud. Dist. Ct., Plaquemines Par.);</w:t>
      </w:r>
      <w:r>
        <w:rPr>
          <w:rFonts w:ascii="Times New Roman" w:cs="Times New Roman" w:eastAsia="Times New Roman" w:hAnsi="Times New Roman"/>
          <w:sz w:val="13"/>
          <w:szCs w:val="13"/>
          <w:i w:val="1"/>
          <w:iCs w:val="1"/>
          <w:color w:val="auto"/>
        </w:rPr>
        <w:t xml:space="preserve"> Plaquemines Parish v. Palm Energy Offshore, L.L.C., et al.</w:t>
      </w:r>
      <w:r>
        <w:rPr>
          <w:rFonts w:ascii="Times New Roman" w:cs="Times New Roman" w:eastAsia="Times New Roman" w:hAnsi="Times New Roman"/>
          <w:sz w:val="13"/>
          <w:szCs w:val="13"/>
          <w:color w:val="auto"/>
        </w:rPr>
        <w:t>, No. 60-997 (25th Jud. Dist. Ct., Plaquemines Par.);</w:t>
      </w:r>
      <w:r>
        <w:rPr>
          <w:rFonts w:ascii="Times New Roman" w:cs="Times New Roman" w:eastAsia="Times New Roman" w:hAnsi="Times New Roman"/>
          <w:sz w:val="13"/>
          <w:szCs w:val="13"/>
          <w:i w:val="1"/>
          <w:iCs w:val="1"/>
          <w:color w:val="auto"/>
        </w:rPr>
        <w:t xml:space="preserve"> Plaquemines Parish v. Rozel Operating Co., et al.</w:t>
      </w:r>
      <w:r>
        <w:rPr>
          <w:rFonts w:ascii="Times New Roman" w:cs="Times New Roman" w:eastAsia="Times New Roman" w:hAnsi="Times New Roman"/>
          <w:sz w:val="13"/>
          <w:szCs w:val="13"/>
          <w:color w:val="auto"/>
        </w:rPr>
        <w:t>, No. 60-996 (25th Jud. Dist. Ct., Plaquemines Par.);</w:t>
      </w:r>
      <w:r>
        <w:rPr>
          <w:rFonts w:ascii="Times New Roman" w:cs="Times New Roman" w:eastAsia="Times New Roman" w:hAnsi="Times New Roman"/>
          <w:sz w:val="13"/>
          <w:szCs w:val="13"/>
          <w:i w:val="1"/>
          <w:iCs w:val="1"/>
          <w:color w:val="auto"/>
        </w:rPr>
        <w:t xml:space="preserve"> Plaquemines Parish v. TotalPetrochemicals &amp; Refining USA, Inc.</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et al.</w:t>
      </w:r>
      <w:r>
        <w:rPr>
          <w:rFonts w:ascii="Times New Roman" w:cs="Times New Roman" w:eastAsia="Times New Roman" w:hAnsi="Times New Roman"/>
          <w:sz w:val="13"/>
          <w:szCs w:val="13"/>
          <w:color w:val="auto"/>
        </w:rPr>
        <w:t>, No. 61-002 (25th Jud. Dist. Ct., Plaquemines Par.);</w:t>
      </w:r>
      <w:r>
        <w:rPr>
          <w:rFonts w:ascii="Times New Roman" w:cs="Times New Roman" w:eastAsia="Times New Roman" w:hAnsi="Times New Roman"/>
          <w:sz w:val="13"/>
          <w:szCs w:val="13"/>
          <w:i w:val="1"/>
          <w:iCs w:val="1"/>
          <w:color w:val="auto"/>
        </w:rPr>
        <w:t xml:space="preserve"> St. Bernard Parish v. Atlantic Richfield, et al.</w:t>
      </w:r>
      <w:r>
        <w:rPr>
          <w:rFonts w:ascii="Times New Roman" w:cs="Times New Roman" w:eastAsia="Times New Roman" w:hAnsi="Times New Roman"/>
          <w:sz w:val="13"/>
          <w:szCs w:val="13"/>
          <w:color w:val="auto"/>
        </w:rPr>
        <w:t>, No. 16-1228 (34th Jud. Dist. Ct., St. Bernard Par.);</w:t>
      </w:r>
      <w:r>
        <w:rPr>
          <w:rFonts w:ascii="Times New Roman" w:cs="Times New Roman" w:eastAsia="Times New Roman" w:hAnsi="Times New Roman"/>
          <w:sz w:val="13"/>
          <w:szCs w:val="13"/>
          <w:i w:val="1"/>
          <w:iCs w:val="1"/>
          <w:color w:val="auto"/>
        </w:rPr>
        <w:t xml:space="preserve"> Stutes v. Gulfport Energy Corporation, et al.</w:t>
      </w:r>
      <w:r>
        <w:rPr>
          <w:rFonts w:ascii="Times New Roman" w:cs="Times New Roman" w:eastAsia="Times New Roman" w:hAnsi="Times New Roman"/>
          <w:sz w:val="13"/>
          <w:szCs w:val="13"/>
          <w:color w:val="auto"/>
        </w:rPr>
        <w:t>, No. 102,146 (15th Jud. Dist. Ct., Vermilion Par.).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Other Contingencies and Commitments</w:t>
      </w:r>
    </w:p>
    <w:p>
      <w:pPr>
        <w:spacing w:after="0" w:line="10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company calculates its income tax expense and liabilities quarterly. These liabilities generally are subject to audit and are not finalized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individual taxing authorities until several years after the end of the annual period for which income taxes have been calculated.</w:t>
      </w:r>
    </w:p>
    <w:p>
      <w:pPr>
        <w:spacing w:after="0" w:line="5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Settlement of open tax years, as well as other tax issues in countries where the company conducts its businesses, is not expected to have a material effect on the consolidated financial position or liquidity of the company and, in the opinion of management, adequate provision has been made for income taxes for all years under examination or subject to future examination.</w:t>
      </w:r>
    </w:p>
    <w:p>
      <w:pPr>
        <w:spacing w:after="0" w:line="4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8"/>
          <w:szCs w:val="18"/>
          <w:i w:val="1"/>
          <w:iCs w:val="1"/>
          <w:color w:val="auto"/>
        </w:rPr>
        <w:t xml:space="preserve">Guarantees </w:t>
      </w:r>
      <w:r>
        <w:rPr>
          <w:rFonts w:ascii="Times New Roman" w:cs="Times New Roman" w:eastAsia="Times New Roman" w:hAnsi="Times New Roman"/>
          <w:sz w:val="18"/>
          <w:szCs w:val="18"/>
          <w:color w:val="auto"/>
        </w:rPr>
        <w:t>The company has provided certain guarantees in the ordinary course of business, including financial and performance guarantees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affiliates. Chevron has no material guarantees outstanding.</w:t>
      </w:r>
    </w:p>
    <w:p>
      <w:pPr>
        <w:spacing w:after="0" w:line="2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Indemnifications </w:t>
      </w:r>
      <w:r>
        <w:rPr>
          <w:rFonts w:ascii="Times New Roman" w:cs="Times New Roman" w:eastAsia="Times New Roman" w:hAnsi="Times New Roman"/>
          <w:sz w:val="18"/>
          <w:szCs w:val="18"/>
          <w:color w:val="auto"/>
        </w:rPr>
        <w:t>The company often includes standard indemnification provisions in its arrangements with its partners, suppliers and vendors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course of business, the terms of which range in duration and sometimes are not limited. The company may be obligated to indemnify such parties for losses or claims suffered or incurred in connection with its service or other claims made against such parties.</w:t>
      </w:r>
    </w:p>
    <w:p>
      <w:pPr>
        <w:spacing w:after="0" w:line="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Long-Term Unconditional Purchase Obligations and Commitments, Including Throughput and Take-or-Pay Agreements </w:t>
      </w:r>
      <w:r>
        <w:rPr>
          <w:rFonts w:ascii="Times New Roman" w:cs="Times New Roman" w:eastAsia="Times New Roman" w:hAnsi="Times New Roman"/>
          <w:sz w:val="18"/>
          <w:szCs w:val="18"/>
          <w:color w:val="auto"/>
        </w:rPr>
        <w:t>The company and its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certain contingent liabilities with respect to long-term unconditional purchase obligations and commitments, including throughput and take-or-pay agreements, some of which may relate to suppliers’ financing arrangements. The agreements typically provide goods and services, such as pipeline and storage capacity, utilities, and petroleum products, to be used or sold in the ordinary course of the company’s business.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Environmental </w:t>
      </w:r>
      <w:r>
        <w:rPr>
          <w:rFonts w:ascii="Times New Roman" w:cs="Times New Roman" w:eastAsia="Times New Roman" w:hAnsi="Times New Roman"/>
          <w:sz w:val="18"/>
          <w:szCs w:val="18"/>
          <w:color w:val="auto"/>
        </w:rPr>
        <w:t>The company is subject to loss contingencies pursuant to laws, regulations, private claims and legal proceedings related to environmental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matters that are subject to legal settlements or that in the future may require the company to take action to correct or ameliorate the effects on the environment of prior release of chemicals or petroleum substances by the company or other parties. Such contingencies may exist for various operating, closed and divested sites, including, but not limited to, U.S. federal Superfund sites and analogous sites under state laws, refineries, chemical plants, marketing facilities, crude oil fields, and mining sites.</w:t>
      </w:r>
    </w:p>
    <w:p>
      <w:pPr>
        <w:spacing w:after="0" w:line="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company has provided for known environmental obligations that are probable and reasonably estimable, it is likely that the company will continue to incur additional liabilities. The amount of additional future costs is not fully determinable due to such factors as the unknown magnitude of possible contamination, the unknown timing and extent of the corrective actions that may be required, the determination of the company’s liability in proportion to other responsible parties, and the extent to which such costs are recoverable from third parties. These future costs may be material to results of operations in the period in which they are recognized, but the company does not expect these costs will have a material effect on its consolidated financial position or liquidity.</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Decommissioning Obligations for Previously Divested Assets </w:t>
      </w:r>
      <w:r>
        <w:rPr>
          <w:rFonts w:ascii="Times New Roman" w:cs="Times New Roman" w:eastAsia="Times New Roman" w:hAnsi="Times New Roman"/>
          <w:sz w:val="18"/>
          <w:szCs w:val="18"/>
          <w:color w:val="auto"/>
        </w:rPr>
        <w:t>Some assets are divested along with their related liabilities, such as decommissioning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In certain instances, such transferred obligations have returned and may continue to return to the company. To the extent the current owners of the company’s previously divested assets default on their decommissioning obligations, regulators may require that Chevron assume such obligations. The nature and amount of the loss is disclosed when it is reasonably possible that the loss could be material. The company accrues a liability when management determines the obligation to be both probable and reasonably estimable. The company could have additional significant obligations revert, primarily in the United States, but is not currently aware of any such obligations that are reasonably possible to be material. The liability balance at September 30, 2026 is $1.9 billion.</w:t>
      </w:r>
    </w:p>
    <w:p>
      <w:pPr>
        <w:spacing w:after="0" w:line="5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i w:val="1"/>
          <w:iCs w:val="1"/>
          <w:color w:val="auto"/>
        </w:rPr>
        <w:t xml:space="preserve">Other Contingencies </w:t>
      </w:r>
      <w:r>
        <w:rPr>
          <w:rFonts w:ascii="Times New Roman" w:cs="Times New Roman" w:eastAsia="Times New Roman" w:hAnsi="Times New Roman"/>
          <w:sz w:val="17"/>
          <w:szCs w:val="17"/>
          <w:color w:val="auto"/>
        </w:rPr>
        <w:t>The company and its affiliates continue to review and analyze their operations and may close, retire, sell, exchange, acquire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7"/>
          <w:szCs w:val="17"/>
          <w:color w:val="auto"/>
        </w:rPr>
        <w:t>restructure assets to achieve operational or strategic benefits and to improve competitiveness and profitability. These activities, individually or together, may result in significant gains or losses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Chevron receives claims from and submits claims to customers; trading partners; joint venture partners; U.S. federal, state and local regulatory bodies; governments; contractors; insurers; suppliers; and individuals. The amounts of these claims, individually and in the aggregate, may be significant and take lengthy periods to resolve, and may result in gains or losses in future periods.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Measurements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of inputs the company uses to measure the fair value of an asset or liability are described as follows:</w:t>
      </w:r>
    </w:p>
    <w:p>
      <w:pPr>
        <w:spacing w:after="0" w:line="27" w:lineRule="exact"/>
        <w:rPr>
          <w:sz w:val="20"/>
          <w:szCs w:val="20"/>
          <w:color w:val="auto"/>
        </w:rPr>
      </w:pPr>
    </w:p>
    <w:p>
      <w:pPr>
        <w:jc w:val="both"/>
        <w:ind w:left="420" w:right="20"/>
        <w:spacing w:after="0" w:line="292" w:lineRule="auto"/>
        <w:rPr>
          <w:sz w:val="20"/>
          <w:szCs w:val="20"/>
          <w:color w:val="auto"/>
        </w:rPr>
      </w:pPr>
      <w:r>
        <w:rPr>
          <w:rFonts w:ascii="Times New Roman" w:cs="Times New Roman" w:eastAsia="Times New Roman" w:hAnsi="Times New Roman"/>
          <w:sz w:val="18"/>
          <w:szCs w:val="18"/>
          <w:color w:val="auto"/>
        </w:rPr>
        <w:t>Level 1: Quoted prices (unadjusted) in active markets for identical assets and liabilities. For the company, Level 1 inputs include exchange-traded futures contracts for which the parties are willing to transact at the exchange-quoted price and marketable securities that are actively traded.</w:t>
      </w:r>
    </w:p>
    <w:p>
      <w:pPr>
        <w:spacing w:after="0" w:line="31" w:lineRule="exact"/>
        <w:rPr>
          <w:sz w:val="20"/>
          <w:szCs w:val="20"/>
          <w:color w:val="auto"/>
        </w:rPr>
      </w:pPr>
    </w:p>
    <w:p>
      <w:pPr>
        <w:jc w:val="both"/>
        <w:ind w:left="420"/>
        <w:spacing w:after="0" w:line="274" w:lineRule="auto"/>
        <w:rPr>
          <w:sz w:val="20"/>
          <w:szCs w:val="20"/>
          <w:color w:val="auto"/>
        </w:rPr>
      </w:pPr>
      <w:r>
        <w:rPr>
          <w:rFonts w:ascii="Times New Roman" w:cs="Times New Roman" w:eastAsia="Times New Roman" w:hAnsi="Times New Roman"/>
          <w:sz w:val="18"/>
          <w:szCs w:val="18"/>
          <w:color w:val="auto"/>
        </w:rPr>
        <w:t>Level 2: Inputs other than Level 1 that are observable, either directly or indirectly. For the company, Level 2 inputs include quoted prices for similar assets or liabilities, prices obtained through third-party broker quotes and prices that can be corroborated with other observable inputs for substantially the complete term of a contract.</w:t>
      </w:r>
    </w:p>
    <w:p>
      <w:pPr>
        <w:spacing w:after="0" w:line="61" w:lineRule="exact"/>
        <w:rPr>
          <w:sz w:val="20"/>
          <w:szCs w:val="20"/>
          <w:color w:val="auto"/>
        </w:rPr>
      </w:pPr>
    </w:p>
    <w:p>
      <w:pPr>
        <w:jc w:val="both"/>
        <w:ind w:left="420"/>
        <w:spacing w:after="0" w:line="282" w:lineRule="auto"/>
        <w:rPr>
          <w:sz w:val="20"/>
          <w:szCs w:val="20"/>
          <w:color w:val="auto"/>
        </w:rPr>
      </w:pPr>
      <w:r>
        <w:rPr>
          <w:rFonts w:ascii="Times New Roman" w:cs="Times New Roman" w:eastAsia="Times New Roman" w:hAnsi="Times New Roman"/>
          <w:sz w:val="18"/>
          <w:szCs w:val="18"/>
          <w:color w:val="auto"/>
        </w:rPr>
        <w:t>Level 3: Unobservable inputs. The company does not use Level 3 inputs for any of its recurring fair value measurements. Level 3 inputs may be required for the determination of fair value associated with certain nonrecurring measurements of nonfinancial assets and liabilities.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fair value hierarchy for assets and liabilities measured at fair value at September 30, 2026, and December 31, 2025, is shown in the table below. Refer to </w:t>
      </w:r>
      <w:r>
        <w:rPr>
          <w:rFonts w:ascii="Times New Roman" w:cs="Times New Roman" w:eastAsia="Times New Roman" w:hAnsi="Times New Roman"/>
          <w:sz w:val="18"/>
          <w:szCs w:val="18"/>
          <w:u w:val="single" w:color="auto"/>
          <w:color w:val="0000FF"/>
        </w:rPr>
        <w:t>Note 14. Financial and Derivative Instruments</w:t>
      </w:r>
      <w:r>
        <w:rPr>
          <w:rFonts w:ascii="Times New Roman" w:cs="Times New Roman" w:eastAsia="Times New Roman" w:hAnsi="Times New Roman"/>
          <w:sz w:val="18"/>
          <w:szCs w:val="18"/>
          <w:color w:val="auto"/>
        </w:rPr>
        <w:t xml:space="preserve"> for the gross amounts of derivative assets and liabilities.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Recurring Basis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At September 30,</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3"/>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95"/>
        </w:trPr>
        <w:tc>
          <w:tcPr>
            <w:tcW w:w="3580" w:type="dxa"/>
            <w:vAlign w:val="bottom"/>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spacing w:after="0"/>
              <w:rPr>
                <w:sz w:val="16"/>
                <w:szCs w:val="16"/>
                <w:color w:val="auto"/>
              </w:rPr>
            </w:pPr>
          </w:p>
        </w:tc>
        <w:tc>
          <w:tcPr>
            <w:tcW w:w="240" w:type="dxa"/>
            <w:vAlign w:val="bottom"/>
            <w:tcBorders>
              <w:bottom w:val="single" w:sz="8" w:color="0077C0"/>
            </w:tcBorders>
          </w:tcPr>
          <w:p>
            <w:pPr>
              <w:spacing w:after="0"/>
              <w:rPr>
                <w:sz w:val="16"/>
                <w:szCs w:val="16"/>
                <w:color w:val="auto"/>
              </w:rPr>
            </w:pPr>
          </w:p>
        </w:tc>
        <w:tc>
          <w:tcPr>
            <w:tcW w:w="960" w:type="dxa"/>
            <w:vAlign w:val="bottom"/>
            <w:tcBorders>
              <w:bottom w:val="single" w:sz="8" w:color="0077C0"/>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Borders>
              <w:bottom w:val="single" w:sz="8" w:color="0077C0"/>
            </w:tcBorders>
          </w:tcPr>
          <w:p>
            <w:pPr>
              <w:spacing w:after="0"/>
              <w:rPr>
                <w:sz w:val="16"/>
                <w:szCs w:val="16"/>
                <w:color w:val="auto"/>
              </w:rPr>
            </w:pPr>
          </w:p>
        </w:tc>
        <w:tc>
          <w:tcPr>
            <w:tcW w:w="24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tcPr>
          <w:p>
            <w:pPr>
              <w:spacing w:after="0"/>
              <w:rPr>
                <w:sz w:val="16"/>
                <w:szCs w:val="16"/>
                <w:color w:val="auto"/>
              </w:rPr>
            </w:pPr>
          </w:p>
        </w:tc>
        <w:tc>
          <w:tcPr>
            <w:tcW w:w="26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spacing w:after="0"/>
              <w:rPr>
                <w:sz w:val="16"/>
                <w:szCs w:val="16"/>
                <w:color w:val="auto"/>
              </w:rPr>
            </w:pPr>
          </w:p>
        </w:tc>
        <w:tc>
          <w:tcPr>
            <w:tcW w:w="24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spacing w:after="0"/>
              <w:rPr>
                <w:sz w:val="16"/>
                <w:szCs w:val="16"/>
                <w:color w:val="auto"/>
              </w:rPr>
            </w:pPr>
          </w:p>
        </w:tc>
        <w:tc>
          <w:tcPr>
            <w:tcW w:w="3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740" w:type="dxa"/>
            <w:vAlign w:val="bottom"/>
            <w:tcBorders>
              <w:bottom w:val="single" w:sz="8" w:color="0077C0"/>
            </w:tcBorders>
          </w:tcPr>
          <w:p>
            <w:pPr>
              <w:spacing w:after="0"/>
              <w:rPr>
                <w:sz w:val="16"/>
                <w:szCs w:val="16"/>
                <w:color w:val="auto"/>
              </w:rPr>
            </w:pPr>
          </w:p>
        </w:tc>
        <w:tc>
          <w:tcPr>
            <w:tcW w:w="24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spacing w:after="0"/>
              <w:rPr>
                <w:sz w:val="16"/>
                <w:szCs w:val="16"/>
                <w:color w:val="auto"/>
              </w:rPr>
            </w:pPr>
          </w:p>
        </w:tc>
      </w:tr>
      <w:tr>
        <w:trPr>
          <w:trHeight w:val="191"/>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
        </w:trPr>
        <w:tc>
          <w:tcPr>
            <w:tcW w:w="3580" w:type="dxa"/>
            <w:vAlign w:val="bottom"/>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r>
      <w:tr>
        <w:trPr>
          <w:trHeight w:val="220"/>
        </w:trPr>
        <w:tc>
          <w:tcPr>
            <w:tcW w:w="3580" w:type="dxa"/>
            <w:vAlign w:val="bottom"/>
            <w:tcBorders>
              <w:bottom w:val="single" w:sz="8" w:color="0077C0"/>
            </w:tcBorders>
          </w:tcPr>
          <w:p>
            <w:pPr>
              <w:spacing w:after="0"/>
              <w:rPr>
                <w:sz w:val="19"/>
                <w:szCs w:val="19"/>
                <w:color w:val="auto"/>
              </w:rPr>
            </w:pPr>
          </w:p>
        </w:tc>
        <w:tc>
          <w:tcPr>
            <w:tcW w:w="160" w:type="dxa"/>
            <w:vAlign w:val="bottom"/>
            <w:tcBorders>
              <w:bottom w:val="single" w:sz="8" w:color="0077C0"/>
            </w:tcBorders>
          </w:tcPr>
          <w:p>
            <w:pPr>
              <w:spacing w:after="0"/>
              <w:rPr>
                <w:sz w:val="19"/>
                <w:szCs w:val="19"/>
                <w:color w:val="auto"/>
              </w:rPr>
            </w:pPr>
          </w:p>
        </w:tc>
        <w:tc>
          <w:tcPr>
            <w:tcW w:w="700" w:type="dxa"/>
            <w:vAlign w:val="bottom"/>
            <w:tcBorders>
              <w:bottom w:val="single" w:sz="8" w:color="0077C0"/>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bottom w:val="single" w:sz="8" w:color="0077C0"/>
            </w:tcBorders>
          </w:tcPr>
          <w:p>
            <w:pPr>
              <w:spacing w:after="0"/>
              <w:rPr>
                <w:sz w:val="19"/>
                <w:szCs w:val="19"/>
                <w:color w:val="auto"/>
              </w:rPr>
            </w:pPr>
          </w:p>
        </w:tc>
        <w:tc>
          <w:tcPr>
            <w:tcW w:w="740" w:type="dxa"/>
            <w:vAlign w:val="bottom"/>
            <w:tcBorders>
              <w:bottom w:val="single" w:sz="8" w:color="0077C0"/>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Borders>
              <w:bottom w:val="single" w:sz="8" w:color="0077C0"/>
            </w:tcBorders>
          </w:tcPr>
          <w:p>
            <w:pPr>
              <w:spacing w:after="0"/>
              <w:rPr>
                <w:sz w:val="19"/>
                <w:szCs w:val="19"/>
                <w:color w:val="auto"/>
              </w:rPr>
            </w:pPr>
          </w:p>
        </w:tc>
        <w:tc>
          <w:tcPr>
            <w:tcW w:w="740" w:type="dxa"/>
            <w:vAlign w:val="bottom"/>
            <w:tcBorders>
              <w:bottom w:val="single" w:sz="8" w:color="0077C0"/>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Borders>
              <w:bottom w:val="single" w:sz="8" w:color="0077C0"/>
            </w:tcBorders>
          </w:tcPr>
          <w:p>
            <w:pPr>
              <w:spacing w:after="0"/>
              <w:rPr>
                <w:sz w:val="19"/>
                <w:szCs w:val="19"/>
                <w:color w:val="auto"/>
              </w:rPr>
            </w:pPr>
          </w:p>
        </w:tc>
        <w:tc>
          <w:tcPr>
            <w:tcW w:w="740" w:type="dxa"/>
            <w:vAlign w:val="bottom"/>
            <w:tcBorders>
              <w:bottom w:val="single" w:sz="8" w:color="0077C0"/>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Borders>
              <w:bottom w:val="single" w:sz="8" w:color="0077C0"/>
            </w:tcBorders>
          </w:tcPr>
          <w:p>
            <w:pPr>
              <w:spacing w:after="0"/>
              <w:rPr>
                <w:sz w:val="19"/>
                <w:szCs w:val="19"/>
                <w:color w:val="auto"/>
              </w:rPr>
            </w:pPr>
          </w:p>
        </w:tc>
        <w:tc>
          <w:tcPr>
            <w:tcW w:w="700" w:type="dxa"/>
            <w:vAlign w:val="bottom"/>
            <w:tcBorders>
              <w:bottom w:val="single" w:sz="8" w:color="0077C0"/>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bottom w:val="single" w:sz="8" w:color="0077C0"/>
            </w:tcBorders>
          </w:tcPr>
          <w:p>
            <w:pPr>
              <w:spacing w:after="0"/>
              <w:rPr>
                <w:sz w:val="19"/>
                <w:szCs w:val="19"/>
                <w:color w:val="auto"/>
              </w:rPr>
            </w:pPr>
          </w:p>
        </w:tc>
        <w:tc>
          <w:tcPr>
            <w:tcW w:w="640" w:type="dxa"/>
            <w:vAlign w:val="bottom"/>
            <w:tcBorders>
              <w:bottom w:val="single" w:sz="8" w:color="0077C0"/>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40" w:type="dxa"/>
            <w:vAlign w:val="bottom"/>
            <w:tcBorders>
              <w:bottom w:val="single" w:sz="8" w:color="0077C0"/>
            </w:tcBorders>
          </w:tcPr>
          <w:p>
            <w:pPr>
              <w:spacing w:after="0"/>
              <w:rPr>
                <w:sz w:val="19"/>
                <w:szCs w:val="19"/>
                <w:color w:val="auto"/>
              </w:rPr>
            </w:pPr>
          </w:p>
        </w:tc>
        <w:tc>
          <w:tcPr>
            <w:tcW w:w="740" w:type="dxa"/>
            <w:vAlign w:val="bottom"/>
            <w:tcBorders>
              <w:bottom w:val="single" w:sz="8" w:color="0077C0"/>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Borders>
              <w:bottom w:val="single" w:sz="8" w:color="0077C0"/>
            </w:tcBorders>
          </w:tcPr>
          <w:p>
            <w:pPr>
              <w:spacing w:after="0"/>
              <w:rPr>
                <w:sz w:val="19"/>
                <w:szCs w:val="19"/>
                <w:color w:val="auto"/>
              </w:rPr>
            </w:pPr>
          </w:p>
        </w:tc>
        <w:tc>
          <w:tcPr>
            <w:tcW w:w="720" w:type="dxa"/>
            <w:vAlign w:val="bottom"/>
            <w:tcBorders>
              <w:bottom w:val="single" w:sz="8" w:color="0077C0"/>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3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 not designated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color w:val="auto"/>
              </w:rPr>
              <w:t>Derivatives - designated</w:t>
            </w:r>
          </w:p>
        </w:tc>
        <w:tc>
          <w:tcPr>
            <w:tcW w:w="160" w:type="dxa"/>
            <w:vAlign w:val="bottom"/>
            <w:tcBorders>
              <w:bottom w:val="single" w:sz="8" w:color="0077C0"/>
            </w:tcBorders>
          </w:tcPr>
          <w:p>
            <w:pPr>
              <w:spacing w:after="0"/>
              <w:rPr>
                <w:sz w:val="21"/>
                <w:szCs w:val="21"/>
                <w:color w:val="auto"/>
              </w:rPr>
            </w:pPr>
          </w:p>
        </w:tc>
        <w:tc>
          <w:tcPr>
            <w:tcW w:w="700" w:type="dxa"/>
            <w:vAlign w:val="bottom"/>
            <w:tcBorders>
              <w:bottom w:val="single" w:sz="8" w:color="0077C0"/>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0077C0"/>
            </w:tcBorders>
          </w:tcPr>
          <w:p>
            <w:pPr>
              <w:spacing w:after="0"/>
              <w:rPr>
                <w:sz w:val="21"/>
                <w:szCs w:val="21"/>
                <w:color w:val="auto"/>
              </w:rPr>
            </w:pPr>
          </w:p>
        </w:tc>
        <w:tc>
          <w:tcPr>
            <w:tcW w:w="740" w:type="dxa"/>
            <w:vAlign w:val="bottom"/>
            <w:tcBorders>
              <w:bottom w:val="single" w:sz="8" w:color="0077C0"/>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0077C0"/>
            </w:tcBorders>
          </w:tcPr>
          <w:p>
            <w:pPr>
              <w:spacing w:after="0"/>
              <w:rPr>
                <w:sz w:val="21"/>
                <w:szCs w:val="21"/>
                <w:color w:val="auto"/>
              </w:rPr>
            </w:pPr>
          </w:p>
        </w:tc>
        <w:tc>
          <w:tcPr>
            <w:tcW w:w="740" w:type="dxa"/>
            <w:vAlign w:val="bottom"/>
            <w:tcBorders>
              <w:bottom w:val="single" w:sz="8" w:color="0077C0"/>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0077C0"/>
            </w:tcBorders>
          </w:tcPr>
          <w:p>
            <w:pPr>
              <w:spacing w:after="0"/>
              <w:rPr>
                <w:sz w:val="21"/>
                <w:szCs w:val="21"/>
                <w:color w:val="auto"/>
              </w:rPr>
            </w:pPr>
          </w:p>
        </w:tc>
        <w:tc>
          <w:tcPr>
            <w:tcW w:w="740" w:type="dxa"/>
            <w:vAlign w:val="bottom"/>
            <w:tcBorders>
              <w:bottom w:val="single" w:sz="8" w:color="0077C0"/>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0077C0"/>
            </w:tcBorders>
          </w:tcPr>
          <w:p>
            <w:pPr>
              <w:spacing w:after="0"/>
              <w:rPr>
                <w:sz w:val="21"/>
                <w:szCs w:val="21"/>
                <w:color w:val="auto"/>
              </w:rPr>
            </w:pPr>
          </w:p>
        </w:tc>
        <w:tc>
          <w:tcPr>
            <w:tcW w:w="700" w:type="dxa"/>
            <w:vAlign w:val="bottom"/>
            <w:tcBorders>
              <w:bottom w:val="single" w:sz="8" w:color="0077C0"/>
            </w:tcBorders>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0077C0"/>
            </w:tcBorders>
          </w:tcPr>
          <w:p>
            <w:pPr>
              <w:spacing w:after="0"/>
              <w:rPr>
                <w:sz w:val="21"/>
                <w:szCs w:val="21"/>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Borders>
              <w:bottom w:val="single" w:sz="8" w:color="0077C0"/>
            </w:tcBorders>
          </w:tcPr>
          <w:p>
            <w:pPr>
              <w:spacing w:after="0"/>
              <w:rPr>
                <w:sz w:val="21"/>
                <w:szCs w:val="21"/>
                <w:color w:val="auto"/>
              </w:rPr>
            </w:pPr>
          </w:p>
        </w:tc>
        <w:tc>
          <w:tcPr>
            <w:tcW w:w="740" w:type="dxa"/>
            <w:vAlign w:val="bottom"/>
            <w:tcBorders>
              <w:bottom w:val="single" w:sz="8" w:color="0077C0"/>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0077C0"/>
            </w:tcBorders>
          </w:tcPr>
          <w:p>
            <w:pPr>
              <w:spacing w:after="0"/>
              <w:rPr>
                <w:sz w:val="21"/>
                <w:szCs w:val="21"/>
                <w:color w:val="auto"/>
              </w:rPr>
            </w:pPr>
          </w:p>
        </w:tc>
        <w:tc>
          <w:tcPr>
            <w:tcW w:w="720" w:type="dxa"/>
            <w:vAlign w:val="bottom"/>
            <w:tcBorders>
              <w:bottom w:val="single" w:sz="8" w:color="0077C0"/>
            </w:tcBorders>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 not designated</w:t>
            </w:r>
          </w:p>
        </w:tc>
        <w:tc>
          <w:tcPr>
            <w:tcW w:w="1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100</w:t>
            </w:r>
          </w:p>
        </w:tc>
        <w:tc>
          <w:tcPr>
            <w:tcW w:w="24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70</w:t>
            </w:r>
          </w:p>
        </w:tc>
        <w:tc>
          <w:tcPr>
            <w:tcW w:w="2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Pr>
          <w:p>
            <w:pPr>
              <w:spacing w:after="0"/>
              <w:rPr>
                <w:sz w:val="21"/>
                <w:szCs w:val="21"/>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21"/>
                <w:szCs w:val="21"/>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8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 designated</w:t>
            </w:r>
          </w:p>
        </w:tc>
        <w:tc>
          <w:tcPr>
            <w:tcW w:w="160" w:type="dxa"/>
            <w:vAlign w:val="bottom"/>
            <w:tcBorders>
              <w:bottom w:val="single" w:sz="8" w:color="0077C0"/>
            </w:tcBorders>
            <w:shd w:val="clear" w:color="auto" w:fill="CCEEFF"/>
          </w:tcPr>
          <w:p>
            <w:pPr>
              <w:spacing w:after="0"/>
              <w:rPr>
                <w:sz w:val="21"/>
                <w:szCs w:val="21"/>
                <w:color w:val="auto"/>
              </w:rPr>
            </w:pPr>
          </w:p>
        </w:tc>
        <w:tc>
          <w:tcPr>
            <w:tcW w:w="700" w:type="dxa"/>
            <w:vAlign w:val="bottom"/>
            <w:tcBorders>
              <w:bottom w:val="single" w:sz="8" w:color="0077C0"/>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Borders>
              <w:bottom w:val="single" w:sz="8" w:color="0077C0"/>
            </w:tcBorders>
            <w:shd w:val="clear" w:color="auto" w:fill="CCEEFF"/>
          </w:tcPr>
          <w:p>
            <w:pPr>
              <w:spacing w:after="0"/>
              <w:rPr>
                <w:sz w:val="21"/>
                <w:szCs w:val="21"/>
                <w:color w:val="auto"/>
              </w:rPr>
            </w:pPr>
          </w:p>
        </w:tc>
        <w:tc>
          <w:tcPr>
            <w:tcW w:w="740" w:type="dxa"/>
            <w:vAlign w:val="bottom"/>
            <w:tcBorders>
              <w:bottom w:val="single" w:sz="8" w:color="0077C0"/>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Borders>
              <w:bottom w:val="single" w:sz="8" w:color="0077C0"/>
            </w:tcBorders>
            <w:shd w:val="clear" w:color="auto" w:fill="CCEEFF"/>
          </w:tcPr>
          <w:p>
            <w:pPr>
              <w:spacing w:after="0"/>
              <w:rPr>
                <w:sz w:val="21"/>
                <w:szCs w:val="21"/>
                <w:color w:val="auto"/>
              </w:rPr>
            </w:pPr>
          </w:p>
        </w:tc>
        <w:tc>
          <w:tcPr>
            <w:tcW w:w="740" w:type="dxa"/>
            <w:vAlign w:val="bottom"/>
            <w:tcBorders>
              <w:bottom w:val="single" w:sz="8" w:color="0077C0"/>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0077C0"/>
            </w:tcBorders>
            <w:shd w:val="clear" w:color="auto" w:fill="CCEEFF"/>
          </w:tcPr>
          <w:p>
            <w:pPr>
              <w:spacing w:after="0"/>
              <w:rPr>
                <w:sz w:val="21"/>
                <w:szCs w:val="21"/>
                <w:color w:val="auto"/>
              </w:rPr>
            </w:pPr>
          </w:p>
        </w:tc>
        <w:tc>
          <w:tcPr>
            <w:tcW w:w="740" w:type="dxa"/>
            <w:vAlign w:val="bottom"/>
            <w:tcBorders>
              <w:bottom w:val="single" w:sz="8" w:color="0077C0"/>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0077C0"/>
            </w:tcBorders>
            <w:shd w:val="clear" w:color="auto" w:fill="CCEEFF"/>
          </w:tcPr>
          <w:p>
            <w:pPr>
              <w:spacing w:after="0"/>
              <w:rPr>
                <w:sz w:val="21"/>
                <w:szCs w:val="21"/>
                <w:color w:val="auto"/>
              </w:rPr>
            </w:pPr>
          </w:p>
        </w:tc>
        <w:tc>
          <w:tcPr>
            <w:tcW w:w="700" w:type="dxa"/>
            <w:vAlign w:val="bottom"/>
            <w:tcBorders>
              <w:bottom w:val="single" w:sz="8" w:color="0077C0"/>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0077C0"/>
            </w:tcBorders>
            <w:shd w:val="clear" w:color="auto" w:fill="CCEEFF"/>
          </w:tcPr>
          <w:p>
            <w:pPr>
              <w:spacing w:after="0"/>
              <w:rPr>
                <w:sz w:val="21"/>
                <w:szCs w:val="21"/>
                <w:color w:val="auto"/>
              </w:rPr>
            </w:pPr>
          </w:p>
        </w:tc>
        <w:tc>
          <w:tcPr>
            <w:tcW w:w="64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0077C0"/>
            </w:tcBorders>
            <w:shd w:val="clear" w:color="auto" w:fill="CCEEFF"/>
          </w:tcPr>
          <w:p>
            <w:pPr>
              <w:spacing w:after="0"/>
              <w:rPr>
                <w:sz w:val="21"/>
                <w:szCs w:val="21"/>
                <w:color w:val="auto"/>
              </w:rPr>
            </w:pPr>
          </w:p>
        </w:tc>
        <w:tc>
          <w:tcPr>
            <w:tcW w:w="740" w:type="dxa"/>
            <w:vAlign w:val="bottom"/>
            <w:tcBorders>
              <w:bottom w:val="single" w:sz="8" w:color="0077C0"/>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0077C0"/>
            </w:tcBorders>
            <w:shd w:val="clear" w:color="auto" w:fill="CCEEFF"/>
          </w:tcPr>
          <w:p>
            <w:pPr>
              <w:spacing w:after="0"/>
              <w:rPr>
                <w:sz w:val="21"/>
                <w:szCs w:val="21"/>
                <w:color w:val="auto"/>
              </w:rPr>
            </w:pPr>
          </w:p>
        </w:tc>
        <w:tc>
          <w:tcPr>
            <w:tcW w:w="720" w:type="dxa"/>
            <w:vAlign w:val="bottom"/>
            <w:tcBorders>
              <w:bottom w:val="single" w:sz="8" w:color="0077C0"/>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580" w:type="dxa"/>
            <w:vAlign w:val="bottom"/>
            <w:tcBorders>
              <w:bottom w:val="single" w:sz="8" w:color="0077C0"/>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1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0077C0"/>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102</w:t>
            </w:r>
          </w:p>
        </w:tc>
        <w:tc>
          <w:tcPr>
            <w:tcW w:w="2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0077C0"/>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72</w:t>
            </w:r>
          </w:p>
        </w:tc>
        <w:tc>
          <w:tcPr>
            <w:tcW w:w="2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0077C0"/>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0077C0"/>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0077C0"/>
            </w:tcBorders>
          </w:tcPr>
          <w:p>
            <w:pPr>
              <w:jc w:val="right"/>
              <w:ind w:right="11"/>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0077C0"/>
            </w:tcBorders>
          </w:tcPr>
          <w:p>
            <w:pPr>
              <w:jc w:val="right"/>
              <w:ind w:right="11"/>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0077C0"/>
            </w:tcBorders>
          </w:tcPr>
          <w:p>
            <w:pPr>
              <w:ind w:left="460"/>
              <w:spacing w:after="0"/>
              <w:rPr>
                <w:sz w:val="20"/>
                <w:szCs w:val="20"/>
                <w:color w:val="auto"/>
              </w:rPr>
            </w:pPr>
            <w:r>
              <w:rPr>
                <w:rFonts w:ascii="Times New Roman" w:cs="Times New Roman" w:eastAsia="Times New Roman" w:hAnsi="Times New Roman"/>
                <w:sz w:val="18"/>
                <w:szCs w:val="18"/>
                <w:color w:val="auto"/>
              </w:rPr>
              <w:t>—</w:t>
            </w:r>
          </w:p>
        </w:tc>
      </w:tr>
    </w:tbl>
    <w:p>
      <w:pPr>
        <w:spacing w:after="0" w:line="1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Derivatives </w:t>
      </w:r>
      <w:r>
        <w:rPr>
          <w:rFonts w:ascii="Times New Roman" w:cs="Times New Roman" w:eastAsia="Times New Roman" w:hAnsi="Times New Roman"/>
          <w:sz w:val="18"/>
          <w:szCs w:val="18"/>
          <w:color w:val="auto"/>
        </w:rPr>
        <w:t>The company records most of its derivative instruments — other than any commodity derivative contracts that are accounted for as normal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and normal sale — on the Consolidated Balance Sheet at fair value, with the offsetting amount to the Consolidated Statement of Income. The company designates certain derivative instruments as cash flow hedges that, if applicable, are reflected in the table above. Derivatives classified as Level 1 include futures, swaps and options contracts valued using quoted prices from active markets such as the New York Mercantile Exchange. Derivatives classified as Level 2 include swaps, options and forward contracts, the fair values of which are obtained from third-party broker quotes, industry pricing services, and exchanges. The company obtains multiple sources of pricing information for the Level 2 instruments. Since this pricing information is generated from observable market data, it has historically been very consistent. The company does not materially adjust this information.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carried at fair value at September 30, 2026, and December 31, 2025, are as follows:</w:t>
      </w:r>
    </w:p>
    <w:p>
      <w:pPr>
        <w:spacing w:after="0" w:line="10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The company holds cash equivalents in U.S. and non-U.S. portfolios. The instruments classified as cash equivalents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bank deposits with maturities of 90 days or less, and money market funds. “Cash and cash equivalents” had carrying/fair values of $12.8 billion and $6.3 billion at September 30, 2026, and December 31, 2025, respectively. The fair values of cash and cash equivalents are classified as Level 1 and reflect the cash that would have been received if the instruments were settled at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Restricted Cash </w:t>
      </w:r>
      <w:r>
        <w:rPr>
          <w:rFonts w:ascii="Times New Roman" w:cs="Times New Roman" w:eastAsia="Times New Roman" w:hAnsi="Times New Roman"/>
          <w:sz w:val="18"/>
          <w:szCs w:val="18"/>
          <w:color w:val="auto"/>
        </w:rPr>
        <w:t>had a carrying/fair value of $1.1 billion and $1.0 billion at September 30, 2026, and December 31, 2025, respectively. At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restricted cash is classified as Level 1 and includes restricted funds mainly related to certain upstream decommissioning activities and financing programs that are reported in “Prepaid expenses and other current assets” and “Deferred charges and other assets” on the Consolidated Balance Sheet.</w:t>
      </w:r>
    </w:p>
    <w:p>
      <w:pPr>
        <w:spacing w:after="0" w:line="5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excluding amounts reclassified from short-term debt and finance lease obligations had a net carrying value of $22.8 billion and $28.5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at September 30, 2026, and December 31, 2025, respectively. Long-term debt primarily includes corporate-issued bonds. The fair value of these obligations was $21.7 billion and $28.6 billion at September 30, 2026, and December 31, 2025, respectively. At September 30, 2026, the fair value of these obligations classified as Level 1 was $18.2 billion and Level 2 was $3.5 billion.</w:t>
      </w:r>
    </w:p>
    <w:p>
      <w:pPr>
        <w:spacing w:after="0" w:line="49"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The carrying values of other short-term financial assets and liabilities on the Consolidated Balance Sheet approximate their fair values. Fair value remeasurements of other financial instruments at September 30, 2026, and December 31, 2025, were not material.</w:t>
      </w:r>
    </w:p>
    <w:p>
      <w:pPr>
        <w:spacing w:after="0" w:line="2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8"/>
          <w:szCs w:val="18"/>
          <w:i w:val="1"/>
          <w:iCs w:val="1"/>
          <w:color w:val="auto"/>
        </w:rPr>
        <w:t xml:space="preserve">Properties, plant and equipment </w:t>
      </w:r>
      <w:r>
        <w:rPr>
          <w:rFonts w:ascii="Times New Roman" w:cs="Times New Roman" w:eastAsia="Times New Roman" w:hAnsi="Times New Roman"/>
          <w:sz w:val="18"/>
          <w:szCs w:val="18"/>
          <w:color w:val="auto"/>
        </w:rPr>
        <w:t>The company did not have any individually material impairments of long- lived assets measured at fair value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nonrecurring basis to report in third quarter 2026 or 2025.</w:t>
      </w:r>
    </w:p>
    <w:p>
      <w:pPr>
        <w:spacing w:after="0" w:line="2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8"/>
          <w:szCs w:val="18"/>
          <w:i w:val="1"/>
          <w:iCs w:val="1"/>
          <w:color w:val="auto"/>
        </w:rPr>
        <w:t xml:space="preserve">Investments and advances </w:t>
      </w:r>
      <w:r>
        <w:rPr>
          <w:rFonts w:ascii="Times New Roman" w:cs="Times New Roman" w:eastAsia="Times New Roman" w:hAnsi="Times New Roman"/>
          <w:sz w:val="18"/>
          <w:szCs w:val="18"/>
          <w:color w:val="auto"/>
        </w:rPr>
        <w:t>The company did not have any individually material impairments of investments and advances measured at fair value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nonrecurring basis to report in third quarter 2026 or 2025.</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Financial and Derivative Instruments</w:t>
      </w:r>
    </w:p>
    <w:p>
      <w:pPr>
        <w:spacing w:after="0" w:line="1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primarily uses commodity derivative instruments to manage commodity price risk related to physical hydrocarbon shipments. The company’s commodity derivative instruments principally include crude oil, natural gas, liquefied natural gas and refined product futures, swaps, options and forward contracts.</w:t>
      </w:r>
    </w:p>
    <w:p>
      <w:pPr>
        <w:spacing w:after="0" w:line="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 uses commodity derivative instruments traded on the New York Mercantile Exchange and on electronic platforms of the Inter-Continental Exchange and Chicago Mercantile Exchange. In addition, the company enters into swap contracts and option contracts principally with major financial institutions and other oil and gas companies in “over-the-counter” markets, which are governed by International Swaps and Derivatives Association agreements and other master netting arrangements.</w:t>
      </w:r>
    </w:p>
    <w:p>
      <w:pPr>
        <w:spacing w:after="0" w:line="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Although historically the company’s derivative instruments have not been material to its consolidated financial position, results of operations or liquidity, heightened volatility in commodity prices associated with the ongoing conflict in the Middle East resulted in significant mark-to-market earnings and cash flow impacts during 2026. The company actively manages market and liquidity risks and has sufficient liquidity to meet collateral requirements, which are generally short-term in nature.</w:t>
      </w:r>
    </w:p>
    <w:p>
      <w:pPr>
        <w:spacing w:after="0" w:line="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Additionally, the company applies cash flow hedge accounting on a limited basis to derivative commodity transactions used to manage the market price risk associated with certain forecasted sales of crude oil. The company performs regression analyses periodically to help ensure that the month-over-month changes in the specified component in the physical sales contracts are highly correlated with changes in the index futures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Derivative instruments measured at fair value at September 30, 2026, and December 31, 2025, and their classification on the Consolidated Balance Sheet and Consolidated Statement of Income are as follows: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 Fair Value of Derivatives</w:t>
      </w: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6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At September 30,</w:t>
            </w:r>
          </w:p>
        </w:tc>
        <w:tc>
          <w:tcPr>
            <w:tcW w:w="300" w:type="dxa"/>
            <w:vAlign w:val="bottom"/>
          </w:tcPr>
          <w:p>
            <w:pPr>
              <w:spacing w:after="0"/>
              <w:rPr>
                <w:sz w:val="13"/>
                <w:szCs w:val="13"/>
                <w:color w:val="auto"/>
              </w:rPr>
            </w:pPr>
          </w:p>
        </w:tc>
        <w:tc>
          <w:tcPr>
            <w:tcW w:w="14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0" w:type="dxa"/>
            <w:vAlign w:val="bottom"/>
          </w:tcPr>
          <w:p>
            <w:pPr>
              <w:spacing w:after="0"/>
              <w:rPr>
                <w:sz w:val="1"/>
                <w:szCs w:val="1"/>
                <w:color w:val="auto"/>
              </w:rPr>
            </w:pPr>
          </w:p>
        </w:tc>
      </w:tr>
      <w:tr>
        <w:trPr>
          <w:trHeight w:val="196"/>
        </w:trPr>
        <w:tc>
          <w:tcPr>
            <w:tcW w:w="1380" w:type="dxa"/>
            <w:vAlign w:val="bottom"/>
            <w:vMerge w:val="continue"/>
          </w:tcPr>
          <w:p>
            <w:pPr>
              <w:spacing w:after="0"/>
              <w:rPr>
                <w:sz w:val="17"/>
                <w:szCs w:val="17"/>
                <w:color w:val="auto"/>
              </w:rPr>
            </w:pPr>
          </w:p>
        </w:tc>
        <w:tc>
          <w:tcPr>
            <w:tcW w:w="6260" w:type="dxa"/>
            <w:vAlign w:val="bottom"/>
          </w:tcPr>
          <w:p>
            <w:pPr>
              <w:spacing w:after="0"/>
              <w:rPr>
                <w:sz w:val="17"/>
                <w:szCs w:val="17"/>
                <w:color w:val="auto"/>
              </w:rPr>
            </w:pPr>
          </w:p>
        </w:tc>
        <w:tc>
          <w:tcPr>
            <w:tcW w:w="200" w:type="dxa"/>
            <w:vAlign w:val="bottom"/>
            <w:tcBorders>
              <w:bottom w:val="single" w:sz="8" w:color="0077C0"/>
            </w:tcBorders>
          </w:tcPr>
          <w:p>
            <w:pPr>
              <w:spacing w:after="0"/>
              <w:rPr>
                <w:sz w:val="17"/>
                <w:szCs w:val="17"/>
                <w:color w:val="auto"/>
              </w:rPr>
            </w:pPr>
          </w:p>
        </w:tc>
        <w:tc>
          <w:tcPr>
            <w:tcW w:w="1520" w:type="dxa"/>
            <w:vAlign w:val="bottom"/>
            <w:tcBorders>
              <w:bottom w:val="single" w:sz="8" w:color="0077C0"/>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0077C0"/>
            </w:tcBorders>
          </w:tcPr>
          <w:p>
            <w:pPr>
              <w:spacing w:after="0"/>
              <w:rPr>
                <w:sz w:val="17"/>
                <w:szCs w:val="17"/>
                <w:color w:val="auto"/>
              </w:rPr>
            </w:pPr>
          </w:p>
        </w:tc>
        <w:tc>
          <w:tcPr>
            <w:tcW w:w="1440" w:type="dxa"/>
            <w:vAlign w:val="bottom"/>
            <w:tcBorders>
              <w:bottom w:val="single" w:sz="8" w:color="0077C0"/>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3"/>
        </w:trPr>
        <w:tc>
          <w:tcPr>
            <w:tcW w:w="1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62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00" w:type="dxa"/>
            <w:vAlign w:val="bottom"/>
          </w:tcPr>
          <w:p>
            <w:pPr>
              <w:spacing w:after="0"/>
              <w:rPr>
                <w:sz w:val="16"/>
                <w:szCs w:val="16"/>
                <w:color w:val="auto"/>
              </w:rPr>
            </w:pPr>
          </w:p>
        </w:tc>
        <w:tc>
          <w:tcPr>
            <w:tcW w:w="3260" w:type="dxa"/>
            <w:vAlign w:val="bottom"/>
            <w:gridSpan w:val="3"/>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0" w:type="dxa"/>
            <w:vAlign w:val="bottom"/>
          </w:tcPr>
          <w:p>
            <w:pPr>
              <w:spacing w:after="0"/>
              <w:rPr>
                <w:sz w:val="1"/>
                <w:szCs w:val="1"/>
                <w:color w:val="auto"/>
              </w:rPr>
            </w:pPr>
          </w:p>
        </w:tc>
      </w:tr>
      <w:tr>
        <w:trPr>
          <w:trHeight w:val="23"/>
        </w:trPr>
        <w:tc>
          <w:tcPr>
            <w:tcW w:w="1380" w:type="dxa"/>
            <w:vAlign w:val="bottom"/>
            <w:tcBorders>
              <w:bottom w:val="single" w:sz="8" w:color="0077C0"/>
            </w:tcBorders>
          </w:tcPr>
          <w:p>
            <w:pPr>
              <w:spacing w:after="0"/>
              <w:rPr>
                <w:sz w:val="2"/>
                <w:szCs w:val="2"/>
                <w:color w:val="auto"/>
              </w:rPr>
            </w:pPr>
          </w:p>
        </w:tc>
        <w:tc>
          <w:tcPr>
            <w:tcW w:w="626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152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144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w:t>
            </w:r>
          </w:p>
        </w:tc>
        <w:tc>
          <w:tcPr>
            <w:tcW w:w="6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43"/>
        </w:trPr>
        <w:tc>
          <w:tcPr>
            <w:tcW w:w="1380" w:type="dxa"/>
            <w:vAlign w:val="bottom"/>
            <w:tcBorders>
              <w:bottom w:val="single" w:sz="8" w:color="0077C0"/>
            </w:tcBorders>
          </w:tcPr>
          <w:p>
            <w:pPr>
              <w:spacing w:after="0"/>
              <w:rPr>
                <w:sz w:val="20"/>
                <w:szCs w:val="20"/>
                <w:color w:val="auto"/>
              </w:rPr>
            </w:pPr>
            <w:r>
              <w:rPr>
                <w:rFonts w:ascii="Times New Roman" w:cs="Times New Roman" w:eastAsia="Times New Roman" w:hAnsi="Times New Roman"/>
                <w:sz w:val="18"/>
                <w:szCs w:val="18"/>
                <w:color w:val="auto"/>
              </w:rPr>
              <w:t>Commodity</w:t>
            </w:r>
          </w:p>
        </w:tc>
        <w:tc>
          <w:tcPr>
            <w:tcW w:w="6260" w:type="dxa"/>
            <w:vAlign w:val="bottom"/>
            <w:tcBorders>
              <w:bottom w:val="single" w:sz="8" w:color="0077C0"/>
            </w:tcBorders>
          </w:tcPr>
          <w:p>
            <w:pPr>
              <w:ind w:left="500"/>
              <w:spacing w:after="0"/>
              <w:rPr>
                <w:sz w:val="20"/>
                <w:szCs w:val="20"/>
                <w:color w:val="auto"/>
              </w:rPr>
            </w:pPr>
            <w:r>
              <w:rPr>
                <w:rFonts w:ascii="Times New Roman" w:cs="Times New Roman" w:eastAsia="Times New Roman" w:hAnsi="Times New Roman"/>
                <w:sz w:val="18"/>
                <w:szCs w:val="18"/>
                <w:color w:val="auto"/>
              </w:rPr>
              <w:t>Long-term receivables, net</w:t>
            </w:r>
          </w:p>
        </w:tc>
        <w:tc>
          <w:tcPr>
            <w:tcW w:w="200" w:type="dxa"/>
            <w:vAlign w:val="bottom"/>
            <w:tcBorders>
              <w:bottom w:val="single" w:sz="8" w:color="0077C0"/>
            </w:tcBorders>
          </w:tcPr>
          <w:p>
            <w:pPr>
              <w:spacing w:after="0"/>
              <w:rPr>
                <w:sz w:val="21"/>
                <w:szCs w:val="21"/>
                <w:color w:val="auto"/>
              </w:rPr>
            </w:pPr>
          </w:p>
        </w:tc>
        <w:tc>
          <w:tcPr>
            <w:tcW w:w="1520" w:type="dxa"/>
            <w:vAlign w:val="bottom"/>
            <w:tcBorders>
              <w:bottom w:val="single" w:sz="8" w:color="0077C0"/>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w:t>
            </w:r>
          </w:p>
        </w:tc>
        <w:tc>
          <w:tcPr>
            <w:tcW w:w="300" w:type="dxa"/>
            <w:vAlign w:val="bottom"/>
            <w:tcBorders>
              <w:bottom w:val="single" w:sz="8" w:color="0077C0"/>
            </w:tcBorders>
          </w:tcPr>
          <w:p>
            <w:pPr>
              <w:spacing w:after="0"/>
              <w:rPr>
                <w:sz w:val="21"/>
                <w:szCs w:val="21"/>
                <w:color w:val="auto"/>
              </w:rPr>
            </w:pPr>
          </w:p>
        </w:tc>
        <w:tc>
          <w:tcPr>
            <w:tcW w:w="14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7"/>
        </w:trPr>
        <w:tc>
          <w:tcPr>
            <w:tcW w:w="7640" w:type="dxa"/>
            <w:vAlign w:val="bottom"/>
            <w:tcBorders>
              <w:bottom w:val="single" w:sz="8" w:color="0077C0"/>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200" w:type="dxa"/>
            <w:vAlign w:val="bottom"/>
            <w:tcBorders>
              <w:bottom w:val="single" w:sz="8" w:color="0077C0"/>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0077C0"/>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11</w:t>
            </w:r>
          </w:p>
        </w:tc>
        <w:tc>
          <w:tcPr>
            <w:tcW w:w="300" w:type="dxa"/>
            <w:vAlign w:val="bottom"/>
            <w:tcBorders>
              <w:bottom w:val="single" w:sz="8" w:color="0077C0"/>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Commodity</w:t>
            </w:r>
          </w:p>
        </w:tc>
        <w:tc>
          <w:tcPr>
            <w:tcW w:w="6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89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1380" w:type="dxa"/>
            <w:vAlign w:val="bottom"/>
            <w:tcBorders>
              <w:bottom w:val="single" w:sz="8" w:color="0077C0"/>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w:t>
            </w:r>
          </w:p>
        </w:tc>
        <w:tc>
          <w:tcPr>
            <w:tcW w:w="6260" w:type="dxa"/>
            <w:vAlign w:val="bottom"/>
            <w:tcBorders>
              <w:bottom w:val="single" w:sz="8" w:color="0077C0"/>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credits and other noncurrent obligations</w:t>
            </w:r>
          </w:p>
        </w:tc>
        <w:tc>
          <w:tcPr>
            <w:tcW w:w="200" w:type="dxa"/>
            <w:vAlign w:val="bottom"/>
            <w:tcBorders>
              <w:bottom w:val="single" w:sz="8" w:color="0077C0"/>
            </w:tcBorders>
            <w:shd w:val="clear" w:color="auto" w:fill="CCEEFF"/>
          </w:tcPr>
          <w:p>
            <w:pPr>
              <w:spacing w:after="0"/>
              <w:rPr>
                <w:sz w:val="21"/>
                <w:szCs w:val="21"/>
                <w:color w:val="auto"/>
              </w:rPr>
            </w:pPr>
          </w:p>
        </w:tc>
        <w:tc>
          <w:tcPr>
            <w:tcW w:w="1520" w:type="dxa"/>
            <w:vAlign w:val="bottom"/>
            <w:tcBorders>
              <w:bottom w:val="single" w:sz="8" w:color="0077C0"/>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13</w:t>
            </w:r>
          </w:p>
        </w:tc>
        <w:tc>
          <w:tcPr>
            <w:tcW w:w="300" w:type="dxa"/>
            <w:vAlign w:val="bottom"/>
            <w:tcBorders>
              <w:bottom w:val="single" w:sz="8" w:color="0077C0"/>
            </w:tcBorders>
            <w:shd w:val="clear" w:color="auto" w:fill="CCEEFF"/>
          </w:tcPr>
          <w:p>
            <w:pPr>
              <w:spacing w:after="0"/>
              <w:rPr>
                <w:sz w:val="21"/>
                <w:szCs w:val="21"/>
                <w:color w:val="auto"/>
              </w:rPr>
            </w:pPr>
          </w:p>
        </w:tc>
        <w:tc>
          <w:tcPr>
            <w:tcW w:w="144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7"/>
        </w:trPr>
        <w:tc>
          <w:tcPr>
            <w:tcW w:w="7640" w:type="dxa"/>
            <w:vAlign w:val="bottom"/>
            <w:tcBorders>
              <w:bottom w:val="single" w:sz="8" w:color="0077C0"/>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200" w:type="dxa"/>
            <w:vAlign w:val="bottom"/>
            <w:tcBorders>
              <w:bottom w:val="single" w:sz="8" w:color="0077C0"/>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0077C0"/>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102</w:t>
            </w:r>
          </w:p>
        </w:tc>
        <w:tc>
          <w:tcPr>
            <w:tcW w:w="300" w:type="dxa"/>
            <w:vAlign w:val="bottom"/>
            <w:tcBorders>
              <w:bottom w:val="single" w:sz="8" w:color="0077C0"/>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 The Effect of Derivatives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2"/>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Gain / (Loss)</w:t>
            </w: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gridSpan w:val="2"/>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Gain / (Loss)</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4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40" w:type="dxa"/>
            <w:vAlign w:val="bottom"/>
            <w:gridSpan w:val="3"/>
          </w:tcPr>
          <w:p>
            <w:pPr>
              <w:jc w:val="center"/>
              <w:ind w:right="276"/>
              <w:spacing w:after="0" w:line="146"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2"/>
                <w:szCs w:val="12"/>
                <w:color w:val="auto"/>
              </w:rPr>
            </w:pPr>
          </w:p>
        </w:tc>
        <w:tc>
          <w:tcPr>
            <w:tcW w:w="2280" w:type="dxa"/>
            <w:vAlign w:val="bottom"/>
            <w:gridSpan w:val="3"/>
          </w:tcPr>
          <w:p>
            <w:pPr>
              <w:jc w:val="center"/>
              <w:ind w:right="214"/>
              <w:spacing w:after="0" w:line="146"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14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gridSpan w:val="2"/>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4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7"/>
                <w:szCs w:val="17"/>
                <w:color w:val="auto"/>
              </w:rPr>
            </w:pPr>
          </w:p>
        </w:tc>
        <w:tc>
          <w:tcPr>
            <w:tcW w:w="9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7"/>
                <w:szCs w:val="17"/>
                <w:color w:val="auto"/>
              </w:rPr>
            </w:pPr>
          </w:p>
        </w:tc>
        <w:tc>
          <w:tcPr>
            <w:tcW w:w="98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7"/>
                <w:szCs w:val="17"/>
                <w:color w:val="auto"/>
              </w:rPr>
            </w:pPr>
          </w:p>
        </w:tc>
        <w:tc>
          <w:tcPr>
            <w:tcW w:w="8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446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Statement of Income Classification</w:t>
            </w:r>
          </w:p>
        </w:tc>
        <w:tc>
          <w:tcPr>
            <w:tcW w:w="300" w:type="dxa"/>
            <w:vAlign w:val="bottom"/>
            <w:tcBorders>
              <w:bottom w:val="single" w:sz="8" w:color="0077C0"/>
            </w:tcBorders>
          </w:tcPr>
          <w:p>
            <w:pPr>
              <w:spacing w:after="0"/>
              <w:rPr>
                <w:sz w:val="2"/>
                <w:szCs w:val="2"/>
                <w:color w:val="auto"/>
              </w:rPr>
            </w:pPr>
          </w:p>
        </w:tc>
        <w:tc>
          <w:tcPr>
            <w:tcW w:w="1040" w:type="dxa"/>
            <w:vAlign w:val="bottom"/>
            <w:tcBorders>
              <w:bottom w:val="single" w:sz="8" w:color="0077C0"/>
            </w:tcBorders>
          </w:tcPr>
          <w:p>
            <w:pPr>
              <w:spacing w:after="0"/>
              <w:rPr>
                <w:sz w:val="2"/>
                <w:szCs w:val="2"/>
                <w:color w:val="auto"/>
              </w:rPr>
            </w:pPr>
          </w:p>
        </w:tc>
        <w:tc>
          <w:tcPr>
            <w:tcW w:w="480" w:type="dxa"/>
            <w:vAlign w:val="bottom"/>
            <w:tcBorders>
              <w:bottom w:val="single" w:sz="8" w:color="0077C0"/>
            </w:tcBorders>
          </w:tcPr>
          <w:p>
            <w:pPr>
              <w:spacing w:after="0"/>
              <w:rPr>
                <w:sz w:val="2"/>
                <w:szCs w:val="2"/>
                <w:color w:val="auto"/>
              </w:rPr>
            </w:pPr>
          </w:p>
        </w:tc>
        <w:tc>
          <w:tcPr>
            <w:tcW w:w="2260" w:type="dxa"/>
            <w:vAlign w:val="bottom"/>
            <w:tcBorders>
              <w:bottom w:val="single" w:sz="8" w:color="0077C0"/>
            </w:tcBorders>
            <w:gridSpan w:val="3"/>
          </w:tcPr>
          <w:p>
            <w:pPr>
              <w:spacing w:after="0"/>
              <w:rPr>
                <w:sz w:val="2"/>
                <w:szCs w:val="2"/>
                <w:color w:val="auto"/>
              </w:rPr>
            </w:pPr>
          </w:p>
        </w:tc>
        <w:tc>
          <w:tcPr>
            <w:tcW w:w="480" w:type="dxa"/>
            <w:vAlign w:val="bottom"/>
            <w:tcBorders>
              <w:bottom w:val="single" w:sz="8" w:color="0077C0"/>
            </w:tcBorders>
          </w:tcPr>
          <w:p>
            <w:pPr>
              <w:spacing w:after="0"/>
              <w:rPr>
                <w:sz w:val="2"/>
                <w:szCs w:val="2"/>
                <w:color w:val="auto"/>
              </w:rPr>
            </w:pPr>
          </w:p>
        </w:tc>
        <w:tc>
          <w:tcPr>
            <w:tcW w:w="82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400" w:type="dxa"/>
            <w:vAlign w:val="bottom"/>
            <w:vMerge w:val="continue"/>
          </w:tcPr>
          <w:p>
            <w:pPr>
              <w:spacing w:after="0"/>
              <w:rPr>
                <w:sz w:val="16"/>
                <w:szCs w:val="16"/>
                <w:color w:val="auto"/>
              </w:rPr>
            </w:pPr>
          </w:p>
        </w:tc>
        <w:tc>
          <w:tcPr>
            <w:tcW w:w="44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60" w:type="dxa"/>
            <w:vAlign w:val="bottom"/>
            <w:gridSpan w:val="3"/>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00" w:type="dxa"/>
            <w:vAlign w:val="bottom"/>
            <w:tcBorders>
              <w:bottom w:val="single" w:sz="8" w:color="0077C0"/>
            </w:tcBorders>
          </w:tcPr>
          <w:p>
            <w:pPr>
              <w:spacing w:after="0"/>
              <w:rPr>
                <w:sz w:val="2"/>
                <w:szCs w:val="2"/>
                <w:color w:val="auto"/>
              </w:rPr>
            </w:pPr>
          </w:p>
        </w:tc>
        <w:tc>
          <w:tcPr>
            <w:tcW w:w="446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1040" w:type="dxa"/>
            <w:vAlign w:val="bottom"/>
            <w:tcBorders>
              <w:bottom w:val="single" w:sz="8" w:color="0077C0"/>
            </w:tcBorders>
          </w:tcPr>
          <w:p>
            <w:pPr>
              <w:spacing w:after="0"/>
              <w:rPr>
                <w:sz w:val="2"/>
                <w:szCs w:val="2"/>
                <w:color w:val="auto"/>
              </w:rPr>
            </w:pPr>
          </w:p>
        </w:tc>
        <w:tc>
          <w:tcPr>
            <w:tcW w:w="48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980" w:type="dxa"/>
            <w:vAlign w:val="bottom"/>
            <w:tcBorders>
              <w:bottom w:val="single" w:sz="8" w:color="0077C0"/>
            </w:tcBorders>
          </w:tcPr>
          <w:p>
            <w:pPr>
              <w:spacing w:after="0"/>
              <w:rPr>
                <w:sz w:val="2"/>
                <w:szCs w:val="2"/>
                <w:color w:val="auto"/>
              </w:rPr>
            </w:pPr>
          </w:p>
        </w:tc>
        <w:tc>
          <w:tcPr>
            <w:tcW w:w="480" w:type="dxa"/>
            <w:vAlign w:val="bottom"/>
            <w:tcBorders>
              <w:bottom w:val="single" w:sz="8" w:color="0077C0"/>
            </w:tcBorders>
          </w:tcPr>
          <w:p>
            <w:pPr>
              <w:spacing w:after="0"/>
              <w:rPr>
                <w:sz w:val="2"/>
                <w:szCs w:val="2"/>
                <w:color w:val="auto"/>
              </w:rPr>
            </w:pPr>
          </w:p>
        </w:tc>
        <w:tc>
          <w:tcPr>
            <w:tcW w:w="82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w:t>
            </w:r>
          </w:p>
        </w:tc>
        <w:tc>
          <w:tcPr>
            <w:tcW w:w="44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Sales and other operating 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(1,871)</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(4,570)</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43"/>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w:t>
            </w:r>
          </w:p>
        </w:tc>
        <w:tc>
          <w:tcPr>
            <w:tcW w:w="4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Purchased crude oil and products</w:t>
            </w:r>
          </w:p>
        </w:tc>
        <w:tc>
          <w:tcPr>
            <w:tcW w:w="3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(84)</w:t>
            </w:r>
          </w:p>
        </w:tc>
        <w:tc>
          <w:tcPr>
            <w:tcW w:w="480" w:type="dxa"/>
            <w:vAlign w:val="bottom"/>
          </w:tcPr>
          <w:p>
            <w:pPr>
              <w:spacing w:after="0"/>
              <w:rPr>
                <w:sz w:val="21"/>
                <w:szCs w:val="21"/>
                <w:color w:val="auto"/>
              </w:rPr>
            </w:pPr>
          </w:p>
        </w:tc>
        <w:tc>
          <w:tcPr>
            <w:tcW w:w="9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4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w:t>
            </w:r>
          </w:p>
        </w:tc>
        <w:tc>
          <w:tcPr>
            <w:tcW w:w="4460" w:type="dxa"/>
            <w:vAlign w:val="bottom"/>
            <w:tcBorders>
              <w:bottom w:val="single" w:sz="8" w:color="0077C0"/>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income (loss)</w:t>
            </w:r>
          </w:p>
        </w:tc>
        <w:tc>
          <w:tcPr>
            <w:tcW w:w="300" w:type="dxa"/>
            <w:vAlign w:val="bottom"/>
            <w:tcBorders>
              <w:bottom w:val="single" w:sz="8" w:color="0077C0"/>
            </w:tcBorders>
            <w:shd w:val="clear" w:color="auto" w:fill="CCEEFF"/>
          </w:tcPr>
          <w:p>
            <w:pPr>
              <w:spacing w:after="0"/>
              <w:rPr>
                <w:sz w:val="21"/>
                <w:szCs w:val="21"/>
                <w:color w:val="auto"/>
              </w:rPr>
            </w:pPr>
          </w:p>
        </w:tc>
        <w:tc>
          <w:tcPr>
            <w:tcW w:w="1040" w:type="dxa"/>
            <w:vAlign w:val="bottom"/>
            <w:tcBorders>
              <w:bottom w:val="single" w:sz="8" w:color="0077C0"/>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(10)</w:t>
            </w:r>
          </w:p>
        </w:tc>
        <w:tc>
          <w:tcPr>
            <w:tcW w:w="480" w:type="dxa"/>
            <w:vAlign w:val="bottom"/>
            <w:tcBorders>
              <w:bottom w:val="single" w:sz="8" w:color="0077C0"/>
            </w:tcBorders>
            <w:shd w:val="clear" w:color="auto" w:fill="CCEEFF"/>
          </w:tcPr>
          <w:p>
            <w:pPr>
              <w:spacing w:after="0"/>
              <w:rPr>
                <w:sz w:val="21"/>
                <w:szCs w:val="21"/>
                <w:color w:val="auto"/>
              </w:rPr>
            </w:pPr>
          </w:p>
        </w:tc>
        <w:tc>
          <w:tcPr>
            <w:tcW w:w="92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Borders>
              <w:bottom w:val="single" w:sz="8" w:color="0077C0"/>
            </w:tcBorders>
            <w:shd w:val="clear" w:color="auto" w:fill="CCEEFF"/>
          </w:tcPr>
          <w:p>
            <w:pPr>
              <w:spacing w:after="0"/>
              <w:rPr>
                <w:sz w:val="21"/>
                <w:szCs w:val="21"/>
                <w:color w:val="auto"/>
              </w:rPr>
            </w:pPr>
          </w:p>
        </w:tc>
        <w:tc>
          <w:tcPr>
            <w:tcW w:w="9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480" w:type="dxa"/>
            <w:vAlign w:val="bottom"/>
            <w:tcBorders>
              <w:bottom w:val="single" w:sz="8" w:color="0077C0"/>
            </w:tcBorders>
            <w:shd w:val="clear" w:color="auto" w:fill="CCEEFF"/>
          </w:tcPr>
          <w:p>
            <w:pPr>
              <w:spacing w:after="0"/>
              <w:rPr>
                <w:sz w:val="21"/>
                <w:szCs w:val="21"/>
                <w:color w:val="auto"/>
              </w:rPr>
            </w:pPr>
          </w:p>
        </w:tc>
        <w:tc>
          <w:tcPr>
            <w:tcW w:w="82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6"/>
        </w:trPr>
        <w:tc>
          <w:tcPr>
            <w:tcW w:w="1400" w:type="dxa"/>
            <w:vAlign w:val="bottom"/>
            <w:tcBorders>
              <w:bottom w:val="single" w:sz="8" w:color="0077C0"/>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60" w:type="dxa"/>
            <w:vAlign w:val="bottom"/>
            <w:tcBorders>
              <w:bottom w:val="single" w:sz="8" w:color="0077C0"/>
            </w:tcBorders>
          </w:tcPr>
          <w:p>
            <w:pPr>
              <w:spacing w:after="0"/>
              <w:rPr>
                <w:sz w:val="20"/>
                <w:szCs w:val="20"/>
                <w:color w:val="auto"/>
              </w:rPr>
            </w:pPr>
          </w:p>
        </w:tc>
        <w:tc>
          <w:tcPr>
            <w:tcW w:w="300" w:type="dxa"/>
            <w:vAlign w:val="bottom"/>
            <w:tcBorders>
              <w:bottom w:val="single" w:sz="8" w:color="0077C0"/>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0077C0"/>
            </w:tcBorders>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(1,965)</w:t>
            </w:r>
          </w:p>
        </w:tc>
        <w:tc>
          <w:tcPr>
            <w:tcW w:w="480" w:type="dxa"/>
            <w:vAlign w:val="bottom"/>
            <w:tcBorders>
              <w:bottom w:val="single" w:sz="8" w:color="0077C0"/>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60" w:type="dxa"/>
            <w:vAlign w:val="bottom"/>
            <w:tcBorders>
              <w:bottom w:val="single" w:sz="8" w:color="0077C0"/>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(4,709)</w:t>
            </w:r>
          </w:p>
        </w:tc>
        <w:tc>
          <w:tcPr>
            <w:tcW w:w="480" w:type="dxa"/>
            <w:vAlign w:val="bottom"/>
            <w:tcBorders>
              <w:bottom w:val="single" w:sz="8" w:color="0077C0"/>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bl>
    <w:p>
      <w:pPr>
        <w:spacing w:after="0" w:line="3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amount reclassified from AOCL to “Sales and other operating revenues” from designated hedges for the first nine months of 2026 was a loss of $14 million compared with a loss of $34 million in the same period of the prior year. At September 30, 2026, before-tax deferred losses in AOCL related to outstanding crude oil price hedging contracts were $47 million, of which all is expected to be reclassified into earnings during the next 12 months as the hedged crude oil sales are recognized in earnings.</w:t>
      </w:r>
    </w:p>
    <w:p>
      <w:pPr>
        <w:spacing w:after="0" w:line="5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following table represents gross and net derivative assets and liabilities subject to netting agreements on the Consolidated Balance Sheet at September 30, 2026, and December 31, 2025.</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 The Effect of Netting Derivative Assets and Liabilities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32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54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1480" w:type="dxa"/>
            <w:vAlign w:val="bottom"/>
            <w:tcBorders>
              <w:bottom w:val="single" w:sz="8" w:color="0077C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320" w:type="dxa"/>
            <w:vAlign w:val="bottom"/>
            <w:tcBorders>
              <w:bottom w:val="single" w:sz="8" w:color="0077C0"/>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8"/>
              </w:rPr>
              <w:t>Offset</w:t>
            </w:r>
          </w:p>
        </w:tc>
        <w:tc>
          <w:tcPr>
            <w:tcW w:w="1540" w:type="dxa"/>
            <w:vAlign w:val="bottom"/>
            <w:tcBorders>
              <w:bottom w:val="single" w:sz="8" w:color="0077C0"/>
            </w:tcBorders>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Presented</w:t>
            </w:r>
          </w:p>
        </w:tc>
        <w:tc>
          <w:tcPr>
            <w:tcW w:w="1420" w:type="dxa"/>
            <w:vAlign w:val="bottom"/>
            <w:tcBorders>
              <w:bottom w:val="single" w:sz="8" w:color="0077C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 Offset</w:t>
            </w:r>
          </w:p>
        </w:tc>
        <w:tc>
          <w:tcPr>
            <w:tcW w:w="1240" w:type="dxa"/>
            <w:vAlign w:val="bottom"/>
            <w:tcBorders>
              <w:bottom w:val="single" w:sz="8" w:color="0077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At September 30, 2026</w:t>
            </w:r>
          </w:p>
        </w:tc>
        <w:tc>
          <w:tcPr>
            <w:tcW w:w="1320" w:type="dxa"/>
            <w:vAlign w:val="bottom"/>
          </w:tcPr>
          <w:p>
            <w:pPr>
              <w:spacing w:after="0"/>
              <w:rPr>
                <w:sz w:val="16"/>
                <w:szCs w:val="16"/>
                <w:color w:val="auto"/>
              </w:rPr>
            </w:pPr>
          </w:p>
        </w:tc>
        <w:tc>
          <w:tcPr>
            <w:tcW w:w="15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3460" w:type="dxa"/>
            <w:vAlign w:val="bottom"/>
            <w:tcBorders>
              <w:top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 - not designated</w:t>
            </w:r>
          </w:p>
        </w:tc>
        <w:tc>
          <w:tcPr>
            <w:tcW w:w="1260" w:type="dxa"/>
            <w:vAlign w:val="bottom"/>
            <w:tcBorders>
              <w:top w:val="single" w:sz="8" w:color="0077C0"/>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0077C0"/>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1,317</w:t>
            </w:r>
          </w:p>
        </w:tc>
        <w:tc>
          <w:tcPr>
            <w:tcW w:w="580" w:type="dxa"/>
            <w:vAlign w:val="bottom"/>
            <w:tcBorders>
              <w:top w:val="single" w:sz="8" w:color="0077C0"/>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0077C0"/>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1,306</w:t>
            </w:r>
          </w:p>
        </w:tc>
        <w:tc>
          <w:tcPr>
            <w:tcW w:w="600" w:type="dxa"/>
            <w:vAlign w:val="bottom"/>
            <w:tcBorders>
              <w:top w:val="single" w:sz="8" w:color="0077C0"/>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0077C0"/>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w:t>
            </w:r>
          </w:p>
        </w:tc>
        <w:tc>
          <w:tcPr>
            <w:tcW w:w="620" w:type="dxa"/>
            <w:vAlign w:val="bottom"/>
            <w:tcBorders>
              <w:top w:val="single" w:sz="8" w:color="0077C0"/>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0077C0"/>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0077C0"/>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 - designated</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 - not designated</w:t>
            </w:r>
          </w:p>
        </w:tc>
        <w:tc>
          <w:tcPr>
            <w:tcW w:w="12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1,406</w:t>
            </w:r>
          </w:p>
        </w:tc>
        <w:tc>
          <w:tcPr>
            <w:tcW w:w="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1,306</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w:t>
            </w:r>
          </w:p>
        </w:tc>
        <w:tc>
          <w:tcPr>
            <w:tcW w:w="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 - designated</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21"/>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At December 31, 2025</w:t>
            </w:r>
          </w:p>
        </w:tc>
        <w:tc>
          <w:tcPr>
            <w:tcW w:w="1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r>
      <w:tr>
        <w:trPr>
          <w:trHeight w:val="237"/>
        </w:trPr>
        <w:tc>
          <w:tcPr>
            <w:tcW w:w="3460" w:type="dxa"/>
            <w:vAlign w:val="bottom"/>
            <w:tcBorders>
              <w:top w:val="single" w:sz="8" w:color="0077C0"/>
            </w:tcBorders>
          </w:tcPr>
          <w:p>
            <w:pPr>
              <w:ind w:left="20"/>
              <w:spacing w:after="0"/>
              <w:rPr>
                <w:sz w:val="20"/>
                <w:szCs w:val="20"/>
                <w:color w:val="auto"/>
              </w:rPr>
            </w:pPr>
            <w:r>
              <w:rPr>
                <w:rFonts w:ascii="Times New Roman" w:cs="Times New Roman" w:eastAsia="Times New Roman" w:hAnsi="Times New Roman"/>
                <w:sz w:val="18"/>
                <w:szCs w:val="18"/>
                <w:color w:val="auto"/>
              </w:rPr>
              <w:t>Derivative Assets - not designated</w:t>
            </w:r>
          </w:p>
        </w:tc>
        <w:tc>
          <w:tcPr>
            <w:tcW w:w="1260" w:type="dxa"/>
            <w:vAlign w:val="bottom"/>
            <w:tcBorders>
              <w:top w:val="single" w:sz="8" w:color="0077C0"/>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0077C0"/>
            </w:tcBorders>
          </w:tcPr>
          <w:p>
            <w:pPr>
              <w:jc w:val="right"/>
              <w:ind w:right="30"/>
              <w:spacing w:after="0"/>
              <w:rPr>
                <w:sz w:val="20"/>
                <w:szCs w:val="20"/>
                <w:color w:val="auto"/>
              </w:rPr>
            </w:pPr>
            <w:r>
              <w:rPr>
                <w:rFonts w:ascii="Times New Roman" w:cs="Times New Roman" w:eastAsia="Times New Roman" w:hAnsi="Times New Roman"/>
                <w:sz w:val="18"/>
                <w:szCs w:val="18"/>
                <w:color w:val="auto"/>
              </w:rPr>
              <w:t>2,525</w:t>
            </w:r>
          </w:p>
        </w:tc>
        <w:tc>
          <w:tcPr>
            <w:tcW w:w="580" w:type="dxa"/>
            <w:vAlign w:val="bottom"/>
            <w:tcBorders>
              <w:top w:val="single" w:sz="8" w:color="0077C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0077C0"/>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2,271</w:t>
            </w:r>
          </w:p>
        </w:tc>
        <w:tc>
          <w:tcPr>
            <w:tcW w:w="600" w:type="dxa"/>
            <w:vAlign w:val="bottom"/>
            <w:tcBorders>
              <w:top w:val="single" w:sz="8" w:color="0077C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0077C0"/>
            </w:tcBorders>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c>
          <w:tcPr>
            <w:tcW w:w="620" w:type="dxa"/>
            <w:vAlign w:val="bottom"/>
            <w:tcBorders>
              <w:top w:val="single" w:sz="8" w:color="0077C0"/>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0077C0"/>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Borders>
              <w:top w:val="single" w:sz="8" w:color="0077C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4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 - designated</w:t>
            </w:r>
          </w:p>
        </w:tc>
        <w:tc>
          <w:tcPr>
            <w:tcW w:w="12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 - not designated</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2,339</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2,271</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346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 - designated</w:t>
            </w:r>
          </w:p>
        </w:tc>
        <w:tc>
          <w:tcPr>
            <w:tcW w:w="1260" w:type="dxa"/>
            <w:vAlign w:val="bottom"/>
            <w:tcBorders>
              <w:bottom w:val="single" w:sz="8" w:color="0077C0"/>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077C0"/>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Borders>
              <w:bottom w:val="single" w:sz="8" w:color="0077C0"/>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077C0"/>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tcBorders>
              <w:bottom w:val="single" w:sz="8" w:color="0077C0"/>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0077C0"/>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0077C0"/>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0077C0"/>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0077C0"/>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5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Derivative assets and liabilities are classified on the Consolidated Balance Sheet as “Accounts and notes receivable”, “Long-term receivables”, “Accounts payable”, and “Deferred credits and other noncurrent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obligations.” Gross Amounts Not Offset in the table above represent derivative mark-to-market positions that do not meet all the conditions for “a right of offset.”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2026, the company had posted $42 million of cash collateral under master netting arrangements not offset against the derivatives on the Consolidated Balance Sheet, primarily related to initial margin requirements. The respective balance at December 31, 2025, was approximately zero.</w:t>
      </w:r>
    </w:p>
    <w:p>
      <w:pPr>
        <w:spacing w:after="0" w:line="5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company’s net short position in outstanding commodity derivative contracts was approximately 20 million and 29 million barrels of oil-equivalent at September 30, 2026, and December 31, 2025, respectively, primarily to manage certain price risks related to physical shipments of crude oil and refined products.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Revenue</w:t>
      </w:r>
    </w:p>
    <w:p>
      <w:pPr>
        <w:spacing w:after="0" w:line="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“Sales and other operating revenues” on the Consolidated Statement of Income primarily arise from contracts with customers. Related receivables are included in “Accounts and notes receivable” on the Consolidated Balance Sheet, net of the current expected credit losses. The net balance of these receivables was $18.7 billion and $12.3 billion at September 30, 2026, and December 31, 2025, respectively. Other items included in “Accounts and notes receivable” represent amounts due from partners for their share of joint venture operating and project costs and amounts due from others, primarily related to derivatives, leases, buy/sell arrangements, and product exchanges, which are accounted for outside the scope of Accounting Standards Codification (ASC) 606</w:t>
      </w:r>
      <w:r>
        <w:rPr>
          <w:rFonts w:ascii="Times New Roman" w:cs="Times New Roman" w:eastAsia="Times New Roman" w:hAnsi="Times New Roman"/>
          <w:sz w:val="18"/>
          <w:szCs w:val="18"/>
          <w:i w:val="1"/>
          <w:iCs w:val="1"/>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Financial Instruments - Credit Losses</w:t>
      </w:r>
    </w:p>
    <w:p>
      <w:pPr>
        <w:spacing w:after="0" w:line="10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Chevron’s expected credit loss allowance balance was $400 million and $392 million at September 30, 2026, and December 31, 2025, respectively, with a majority of the allowance relating to non-trade receivable balances.</w:t>
      </w:r>
    </w:p>
    <w:p>
      <w:pPr>
        <w:spacing w:after="0" w:line="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the company’s receivable balance is concentrated in trade receivables, with a balance of $23.4 billion at September 30, 2026, which reflects the company’s diversified sources of revenues and is dispersed across the company’s broad worldwide customer base. As a result, the company believes the concentration of credit risk is limited. The company routinely assesses the financial strength of its customers. When the financial strength of a customer is not considered sufficient, alternative risk mitigation measures may be deployed, including requiring prepayments, letters of credit or other acceptable forms of collateral. Once credit is extended and a receivable balance exists, the company applies a quantitative calculation to current trade receivable balances that reflects credit risk predictive analysis, including probability of default and loss given default, which takes into consideration current and forward-looking market data as well as the company’s historical loss data. This statistical approach becomes the basis of the company’s expected credit loss allowance for current trade receivables with payment terms that are typically short-term in nature, with most due in less than 90 days.</w:t>
      </w:r>
    </w:p>
    <w:p>
      <w:pPr>
        <w:spacing w:after="0" w:line="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Chevron’s non-trade receivable balance was $4.0 billion at September 30, 2026, which includes receivables from certain governments in their capacity as joint venture partners. Joint venture partner balances that are paid per contract terms or are not yet due are subject to the statistical analysis described above, while past due balances are subject to additional qualitative management quarterly review. This management review includes review of reasonable and supportable repayment forecasts. Non-trade receivables also include employee and tax receivables that are deemed immaterial and low risk. Loans to equity affiliates and non-equity investees are also considered non-trade and associated allowances of $69 million and $83 million at September 30, 2026 and December 31, 2025, respectively, are included within “Investments and advances”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Restructuring and Reorganization Costs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accrued severance liability on the Consolidated Balance Sheet, which is expected to be substantially settled by the end of 2026.</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2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Amounts Before Tax</w:t>
            </w:r>
          </w:p>
        </w:tc>
      </w:tr>
      <w:tr>
        <w:trPr>
          <w:trHeight w:val="23"/>
        </w:trPr>
        <w:tc>
          <w:tcPr>
            <w:tcW w:w="8500" w:type="dxa"/>
            <w:vAlign w:val="bottom"/>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2320" w:type="dxa"/>
            <w:vAlign w:val="bottom"/>
            <w:tcBorders>
              <w:bottom w:val="single" w:sz="8" w:color="0077C0"/>
            </w:tcBorders>
          </w:tcPr>
          <w:p>
            <w:pPr>
              <w:spacing w:after="0"/>
              <w:rPr>
                <w:sz w:val="2"/>
                <w:szCs w:val="2"/>
                <w:color w:val="auto"/>
              </w:rPr>
            </w:pPr>
          </w:p>
        </w:tc>
      </w:tr>
      <w:tr>
        <w:trPr>
          <w:trHeight w:val="186"/>
        </w:trPr>
        <w:tc>
          <w:tcPr>
            <w:tcW w:w="8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20" w:type="dxa"/>
            <w:vAlign w:val="bottom"/>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(Millions of dollars)</w:t>
            </w:r>
          </w:p>
        </w:tc>
      </w:tr>
      <w:tr>
        <w:trPr>
          <w:trHeight w:val="23"/>
        </w:trPr>
        <w:tc>
          <w:tcPr>
            <w:tcW w:w="8500" w:type="dxa"/>
            <w:vAlign w:val="bottom"/>
            <w:tcBorders>
              <w:bottom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2320" w:type="dxa"/>
            <w:vAlign w:val="bottom"/>
            <w:tcBorders>
              <w:bottom w:val="single" w:sz="8" w:color="0077C0"/>
            </w:tcBorders>
          </w:tcPr>
          <w:p>
            <w:pPr>
              <w:spacing w:after="0"/>
              <w:rPr>
                <w:sz w:val="2"/>
                <w:szCs w:val="2"/>
                <w:color w:val="auto"/>
              </w:rPr>
            </w:pPr>
          </w:p>
        </w:tc>
      </w:tr>
      <w:tr>
        <w:trPr>
          <w:trHeight w:val="23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4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Accruals/Adjustments</w:t>
            </w:r>
          </w:p>
        </w:tc>
        <w:tc>
          <w:tcPr>
            <w:tcW w:w="42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850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420" w:type="dxa"/>
            <w:vAlign w:val="bottom"/>
            <w:tcBorders>
              <w:bottom w:val="single" w:sz="8" w:color="0077C0"/>
            </w:tcBorders>
            <w:shd w:val="clear" w:color="auto" w:fill="CCEEFF"/>
          </w:tcPr>
          <w:p>
            <w:pPr>
              <w:spacing w:after="0"/>
              <w:rPr>
                <w:sz w:val="21"/>
                <w:szCs w:val="21"/>
                <w:color w:val="auto"/>
              </w:rPr>
            </w:pPr>
          </w:p>
        </w:tc>
        <w:tc>
          <w:tcPr>
            <w:tcW w:w="232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37"/>
        </w:trPr>
        <w:tc>
          <w:tcPr>
            <w:tcW w:w="85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420" w:type="dxa"/>
            <w:vAlign w:val="bottom"/>
            <w:tcBorders>
              <w:bottom w:val="single" w:sz="8" w:color="0077C0"/>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3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Acquisition of Hess Corporation</w:t>
      </w:r>
    </w:p>
    <w:p>
      <w:pPr>
        <w:spacing w:after="0" w:line="1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July 18, 2025, the company acquired Hess Corporation (Hess), an independent oil and gas exploration and production company. Hess’s principal upstream operations are in the United States, Guyana and Malaysia. Hess’s operations also include an approximate 38 percent ownership interest in Hess Midstream LP, with operations primarily in the Bakken shale in the Williston Basin area of North Dakota.</w:t>
      </w:r>
    </w:p>
    <w:p>
      <w:pPr>
        <w:spacing w:after="0" w:line="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aggregate purchase price of Hess was approximately $48 billion, including 15.38 million shares of Hess common stock purchased in open market transactions in the first quarter of 2025 and 301.25 million shares of Chevron common stock issued as closing consideration in July. As part of the transaction, the company assumed debt with an aggregate outstanding principal value of $8.8 billion. The shares issued represented approximately 15 percent of the shares of Chevron common stock outstanding immediately after the transaction closed on July 18, 2025.</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under ASC 805, which requires assets acquired and liabilities assumed to be measured at their acquisition date fair value. Oil and gas properties were valued using a discounted cash flow approach that incorporated internally generated price assumptions and production profiles together with appropriate operating cost and development cost assumptions. Debt assumed in the acquisition was valued based on observable market prices for Hess’s debt. As a result of measuring the assets acquired and the liabilities assumed at fair value, there was no goodwill or bargain purchase recognized.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At July 18, 2025</w:t>
            </w:r>
          </w:p>
        </w:tc>
      </w:tr>
      <w:tr>
        <w:trPr>
          <w:trHeight w:val="23"/>
        </w:trPr>
        <w:tc>
          <w:tcPr>
            <w:tcW w:w="9320" w:type="dxa"/>
            <w:vAlign w:val="bottom"/>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1500" w:type="dxa"/>
            <w:vAlign w:val="bottom"/>
            <w:tcBorders>
              <w:bottom w:val="single" w:sz="8" w:color="0077C0"/>
            </w:tcBorders>
          </w:tcPr>
          <w:p>
            <w:pPr>
              <w:spacing w:after="0"/>
              <w:rPr>
                <w:sz w:val="2"/>
                <w:szCs w:val="2"/>
                <w:color w:val="auto"/>
              </w:rPr>
            </w:pPr>
          </w:p>
        </w:tc>
      </w:tr>
      <w:tr>
        <w:trPr>
          <w:trHeight w:val="186"/>
        </w:trPr>
        <w:tc>
          <w:tcPr>
            <w:tcW w:w="9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(Billions of dollars)</w:t>
            </w:r>
          </w:p>
        </w:tc>
      </w:tr>
      <w:tr>
        <w:trPr>
          <w:trHeight w:val="23"/>
        </w:trPr>
        <w:tc>
          <w:tcPr>
            <w:tcW w:w="9320" w:type="dxa"/>
            <w:vAlign w:val="bottom"/>
            <w:tcBorders>
              <w:bottom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1500" w:type="dxa"/>
            <w:vAlign w:val="bottom"/>
            <w:tcBorders>
              <w:bottom w:val="single" w:sz="8" w:color="0077C0"/>
            </w:tcBorders>
          </w:tcPr>
          <w:p>
            <w:pPr>
              <w:spacing w:after="0"/>
              <w:rPr>
                <w:sz w:val="2"/>
                <w:szCs w:val="2"/>
                <w:color w:val="auto"/>
              </w:rPr>
            </w:pPr>
          </w:p>
        </w:tc>
      </w:tr>
      <w:tr>
        <w:trPr>
          <w:trHeight w:val="237"/>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Properties, plant and equipment</w:t>
            </w:r>
          </w:p>
        </w:tc>
        <w:tc>
          <w:tcPr>
            <w:tcW w:w="4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43"/>
        </w:trPr>
        <w:tc>
          <w:tcPr>
            <w:tcW w:w="932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tcBorders>
              <w:bottom w:val="single" w:sz="8" w:color="0077C0"/>
            </w:tcBorders>
            <w:shd w:val="clear" w:color="auto" w:fill="CCEEFF"/>
          </w:tcPr>
          <w:p>
            <w:pPr>
              <w:spacing w:after="0"/>
              <w:rPr>
                <w:sz w:val="21"/>
                <w:szCs w:val="21"/>
                <w:color w:val="auto"/>
              </w:rPr>
            </w:pPr>
          </w:p>
        </w:tc>
        <w:tc>
          <w:tcPr>
            <w:tcW w:w="15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6"/>
        </w:trPr>
        <w:tc>
          <w:tcPr>
            <w:tcW w:w="9320" w:type="dxa"/>
            <w:vAlign w:val="bottom"/>
            <w:tcBorders>
              <w:bottom w:val="single" w:sz="8" w:color="0077C0"/>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420" w:type="dxa"/>
            <w:vAlign w:val="bottom"/>
            <w:tcBorders>
              <w:bottom w:val="single" w:sz="8" w:color="0077C0"/>
            </w:tcBorders>
          </w:tcPr>
          <w:p>
            <w:pPr>
              <w:spacing w:after="0"/>
              <w:rPr>
                <w:sz w:val="20"/>
                <w:szCs w:val="20"/>
                <w:color w:val="auto"/>
              </w:rPr>
            </w:pPr>
          </w:p>
        </w:tc>
        <w:tc>
          <w:tcPr>
            <w:tcW w:w="15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79.5</w:t>
            </w:r>
          </w:p>
        </w:tc>
      </w:tr>
      <w:tr>
        <w:trPr>
          <w:trHeight w:val="237"/>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93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3"/>
                <w:szCs w:val="23"/>
                <w:color w:val="auto"/>
                <w:vertAlign w:val="superscript"/>
              </w:rPr>
              <w:t>(1)</w:t>
            </w:r>
          </w:p>
        </w:tc>
        <w:tc>
          <w:tcPr>
            <w:tcW w:w="4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3"/>
        </w:trPr>
        <w:tc>
          <w:tcPr>
            <w:tcW w:w="93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20" w:type="dxa"/>
            <w:vAlign w:val="bottom"/>
            <w:tcBorders>
              <w:bottom w:val="single" w:sz="8" w:color="0077C0"/>
            </w:tcBorders>
          </w:tcPr>
          <w:p>
            <w:pPr>
              <w:spacing w:after="0"/>
              <w:rPr>
                <w:sz w:val="21"/>
                <w:szCs w:val="21"/>
                <w:color w:val="auto"/>
              </w:rPr>
            </w:pPr>
          </w:p>
        </w:tc>
        <w:tc>
          <w:tcPr>
            <w:tcW w:w="15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6"/>
        </w:trPr>
        <w:tc>
          <w:tcPr>
            <w:tcW w:w="9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4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r>
      <w:tr>
        <w:trPr>
          <w:trHeight w:val="243"/>
        </w:trPr>
        <w:tc>
          <w:tcPr>
            <w:tcW w:w="9320" w:type="dxa"/>
            <w:vAlign w:val="bottom"/>
            <w:tcBorders>
              <w:bottom w:val="single" w:sz="8" w:color="0077C0"/>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Noncontrolling interest</w:t>
            </w:r>
            <w:r>
              <w:rPr>
                <w:rFonts w:ascii="Times New Roman" w:cs="Times New Roman" w:eastAsia="Times New Roman" w:hAnsi="Times New Roman"/>
                <w:sz w:val="23"/>
                <w:szCs w:val="23"/>
                <w:color w:val="auto"/>
                <w:vertAlign w:val="superscript"/>
              </w:rPr>
              <w:t>(2)</w:t>
            </w:r>
          </w:p>
        </w:tc>
        <w:tc>
          <w:tcPr>
            <w:tcW w:w="420" w:type="dxa"/>
            <w:vAlign w:val="bottom"/>
            <w:tcBorders>
              <w:bottom w:val="single" w:sz="8" w:color="0077C0"/>
            </w:tcBorders>
          </w:tcPr>
          <w:p>
            <w:pPr>
              <w:spacing w:after="0"/>
              <w:rPr>
                <w:sz w:val="21"/>
                <w:szCs w:val="21"/>
                <w:color w:val="auto"/>
              </w:rPr>
            </w:pPr>
          </w:p>
        </w:tc>
        <w:tc>
          <w:tcPr>
            <w:tcW w:w="15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7"/>
        </w:trPr>
        <w:tc>
          <w:tcPr>
            <w:tcW w:w="9320" w:type="dxa"/>
            <w:vAlign w:val="bottom"/>
            <w:tcBorders>
              <w:bottom w:val="single" w:sz="8" w:color="0077C0"/>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Net assets acquired / purchase price</w:t>
            </w:r>
          </w:p>
        </w:tc>
        <w:tc>
          <w:tcPr>
            <w:tcW w:w="420" w:type="dxa"/>
            <w:vAlign w:val="bottom"/>
            <w:tcBorders>
              <w:bottom w:val="single" w:sz="8" w:color="0077C0"/>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w:t>
            </w:r>
          </w:p>
        </w:tc>
      </w:tr>
    </w:tbl>
    <w:p>
      <w:pPr>
        <w:spacing w:after="0" w:line="136" w:lineRule="exact"/>
        <w:rPr>
          <w:sz w:val="20"/>
          <w:szCs w:val="20"/>
          <w:color w:val="auto"/>
        </w:rPr>
      </w:pPr>
    </w:p>
    <w:p>
      <w:pPr>
        <w:ind w:left="160" w:hanging="152"/>
        <w:spacing w:after="0"/>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finance leases</w:t>
      </w:r>
    </w:p>
    <w:p>
      <w:pPr>
        <w:spacing w:after="0" w:line="30" w:lineRule="exact"/>
        <w:rPr>
          <w:rFonts w:ascii="Times New Roman" w:cs="Times New Roman" w:eastAsia="Times New Roman" w:hAnsi="Times New Roman"/>
          <w:sz w:val="19"/>
          <w:szCs w:val="19"/>
          <w:color w:val="auto"/>
          <w:vertAlign w:val="superscript"/>
        </w:rPr>
      </w:pPr>
    </w:p>
    <w:p>
      <w:pPr>
        <w:ind w:left="160" w:hanging="152"/>
        <w:spacing w:after="0" w:line="189" w:lineRule="auto"/>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Related to Hess Midstream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80" w:type="dxa"/>
            <w:vAlign w:val="bottom"/>
          </w:tcPr>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5"/>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The long-term debt assumed in the transaction is detailed in the table below:</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9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23"/>
        </w:trPr>
        <w:tc>
          <w:tcPr>
            <w:tcW w:w="9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Hess Corporation</w:t>
            </w:r>
          </w:p>
        </w:tc>
        <w:tc>
          <w:tcPr>
            <w:tcW w:w="300" w:type="dxa"/>
            <w:vAlign w:val="bottom"/>
            <w:tcBorders>
              <w:bottom w:val="single" w:sz="8" w:color="0077C0"/>
            </w:tcBorders>
          </w:tcPr>
          <w:p>
            <w:pPr>
              <w:spacing w:after="0"/>
              <w:rPr>
                <w:sz w:val="2"/>
                <w:szCs w:val="2"/>
                <w:color w:val="auto"/>
              </w:rPr>
            </w:pPr>
          </w:p>
        </w:tc>
        <w:tc>
          <w:tcPr>
            <w:tcW w:w="18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080" w:type="dxa"/>
            <w:vAlign w:val="bottom"/>
            <w:tcBorders>
              <w:bottom w:val="single" w:sz="8" w:color="0077C0"/>
            </w:tcBorders>
            <w:vMerge w:val="continue"/>
          </w:tcPr>
          <w:p>
            <w:pPr>
              <w:spacing w:after="0"/>
              <w:rPr>
                <w:sz w:val="19"/>
                <w:szCs w:val="19"/>
                <w:color w:val="auto"/>
              </w:rPr>
            </w:pPr>
          </w:p>
        </w:tc>
        <w:tc>
          <w:tcPr>
            <w:tcW w:w="300" w:type="dxa"/>
            <w:vAlign w:val="bottom"/>
            <w:tcBorders>
              <w:bottom w:val="single" w:sz="8" w:color="0077C0"/>
            </w:tcBorders>
          </w:tcPr>
          <w:p>
            <w:pPr>
              <w:spacing w:after="0"/>
              <w:rPr>
                <w:sz w:val="19"/>
                <w:szCs w:val="19"/>
                <w:color w:val="auto"/>
              </w:rPr>
            </w:pPr>
          </w:p>
        </w:tc>
        <w:tc>
          <w:tcPr>
            <w:tcW w:w="1860" w:type="dxa"/>
            <w:vAlign w:val="bottom"/>
            <w:tcBorders>
              <w:bottom w:val="single" w:sz="8" w:color="0077C0"/>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0" w:type="dxa"/>
            <w:vAlign w:val="bottom"/>
          </w:tcPr>
          <w:p>
            <w:pPr>
              <w:spacing w:after="0"/>
              <w:rPr>
                <w:sz w:val="1"/>
                <w:szCs w:val="1"/>
                <w:color w:val="auto"/>
              </w:rPr>
            </w:pPr>
          </w:p>
        </w:tc>
      </w:tr>
      <w:tr>
        <w:trPr>
          <w:trHeight w:val="237"/>
        </w:trPr>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4.300% due 2027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7.875% due 2029</w:t>
            </w: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43"/>
        </w:trPr>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7.300% due 2031</w:t>
            </w:r>
          </w:p>
        </w:tc>
        <w:tc>
          <w:tcPr>
            <w:tcW w:w="30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43"/>
        </w:trPr>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7.125% due 2033</w:t>
            </w: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43"/>
        </w:trPr>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6.000% due 2040</w:t>
            </w:r>
          </w:p>
        </w:tc>
        <w:tc>
          <w:tcPr>
            <w:tcW w:w="30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43"/>
        </w:trPr>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5.600% due 2041</w:t>
            </w: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43"/>
        </w:trPr>
        <w:tc>
          <w:tcPr>
            <w:tcW w:w="9080" w:type="dxa"/>
            <w:vAlign w:val="bottom"/>
            <w:tcBorders>
              <w:bottom w:val="single" w:sz="8" w:color="0077C0"/>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5.800% due 2047</w:t>
            </w:r>
          </w:p>
        </w:tc>
        <w:tc>
          <w:tcPr>
            <w:tcW w:w="300" w:type="dxa"/>
            <w:vAlign w:val="bottom"/>
            <w:tcBorders>
              <w:bottom w:val="single" w:sz="8" w:color="0077C0"/>
            </w:tcBorders>
            <w:shd w:val="clear" w:color="auto" w:fill="CCEEFF"/>
          </w:tcPr>
          <w:p>
            <w:pPr>
              <w:spacing w:after="0"/>
              <w:rPr>
                <w:sz w:val="21"/>
                <w:szCs w:val="21"/>
                <w:color w:val="auto"/>
              </w:rPr>
            </w:pPr>
          </w:p>
        </w:tc>
        <w:tc>
          <w:tcPr>
            <w:tcW w:w="186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7"/>
        </w:trPr>
        <w:tc>
          <w:tcPr>
            <w:tcW w:w="9080" w:type="dxa"/>
            <w:vAlign w:val="bottom"/>
            <w:tcBorders>
              <w:bottom w:val="single" w:sz="8" w:color="0077C0"/>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Hess Corporation Debt</w:t>
            </w:r>
          </w:p>
        </w:tc>
        <w:tc>
          <w:tcPr>
            <w:tcW w:w="300" w:type="dxa"/>
            <w:vAlign w:val="bottom"/>
            <w:tcBorders>
              <w:bottom w:val="single" w:sz="8" w:color="0077C0"/>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5,138</w:t>
            </w:r>
          </w:p>
        </w:tc>
        <w:tc>
          <w:tcPr>
            <w:tcW w:w="0" w:type="dxa"/>
            <w:vAlign w:val="bottom"/>
          </w:tcPr>
          <w:p>
            <w:pPr>
              <w:spacing w:after="0"/>
              <w:rPr>
                <w:sz w:val="1"/>
                <w:szCs w:val="1"/>
                <w:color w:val="auto"/>
              </w:rPr>
            </w:pPr>
          </w:p>
        </w:tc>
      </w:tr>
      <w:tr>
        <w:trPr>
          <w:trHeight w:val="128"/>
        </w:trPr>
        <w:tc>
          <w:tcPr>
            <w:tcW w:w="90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90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Hess Midstream Operations LP</w:t>
            </w:r>
          </w:p>
        </w:tc>
        <w:tc>
          <w:tcPr>
            <w:tcW w:w="300" w:type="dxa"/>
            <w:vAlign w:val="bottom"/>
            <w:tcBorders>
              <w:bottom w:val="single" w:sz="8" w:color="0077C0"/>
            </w:tcBorders>
          </w:tcPr>
          <w:p>
            <w:pPr>
              <w:spacing w:after="0"/>
              <w:rPr>
                <w:sz w:val="21"/>
                <w:szCs w:val="21"/>
                <w:color w:val="auto"/>
              </w:rPr>
            </w:pPr>
          </w:p>
        </w:tc>
        <w:tc>
          <w:tcPr>
            <w:tcW w:w="1860" w:type="dxa"/>
            <w:vAlign w:val="bottom"/>
            <w:tcBorders>
              <w:bottom w:val="single" w:sz="8" w:color="0077C0"/>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5.125% due 2028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43"/>
        </w:trPr>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5.875% due 2028</w:t>
            </w: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43"/>
        </w:trPr>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6.500% due 2029</w:t>
            </w:r>
          </w:p>
        </w:tc>
        <w:tc>
          <w:tcPr>
            <w:tcW w:w="30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43"/>
        </w:trPr>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4.250% due 2030</w:t>
            </w: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43"/>
        </w:trPr>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5.500% due 2030</w:t>
            </w:r>
          </w:p>
        </w:tc>
        <w:tc>
          <w:tcPr>
            <w:tcW w:w="30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43"/>
        </w:trPr>
        <w:tc>
          <w:tcPr>
            <w:tcW w:w="9080" w:type="dxa"/>
            <w:vAlign w:val="bottom"/>
            <w:tcBorders>
              <w:bottom w:val="single" w:sz="8" w:color="0077C0"/>
            </w:tcBorders>
          </w:tcPr>
          <w:p>
            <w:pPr>
              <w:ind w:left="220"/>
              <w:spacing w:after="0"/>
              <w:rPr>
                <w:sz w:val="20"/>
                <w:szCs w:val="20"/>
                <w:color w:val="auto"/>
              </w:rPr>
            </w:pPr>
            <w:r>
              <w:rPr>
                <w:rFonts w:ascii="Times New Roman" w:cs="Times New Roman" w:eastAsia="Times New Roman" w:hAnsi="Times New Roman"/>
                <w:sz w:val="18"/>
                <w:szCs w:val="18"/>
                <w:color w:val="auto"/>
              </w:rPr>
              <w:t>Term loan and credit facility borrowings</w:t>
            </w:r>
          </w:p>
        </w:tc>
        <w:tc>
          <w:tcPr>
            <w:tcW w:w="300" w:type="dxa"/>
            <w:vAlign w:val="bottom"/>
            <w:tcBorders>
              <w:bottom w:val="single" w:sz="8" w:color="0077C0"/>
            </w:tcBorders>
          </w:tcPr>
          <w:p>
            <w:pPr>
              <w:spacing w:after="0"/>
              <w:rPr>
                <w:sz w:val="21"/>
                <w:szCs w:val="21"/>
                <w:color w:val="auto"/>
              </w:rPr>
            </w:pPr>
          </w:p>
        </w:tc>
        <w:tc>
          <w:tcPr>
            <w:tcW w:w="18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37"/>
        </w:trPr>
        <w:tc>
          <w:tcPr>
            <w:tcW w:w="9080" w:type="dxa"/>
            <w:vAlign w:val="bottom"/>
            <w:tcBorders>
              <w:bottom w:val="single" w:sz="8" w:color="0077C0"/>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Hess Midstream Operations LP Debt</w:t>
            </w:r>
          </w:p>
        </w:tc>
        <w:tc>
          <w:tcPr>
            <w:tcW w:w="300" w:type="dxa"/>
            <w:vAlign w:val="bottom"/>
            <w:tcBorders>
              <w:bottom w:val="single" w:sz="8" w:color="0077C0"/>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3,746</w:t>
            </w:r>
          </w:p>
        </w:tc>
        <w:tc>
          <w:tcPr>
            <w:tcW w:w="0" w:type="dxa"/>
            <w:vAlign w:val="bottom"/>
          </w:tcPr>
          <w:p>
            <w:pPr>
              <w:spacing w:after="0"/>
              <w:rPr>
                <w:sz w:val="1"/>
                <w:szCs w:val="1"/>
                <w:color w:val="auto"/>
              </w:rPr>
            </w:pPr>
          </w:p>
        </w:tc>
      </w:tr>
      <w:tr>
        <w:trPr>
          <w:trHeight w:val="88"/>
        </w:trPr>
        <w:tc>
          <w:tcPr>
            <w:tcW w:w="90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908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discounts and debt issuance costs</w:t>
            </w:r>
          </w:p>
        </w:tc>
        <w:tc>
          <w:tcPr>
            <w:tcW w:w="300" w:type="dxa"/>
            <w:vAlign w:val="bottom"/>
            <w:tcBorders>
              <w:bottom w:val="single" w:sz="8" w:color="0077C0"/>
            </w:tcBorders>
            <w:shd w:val="clear" w:color="auto" w:fill="CCEEFF"/>
          </w:tcPr>
          <w:p>
            <w:pPr>
              <w:spacing w:after="0"/>
              <w:rPr>
                <w:sz w:val="21"/>
                <w:szCs w:val="21"/>
                <w:color w:val="auto"/>
              </w:rPr>
            </w:pPr>
          </w:p>
        </w:tc>
        <w:tc>
          <w:tcPr>
            <w:tcW w:w="186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7"/>
        </w:trPr>
        <w:tc>
          <w:tcPr>
            <w:tcW w:w="9080" w:type="dxa"/>
            <w:vAlign w:val="bottom"/>
            <w:tcBorders>
              <w:bottom w:val="single" w:sz="8" w:color="0077C0"/>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Long-Term Debt Assumed</w:t>
            </w:r>
          </w:p>
        </w:tc>
        <w:tc>
          <w:tcPr>
            <w:tcW w:w="300" w:type="dxa"/>
            <w:vAlign w:val="bottom"/>
            <w:tcBorders>
              <w:bottom w:val="single" w:sz="8" w:color="0077C0"/>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8,823</w:t>
            </w:r>
          </w:p>
        </w:tc>
        <w:tc>
          <w:tcPr>
            <w:tcW w:w="0" w:type="dxa"/>
            <w:vAlign w:val="bottom"/>
          </w:tcPr>
          <w:p>
            <w:pPr>
              <w:spacing w:after="0"/>
              <w:rPr>
                <w:sz w:val="1"/>
                <w:szCs w:val="1"/>
                <w:color w:val="auto"/>
              </w:rPr>
            </w:pPr>
          </w:p>
        </w:tc>
      </w:tr>
      <w:tr>
        <w:trPr>
          <w:trHeight w:val="237"/>
        </w:trPr>
        <w:tc>
          <w:tcPr>
            <w:tcW w:w="908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market value adjustment for debt acquired in the acquisition</w:t>
            </w:r>
          </w:p>
        </w:tc>
        <w:tc>
          <w:tcPr>
            <w:tcW w:w="300" w:type="dxa"/>
            <w:vAlign w:val="bottom"/>
            <w:tcBorders>
              <w:bottom w:val="single" w:sz="8" w:color="0077C0"/>
            </w:tcBorders>
            <w:shd w:val="clear" w:color="auto" w:fill="CCEEFF"/>
          </w:tcPr>
          <w:p>
            <w:pPr>
              <w:spacing w:after="0"/>
              <w:rPr>
                <w:sz w:val="20"/>
                <w:szCs w:val="20"/>
                <w:color w:val="auto"/>
              </w:rPr>
            </w:pPr>
          </w:p>
        </w:tc>
        <w:tc>
          <w:tcPr>
            <w:tcW w:w="186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36"/>
        </w:trPr>
        <w:tc>
          <w:tcPr>
            <w:tcW w:w="9080" w:type="dxa"/>
            <w:vAlign w:val="bottom"/>
            <w:tcBorders>
              <w:bottom w:val="single" w:sz="8" w:color="0077C0"/>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Fair Market Value of Long-Term Debt Assumed</w:t>
            </w:r>
          </w:p>
        </w:tc>
        <w:tc>
          <w:tcPr>
            <w:tcW w:w="300" w:type="dxa"/>
            <w:vAlign w:val="bottom"/>
            <w:tcBorders>
              <w:bottom w:val="single" w:sz="8" w:color="0077C0"/>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9,070</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and earnings for Hess since the acquisition date (July 18, 2025) through September 30, 2025.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0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3"/>
                <w:szCs w:val="13"/>
                <w:color w:val="auto"/>
              </w:rPr>
            </w:pPr>
          </w:p>
        </w:tc>
        <w:tc>
          <w:tcPr>
            <w:tcW w:w="1820" w:type="dxa"/>
            <w:vAlign w:val="bottom"/>
          </w:tcPr>
          <w:p>
            <w:pPr>
              <w:jc w:val="center"/>
              <w:ind w:right="50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380" w:type="dxa"/>
            <w:vAlign w:val="bottom"/>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2100" w:type="dxa"/>
            <w:vAlign w:val="bottom"/>
            <w:tcBorders>
              <w:bottom w:val="single" w:sz="8" w:color="0077C0"/>
            </w:tcBorders>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0077C0"/>
            </w:tcBorders>
          </w:tcPr>
          <w:p>
            <w:pPr>
              <w:spacing w:after="0"/>
              <w:rPr>
                <w:sz w:val="16"/>
                <w:szCs w:val="16"/>
                <w:color w:val="auto"/>
              </w:rPr>
            </w:pPr>
          </w:p>
        </w:tc>
        <w:tc>
          <w:tcPr>
            <w:tcW w:w="1820" w:type="dxa"/>
            <w:vAlign w:val="bottom"/>
            <w:tcBorders>
              <w:bottom w:val="single" w:sz="8" w:color="0077C0"/>
            </w:tcBorders>
          </w:tcPr>
          <w:p>
            <w:pPr>
              <w:jc w:val="center"/>
              <w:ind w:right="50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1"/>
        </w:trPr>
        <w:tc>
          <w:tcPr>
            <w:tcW w:w="6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0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1820" w:type="dxa"/>
            <w:vAlign w:val="bottom"/>
          </w:tcPr>
          <w:p>
            <w:pPr>
              <w:jc w:val="center"/>
              <w:ind w:right="501"/>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6380" w:type="dxa"/>
            <w:vAlign w:val="bottom"/>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2720" w:type="dxa"/>
            <w:vAlign w:val="bottom"/>
            <w:tcBorders>
              <w:bottom w:val="single" w:sz="8" w:color="0077C0"/>
            </w:tcBorders>
            <w:gridSpan w:val="2"/>
          </w:tcPr>
          <w:p>
            <w:pPr>
              <w:spacing w:after="0"/>
              <w:rPr>
                <w:sz w:val="2"/>
                <w:szCs w:val="2"/>
                <w:color w:val="auto"/>
              </w:rPr>
            </w:pPr>
          </w:p>
        </w:tc>
        <w:tc>
          <w:tcPr>
            <w:tcW w:w="1820" w:type="dxa"/>
            <w:vAlign w:val="bottom"/>
            <w:tcBorders>
              <w:bottom w:val="single" w:sz="8" w:color="0077C0"/>
            </w:tcBorders>
          </w:tcPr>
          <w:p>
            <w:pPr>
              <w:spacing w:after="0"/>
              <w:rPr>
                <w:sz w:val="2"/>
                <w:szCs w:val="2"/>
                <w:color w:val="auto"/>
              </w:rPr>
            </w:pPr>
          </w:p>
        </w:tc>
      </w:tr>
      <w:tr>
        <w:trPr>
          <w:trHeight w:val="186"/>
        </w:trPr>
        <w:tc>
          <w:tcPr>
            <w:tcW w:w="6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820" w:type="dxa"/>
            <w:vAlign w:val="bottom"/>
          </w:tcPr>
          <w:p>
            <w:pPr>
              <w:spacing w:after="0"/>
              <w:rPr>
                <w:sz w:val="16"/>
                <w:szCs w:val="16"/>
                <w:color w:val="auto"/>
              </w:rPr>
            </w:pPr>
          </w:p>
        </w:tc>
      </w:tr>
      <w:tr>
        <w:trPr>
          <w:trHeight w:val="23"/>
        </w:trPr>
        <w:tc>
          <w:tcPr>
            <w:tcW w:w="638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210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1820" w:type="dxa"/>
            <w:vAlign w:val="bottom"/>
            <w:tcBorders>
              <w:bottom w:val="single" w:sz="8" w:color="0077C0"/>
            </w:tcBorders>
          </w:tcPr>
          <w:p>
            <w:pPr>
              <w:spacing w:after="0"/>
              <w:rPr>
                <w:sz w:val="2"/>
                <w:szCs w:val="2"/>
                <w:color w:val="auto"/>
              </w:rPr>
            </w:pPr>
          </w:p>
        </w:tc>
      </w:tr>
      <w:tr>
        <w:trPr>
          <w:trHeight w:val="23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other operating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2,906</w:t>
            </w:r>
          </w:p>
        </w:tc>
        <w:tc>
          <w:tcPr>
            <w:tcW w:w="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2,906</w:t>
            </w:r>
          </w:p>
        </w:tc>
      </w:tr>
      <w:tr>
        <w:trPr>
          <w:trHeight w:val="243"/>
        </w:trPr>
        <w:tc>
          <w:tcPr>
            <w:tcW w:w="6380" w:type="dxa"/>
            <w:vAlign w:val="bottom"/>
            <w:tcBorders>
              <w:bottom w:val="single" w:sz="8" w:color="0077C0"/>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 (Loss) Attributable to Chevron Corporation</w:t>
            </w:r>
          </w:p>
        </w:tc>
        <w:tc>
          <w:tcPr>
            <w:tcW w:w="320" w:type="dxa"/>
            <w:vAlign w:val="bottom"/>
            <w:tcBorders>
              <w:bottom w:val="single" w:sz="8" w:color="0077C0"/>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00" w:type="dxa"/>
            <w:vAlign w:val="bottom"/>
            <w:tcBorders>
              <w:bottom w:val="single" w:sz="8" w:color="0077C0"/>
            </w:tcBorders>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(129)</w:t>
            </w:r>
          </w:p>
        </w:tc>
        <w:tc>
          <w:tcPr>
            <w:tcW w:w="620" w:type="dxa"/>
            <w:vAlign w:val="bottom"/>
            <w:tcBorders>
              <w:bottom w:val="single" w:sz="8" w:color="0077C0"/>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unaudited pro forma information presents the results of operations as if the acquisition of Hess had occurred January 1, 2024: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80" w:type="dxa"/>
            <w:vAlign w:val="bottom"/>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Pr>
          <w:p>
            <w:pPr>
              <w:spacing w:after="0"/>
              <w:rPr>
                <w:sz w:val="13"/>
                <w:szCs w:val="13"/>
                <w:color w:val="auto"/>
              </w:rPr>
            </w:pPr>
          </w:p>
        </w:tc>
        <w:tc>
          <w:tcPr>
            <w:tcW w:w="1820" w:type="dxa"/>
            <w:vAlign w:val="bottom"/>
          </w:tcPr>
          <w:p>
            <w:pPr>
              <w:jc w:val="center"/>
              <w:ind w:right="50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380" w:type="dxa"/>
            <w:vAlign w:val="bottom"/>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2080" w:type="dxa"/>
            <w:vAlign w:val="bottom"/>
            <w:tcBorders>
              <w:bottom w:val="single" w:sz="8" w:color="0077C0"/>
            </w:tcBorders>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0077C0"/>
            </w:tcBorders>
          </w:tcPr>
          <w:p>
            <w:pPr>
              <w:spacing w:after="0"/>
              <w:rPr>
                <w:sz w:val="16"/>
                <w:szCs w:val="16"/>
                <w:color w:val="auto"/>
              </w:rPr>
            </w:pPr>
          </w:p>
        </w:tc>
        <w:tc>
          <w:tcPr>
            <w:tcW w:w="1820" w:type="dxa"/>
            <w:vAlign w:val="bottom"/>
            <w:tcBorders>
              <w:bottom w:val="single" w:sz="8" w:color="0077C0"/>
            </w:tcBorders>
          </w:tcPr>
          <w:p>
            <w:pPr>
              <w:jc w:val="center"/>
              <w:ind w:right="50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1"/>
        </w:trPr>
        <w:tc>
          <w:tcPr>
            <w:tcW w:w="6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1820" w:type="dxa"/>
            <w:vAlign w:val="bottom"/>
          </w:tcPr>
          <w:p>
            <w:pPr>
              <w:jc w:val="center"/>
              <w:ind w:right="501"/>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6380" w:type="dxa"/>
            <w:vAlign w:val="bottom"/>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2720" w:type="dxa"/>
            <w:vAlign w:val="bottom"/>
            <w:tcBorders>
              <w:bottom w:val="single" w:sz="8" w:color="0077C0"/>
            </w:tcBorders>
            <w:gridSpan w:val="2"/>
          </w:tcPr>
          <w:p>
            <w:pPr>
              <w:spacing w:after="0"/>
              <w:rPr>
                <w:sz w:val="2"/>
                <w:szCs w:val="2"/>
                <w:color w:val="auto"/>
              </w:rPr>
            </w:pPr>
          </w:p>
        </w:tc>
        <w:tc>
          <w:tcPr>
            <w:tcW w:w="1820" w:type="dxa"/>
            <w:vAlign w:val="bottom"/>
            <w:tcBorders>
              <w:bottom w:val="single" w:sz="8" w:color="0077C0"/>
            </w:tcBorders>
          </w:tcPr>
          <w:p>
            <w:pPr>
              <w:spacing w:after="0"/>
              <w:rPr>
                <w:sz w:val="2"/>
                <w:szCs w:val="2"/>
                <w:color w:val="auto"/>
              </w:rPr>
            </w:pPr>
          </w:p>
        </w:tc>
      </w:tr>
      <w:tr>
        <w:trPr>
          <w:trHeight w:val="186"/>
        </w:trPr>
        <w:tc>
          <w:tcPr>
            <w:tcW w:w="6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820" w:type="dxa"/>
            <w:vAlign w:val="bottom"/>
          </w:tcPr>
          <w:p>
            <w:pPr>
              <w:spacing w:after="0"/>
              <w:rPr>
                <w:sz w:val="16"/>
                <w:szCs w:val="16"/>
                <w:color w:val="auto"/>
              </w:rPr>
            </w:pPr>
          </w:p>
        </w:tc>
      </w:tr>
      <w:tr>
        <w:trPr>
          <w:trHeight w:val="23"/>
        </w:trPr>
        <w:tc>
          <w:tcPr>
            <w:tcW w:w="638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208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820" w:type="dxa"/>
            <w:vAlign w:val="bottom"/>
            <w:tcBorders>
              <w:bottom w:val="single" w:sz="8" w:color="0077C0"/>
            </w:tcBorders>
          </w:tcPr>
          <w:p>
            <w:pPr>
              <w:spacing w:after="0"/>
              <w:rPr>
                <w:sz w:val="2"/>
                <w:szCs w:val="2"/>
                <w:color w:val="auto"/>
              </w:rPr>
            </w:pPr>
          </w:p>
        </w:tc>
      </w:tr>
      <w:tr>
        <w:trPr>
          <w:trHeight w:val="23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other operating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48,169</w:t>
            </w:r>
          </w:p>
        </w:tc>
        <w:tc>
          <w:tcPr>
            <w:tcW w:w="6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146,536</w:t>
            </w:r>
          </w:p>
        </w:tc>
      </w:tr>
      <w:tr>
        <w:trPr>
          <w:trHeight w:val="243"/>
        </w:trPr>
        <w:tc>
          <w:tcPr>
            <w:tcW w:w="6380" w:type="dxa"/>
            <w:vAlign w:val="bottom"/>
            <w:tcBorders>
              <w:bottom w:val="single" w:sz="8" w:color="0077C0"/>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 (Loss) Attributable to Chevron Corporation</w:t>
            </w:r>
          </w:p>
        </w:tc>
        <w:tc>
          <w:tcPr>
            <w:tcW w:w="320" w:type="dxa"/>
            <w:vAlign w:val="bottom"/>
            <w:tcBorders>
              <w:bottom w:val="single" w:sz="8" w:color="0077C0"/>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80" w:type="dxa"/>
            <w:vAlign w:val="bottom"/>
            <w:tcBorders>
              <w:bottom w:val="single" w:sz="8" w:color="0077C0"/>
            </w:tcBorders>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3,539</w:t>
            </w:r>
          </w:p>
        </w:tc>
        <w:tc>
          <w:tcPr>
            <w:tcW w:w="640" w:type="dxa"/>
            <w:vAlign w:val="bottom"/>
            <w:tcBorders>
              <w:bottom w:val="single" w:sz="8" w:color="0077C0"/>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Borders>
              <w:bottom w:val="single" w:sz="8" w:color="0077C0"/>
            </w:tcBorders>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9,617</w:t>
            </w:r>
          </w:p>
        </w:tc>
      </w:tr>
    </w:tbl>
    <w:p>
      <w:pPr>
        <w:spacing w:after="0" w:line="1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 unaudited pro forma information uses estimates and assumptions based on information available at the time. Management believes the estimates and assumptions to be reasonable; however, actual results may differ significantly from this pro forma financial information. The pro forma information does not reflect any synergistic savings that might be achieved from combining the operations and is not intended to reflect the actual results that would have occurred had the companies actually been combined during the periods presented. The pro forma results reflect pro forma adjustments primarily related to conforming Hess accounting policies to Chevron’s, additional depreciation expense related to the fair value adjustment of the acquired property, plant and equipment, elimination of intercompany transactions and applicable income tax impacts.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Restructuring of Hess Midstream</w:t>
      </w:r>
    </w:p>
    <w:p>
      <w:pPr>
        <w:spacing w:after="0" w:line="13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On October 6, 2026, the company entered into agreements with Hess Midstream LP (Hess Midstream) to transfer its ownership interests in Hess Midstream and contribute DJ Basin crude midstream assets to Hess Midstream, in exchange for the restructuring and amendment of certain long-term commercial arrangements. Chevron will retain no ownership interest in Hess Midstream or the DJ Basin crude midstream assets but will continue to receive midstream services under the amended arrangements.</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customary closing conditions and regulatory approvals, the transaction is expected to close by year-end 2026 and strengthen the company’s Bakken upstream operations by increasing operational flexibility and reducing midstream costs by approximately 50 percent. Upon closing, Chevron expects to derecognize approximately $13.2 billion of assets and $5.4 billion of liabilities, including $3.7 billion of Hess Midstream debt, and $4.7 billion of Hess Midstream noncontrolling interests. As a result, Chevron expects to recognize an after-tax loss of approximately $3-4 billion. The estimated loss is preliminary and subject to final closing adjustments, tax effects, transaction costs, separation-payment accounting and the carrying amounts of assets, liabilities and noncontrolling interests at closing. Benefits from the amended service arrangements are expected to be recognized prospectively through lower future midstream service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Quarter 2026 Compared with Third Quarter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Financial Results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Earnings by Business Segment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40" w:type="dxa"/>
            <w:vAlign w:val="bottom"/>
            <w:gridSpan w:val="3"/>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9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6640" w:type="dxa"/>
            <w:vAlign w:val="bottom"/>
          </w:tcPr>
          <w:p>
            <w:pPr>
              <w:spacing w:after="0"/>
              <w:rPr>
                <w:sz w:val="17"/>
                <w:szCs w:val="17"/>
                <w:color w:val="auto"/>
              </w:rPr>
            </w:pPr>
          </w:p>
        </w:tc>
        <w:tc>
          <w:tcPr>
            <w:tcW w:w="260" w:type="dxa"/>
            <w:vAlign w:val="bottom"/>
            <w:tcBorders>
              <w:bottom w:val="single" w:sz="8" w:color="0077C0"/>
            </w:tcBorders>
          </w:tcPr>
          <w:p>
            <w:pPr>
              <w:spacing w:after="0"/>
              <w:rPr>
                <w:sz w:val="17"/>
                <w:szCs w:val="17"/>
                <w:color w:val="auto"/>
              </w:rPr>
            </w:pPr>
          </w:p>
        </w:tc>
        <w:tc>
          <w:tcPr>
            <w:tcW w:w="1300" w:type="dxa"/>
            <w:vAlign w:val="bottom"/>
            <w:tcBorders>
              <w:bottom w:val="single" w:sz="8" w:color="0077C0"/>
            </w:tcBorders>
            <w:gridSpan w:val="2"/>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0077C0"/>
            </w:tcBorders>
          </w:tcPr>
          <w:p>
            <w:pPr>
              <w:spacing w:after="0"/>
              <w:rPr>
                <w:sz w:val="17"/>
                <w:szCs w:val="17"/>
                <w:color w:val="auto"/>
              </w:rPr>
            </w:pPr>
          </w:p>
        </w:tc>
        <w:tc>
          <w:tcPr>
            <w:tcW w:w="320" w:type="dxa"/>
            <w:vAlign w:val="bottom"/>
            <w:tcBorders>
              <w:bottom w:val="single" w:sz="8" w:color="0077C0"/>
            </w:tcBorders>
          </w:tcPr>
          <w:p>
            <w:pPr>
              <w:spacing w:after="0"/>
              <w:rPr>
                <w:sz w:val="17"/>
                <w:szCs w:val="17"/>
                <w:color w:val="auto"/>
              </w:rPr>
            </w:pPr>
          </w:p>
        </w:tc>
        <w:tc>
          <w:tcPr>
            <w:tcW w:w="1300" w:type="dxa"/>
            <w:vAlign w:val="bottom"/>
            <w:tcBorders>
              <w:bottom w:val="single" w:sz="8" w:color="0077C0"/>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0077C0"/>
            </w:tcBorders>
          </w:tcPr>
          <w:p>
            <w:pPr>
              <w:spacing w:after="0"/>
              <w:rPr>
                <w:sz w:val="17"/>
                <w:szCs w:val="17"/>
                <w:color w:val="auto"/>
              </w:rPr>
            </w:pPr>
          </w:p>
        </w:tc>
      </w:tr>
      <w:tr>
        <w:trPr>
          <w:trHeight w:val="192"/>
        </w:trPr>
        <w:tc>
          <w:tcPr>
            <w:tcW w:w="6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6"/>
                <w:szCs w:val="16"/>
                <w:color w:val="auto"/>
              </w:rPr>
            </w:pPr>
          </w:p>
        </w:tc>
        <w:tc>
          <w:tcPr>
            <w:tcW w:w="7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20" w:type="dxa"/>
            <w:vAlign w:val="bottom"/>
          </w:tcPr>
          <w:p>
            <w:pPr>
              <w:spacing w:after="0"/>
              <w:rPr>
                <w:sz w:val="16"/>
                <w:szCs w:val="16"/>
                <w:color w:val="auto"/>
              </w:rPr>
            </w:pPr>
          </w:p>
        </w:tc>
        <w:tc>
          <w:tcPr>
            <w:tcW w:w="8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6"/>
                <w:szCs w:val="16"/>
                <w:color w:val="auto"/>
              </w:rPr>
            </w:pPr>
          </w:p>
        </w:tc>
        <w:tc>
          <w:tcPr>
            <w:tcW w:w="68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6640" w:type="dxa"/>
            <w:vAlign w:val="bottom"/>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2040" w:type="dxa"/>
            <w:vAlign w:val="bottom"/>
            <w:tcBorders>
              <w:bottom w:val="single" w:sz="8" w:color="0077C0"/>
            </w:tcBorders>
            <w:gridSpan w:val="3"/>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1980" w:type="dxa"/>
            <w:vAlign w:val="bottom"/>
            <w:tcBorders>
              <w:bottom w:val="single" w:sz="8" w:color="0077C0"/>
            </w:tcBorders>
            <w:gridSpan w:val="3"/>
          </w:tcPr>
          <w:p>
            <w:pPr>
              <w:spacing w:after="0"/>
              <w:rPr>
                <w:sz w:val="2"/>
                <w:szCs w:val="2"/>
                <w:color w:val="auto"/>
              </w:rPr>
            </w:pPr>
          </w:p>
        </w:tc>
      </w:tr>
      <w:tr>
        <w:trPr>
          <w:trHeight w:val="186"/>
        </w:trPr>
        <w:tc>
          <w:tcPr>
            <w:tcW w:w="6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gridSpan w:val="3"/>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320" w:type="dxa"/>
            <w:vAlign w:val="bottom"/>
          </w:tcPr>
          <w:p>
            <w:pPr>
              <w:spacing w:after="0"/>
              <w:rPr>
                <w:sz w:val="16"/>
                <w:szCs w:val="16"/>
                <w:color w:val="auto"/>
              </w:rPr>
            </w:pPr>
          </w:p>
        </w:tc>
        <w:tc>
          <w:tcPr>
            <w:tcW w:w="19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(Millions of dollars)</w:t>
            </w:r>
          </w:p>
        </w:tc>
      </w:tr>
      <w:tr>
        <w:trPr>
          <w:trHeight w:val="23"/>
        </w:trPr>
        <w:tc>
          <w:tcPr>
            <w:tcW w:w="664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r>
      <w:tr>
        <w:trPr>
          <w:trHeight w:val="23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Upstream</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3,293</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1,282</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8,946</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r>
      <w:tr>
        <w:trPr>
          <w:trHeight w:val="243"/>
        </w:trPr>
        <w:tc>
          <w:tcPr>
            <w:tcW w:w="6640" w:type="dxa"/>
            <w:vAlign w:val="bottom"/>
            <w:tcBorders>
              <w:bottom w:val="single" w:sz="8" w:color="0077C0"/>
            </w:tcBorders>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0077C0"/>
            </w:tcBorders>
          </w:tcPr>
          <w:p>
            <w:pPr>
              <w:spacing w:after="0"/>
              <w:rPr>
                <w:sz w:val="21"/>
                <w:szCs w:val="21"/>
                <w:color w:val="auto"/>
              </w:rPr>
            </w:pPr>
          </w:p>
        </w:tc>
        <w:tc>
          <w:tcPr>
            <w:tcW w:w="860" w:type="dxa"/>
            <w:vAlign w:val="bottom"/>
            <w:tcBorders>
              <w:bottom w:val="single" w:sz="8" w:color="0077C0"/>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2,405</w:t>
            </w:r>
          </w:p>
        </w:tc>
        <w:tc>
          <w:tcPr>
            <w:tcW w:w="440" w:type="dxa"/>
            <w:vAlign w:val="bottom"/>
            <w:tcBorders>
              <w:bottom w:val="single" w:sz="8" w:color="0077C0"/>
            </w:tcBorders>
          </w:tcPr>
          <w:p>
            <w:pPr>
              <w:spacing w:after="0"/>
              <w:rPr>
                <w:sz w:val="21"/>
                <w:szCs w:val="21"/>
                <w:color w:val="auto"/>
              </w:rPr>
            </w:pPr>
          </w:p>
        </w:tc>
        <w:tc>
          <w:tcPr>
            <w:tcW w:w="740" w:type="dxa"/>
            <w:vAlign w:val="bottom"/>
            <w:tcBorders>
              <w:bottom w:val="single" w:sz="8" w:color="0077C0"/>
            </w:tcBorders>
          </w:tcPr>
          <w:p>
            <w:pPr>
              <w:jc w:val="right"/>
              <w:ind w:right="53"/>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Borders>
              <w:bottom w:val="single" w:sz="8" w:color="0077C0"/>
            </w:tcBorders>
          </w:tcPr>
          <w:p>
            <w:pPr>
              <w:spacing w:after="0"/>
              <w:rPr>
                <w:sz w:val="21"/>
                <w:szCs w:val="21"/>
                <w:color w:val="auto"/>
              </w:rPr>
            </w:pPr>
          </w:p>
        </w:tc>
        <w:tc>
          <w:tcPr>
            <w:tcW w:w="860" w:type="dxa"/>
            <w:vAlign w:val="bottom"/>
            <w:tcBorders>
              <w:bottom w:val="single" w:sz="8" w:color="0077C0"/>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8,843</w:t>
            </w:r>
          </w:p>
        </w:tc>
        <w:tc>
          <w:tcPr>
            <w:tcW w:w="440" w:type="dxa"/>
            <w:vAlign w:val="bottom"/>
            <w:tcBorders>
              <w:bottom w:val="single" w:sz="8" w:color="0077C0"/>
            </w:tcBorders>
          </w:tcPr>
          <w:p>
            <w:pPr>
              <w:spacing w:after="0"/>
              <w:rPr>
                <w:sz w:val="21"/>
                <w:szCs w:val="21"/>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5,229</w:t>
            </w:r>
          </w:p>
        </w:tc>
      </w:tr>
      <w:tr>
        <w:trPr>
          <w:trHeight w:val="236"/>
        </w:trPr>
        <w:tc>
          <w:tcPr>
            <w:tcW w:w="664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Upstream</w:t>
            </w:r>
          </w:p>
        </w:tc>
        <w:tc>
          <w:tcPr>
            <w:tcW w:w="260" w:type="dxa"/>
            <w:vAlign w:val="bottom"/>
            <w:tcBorders>
              <w:bottom w:val="single" w:sz="8" w:color="0077C0"/>
            </w:tcBorders>
            <w:shd w:val="clear" w:color="auto" w:fill="CCEEFF"/>
          </w:tcPr>
          <w:p>
            <w:pPr>
              <w:spacing w:after="0"/>
              <w:rPr>
                <w:sz w:val="20"/>
                <w:szCs w:val="20"/>
                <w:color w:val="auto"/>
              </w:rPr>
            </w:pPr>
          </w:p>
        </w:tc>
        <w:tc>
          <w:tcPr>
            <w:tcW w:w="860" w:type="dxa"/>
            <w:vAlign w:val="bottom"/>
            <w:tcBorders>
              <w:bottom w:val="single" w:sz="8" w:color="0077C0"/>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5,698</w:t>
            </w:r>
          </w:p>
        </w:tc>
        <w:tc>
          <w:tcPr>
            <w:tcW w:w="440" w:type="dxa"/>
            <w:vAlign w:val="bottom"/>
            <w:tcBorders>
              <w:bottom w:val="single" w:sz="8" w:color="0077C0"/>
            </w:tcBorders>
            <w:shd w:val="clear" w:color="auto" w:fill="CCEEFF"/>
          </w:tcPr>
          <w:p>
            <w:pPr>
              <w:spacing w:after="0"/>
              <w:rPr>
                <w:sz w:val="20"/>
                <w:szCs w:val="20"/>
                <w:color w:val="auto"/>
              </w:rPr>
            </w:pPr>
          </w:p>
        </w:tc>
        <w:tc>
          <w:tcPr>
            <w:tcW w:w="740" w:type="dxa"/>
            <w:vAlign w:val="bottom"/>
            <w:tcBorders>
              <w:bottom w:val="single" w:sz="8" w:color="0077C0"/>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3,302</w:t>
            </w:r>
          </w:p>
        </w:tc>
        <w:tc>
          <w:tcPr>
            <w:tcW w:w="320" w:type="dxa"/>
            <w:vAlign w:val="bottom"/>
            <w:tcBorders>
              <w:bottom w:val="single" w:sz="8" w:color="0077C0"/>
            </w:tcBorders>
            <w:shd w:val="clear" w:color="auto" w:fill="CCEEFF"/>
          </w:tcPr>
          <w:p>
            <w:pPr>
              <w:spacing w:after="0"/>
              <w:rPr>
                <w:sz w:val="20"/>
                <w:szCs w:val="20"/>
                <w:color w:val="auto"/>
              </w:rPr>
            </w:pPr>
          </w:p>
        </w:tc>
        <w:tc>
          <w:tcPr>
            <w:tcW w:w="860" w:type="dxa"/>
            <w:vAlign w:val="bottom"/>
            <w:tcBorders>
              <w:bottom w:val="single" w:sz="8" w:color="0077C0"/>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17,789</w:t>
            </w:r>
          </w:p>
        </w:tc>
        <w:tc>
          <w:tcPr>
            <w:tcW w:w="440" w:type="dxa"/>
            <w:vAlign w:val="bottom"/>
            <w:tcBorders>
              <w:bottom w:val="single" w:sz="8" w:color="0077C0"/>
            </w:tcBorders>
            <w:shd w:val="clear" w:color="auto" w:fill="CCEEFF"/>
          </w:tcPr>
          <w:p>
            <w:pPr>
              <w:spacing w:after="0"/>
              <w:rPr>
                <w:sz w:val="20"/>
                <w:szCs w:val="20"/>
                <w:color w:val="auto"/>
              </w:rPr>
            </w:pPr>
          </w:p>
        </w:tc>
        <w:tc>
          <w:tcPr>
            <w:tcW w:w="6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w:t>
            </w:r>
          </w:p>
        </w:tc>
      </w:tr>
      <w:tr>
        <w:trPr>
          <w:trHeight w:val="23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Downstream</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3,585</w:t>
            </w:r>
          </w:p>
        </w:tc>
        <w:tc>
          <w:tcPr>
            <w:tcW w:w="4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638</w:t>
            </w: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6,192</w:t>
            </w:r>
          </w:p>
        </w:tc>
        <w:tc>
          <w:tcPr>
            <w:tcW w:w="4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43"/>
        </w:trPr>
        <w:tc>
          <w:tcPr>
            <w:tcW w:w="6640" w:type="dxa"/>
            <w:vAlign w:val="bottom"/>
            <w:tcBorders>
              <w:bottom w:val="single" w:sz="8" w:color="0077C0"/>
            </w:tcBorders>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0077C0"/>
            </w:tcBorders>
          </w:tcPr>
          <w:p>
            <w:pPr>
              <w:spacing w:after="0"/>
              <w:rPr>
                <w:sz w:val="21"/>
                <w:szCs w:val="21"/>
                <w:color w:val="auto"/>
              </w:rPr>
            </w:pPr>
          </w:p>
        </w:tc>
        <w:tc>
          <w:tcPr>
            <w:tcW w:w="860" w:type="dxa"/>
            <w:vAlign w:val="bottom"/>
            <w:tcBorders>
              <w:bottom w:val="single" w:sz="8" w:color="0077C0"/>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1,346</w:t>
            </w:r>
          </w:p>
        </w:tc>
        <w:tc>
          <w:tcPr>
            <w:tcW w:w="440" w:type="dxa"/>
            <w:vAlign w:val="bottom"/>
            <w:tcBorders>
              <w:bottom w:val="single" w:sz="8" w:color="0077C0"/>
            </w:tcBorders>
          </w:tcPr>
          <w:p>
            <w:pPr>
              <w:spacing w:after="0"/>
              <w:rPr>
                <w:sz w:val="21"/>
                <w:szCs w:val="21"/>
                <w:color w:val="auto"/>
              </w:rPr>
            </w:pPr>
          </w:p>
        </w:tc>
        <w:tc>
          <w:tcPr>
            <w:tcW w:w="740" w:type="dxa"/>
            <w:vAlign w:val="bottom"/>
            <w:tcBorders>
              <w:bottom w:val="single" w:sz="8" w:color="0077C0"/>
            </w:tcBorders>
          </w:tcPr>
          <w:p>
            <w:pPr>
              <w:jc w:val="right"/>
              <w:ind w:right="53"/>
              <w:spacing w:after="0"/>
              <w:rPr>
                <w:sz w:val="20"/>
                <w:szCs w:val="20"/>
                <w:color w:val="auto"/>
              </w:rPr>
            </w:pPr>
            <w:r>
              <w:rPr>
                <w:rFonts w:ascii="Times New Roman" w:cs="Times New Roman" w:eastAsia="Times New Roman" w:hAnsi="Times New Roman"/>
                <w:sz w:val="18"/>
                <w:szCs w:val="18"/>
                <w:color w:val="auto"/>
              </w:rPr>
              <w:t>499</w:t>
            </w:r>
          </w:p>
        </w:tc>
        <w:tc>
          <w:tcPr>
            <w:tcW w:w="320" w:type="dxa"/>
            <w:vAlign w:val="bottom"/>
            <w:tcBorders>
              <w:bottom w:val="single" w:sz="8" w:color="0077C0"/>
            </w:tcBorders>
          </w:tcPr>
          <w:p>
            <w:pPr>
              <w:spacing w:after="0"/>
              <w:rPr>
                <w:sz w:val="21"/>
                <w:szCs w:val="21"/>
                <w:color w:val="auto"/>
              </w:rPr>
            </w:pPr>
          </w:p>
        </w:tc>
        <w:tc>
          <w:tcPr>
            <w:tcW w:w="860" w:type="dxa"/>
            <w:vAlign w:val="bottom"/>
            <w:tcBorders>
              <w:bottom w:val="single" w:sz="8" w:color="0077C0"/>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2,790</w:t>
            </w:r>
          </w:p>
        </w:tc>
        <w:tc>
          <w:tcPr>
            <w:tcW w:w="440" w:type="dxa"/>
            <w:vAlign w:val="bottom"/>
            <w:tcBorders>
              <w:bottom w:val="single" w:sz="8" w:color="0077C0"/>
            </w:tcBorders>
          </w:tcPr>
          <w:p>
            <w:pPr>
              <w:spacing w:after="0"/>
              <w:rPr>
                <w:sz w:val="21"/>
                <w:szCs w:val="21"/>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37"/>
        </w:trPr>
        <w:tc>
          <w:tcPr>
            <w:tcW w:w="664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Downstream</w:t>
            </w:r>
          </w:p>
        </w:tc>
        <w:tc>
          <w:tcPr>
            <w:tcW w:w="260" w:type="dxa"/>
            <w:vAlign w:val="bottom"/>
            <w:tcBorders>
              <w:bottom w:val="single" w:sz="8" w:color="0077C0"/>
            </w:tcBorders>
            <w:shd w:val="clear" w:color="auto" w:fill="CCEEFF"/>
          </w:tcPr>
          <w:p>
            <w:pPr>
              <w:spacing w:after="0"/>
              <w:rPr>
                <w:sz w:val="20"/>
                <w:szCs w:val="20"/>
                <w:color w:val="auto"/>
              </w:rPr>
            </w:pPr>
          </w:p>
        </w:tc>
        <w:tc>
          <w:tcPr>
            <w:tcW w:w="860" w:type="dxa"/>
            <w:vAlign w:val="bottom"/>
            <w:tcBorders>
              <w:bottom w:val="single" w:sz="8" w:color="0077C0"/>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4,931</w:t>
            </w:r>
          </w:p>
        </w:tc>
        <w:tc>
          <w:tcPr>
            <w:tcW w:w="440" w:type="dxa"/>
            <w:vAlign w:val="bottom"/>
            <w:tcBorders>
              <w:bottom w:val="single" w:sz="8" w:color="0077C0"/>
            </w:tcBorders>
            <w:shd w:val="clear" w:color="auto" w:fill="CCEEFF"/>
          </w:tcPr>
          <w:p>
            <w:pPr>
              <w:spacing w:after="0"/>
              <w:rPr>
                <w:sz w:val="20"/>
                <w:szCs w:val="20"/>
                <w:color w:val="auto"/>
              </w:rPr>
            </w:pPr>
          </w:p>
        </w:tc>
        <w:tc>
          <w:tcPr>
            <w:tcW w:w="740" w:type="dxa"/>
            <w:vAlign w:val="bottom"/>
            <w:tcBorders>
              <w:bottom w:val="single" w:sz="8" w:color="0077C0"/>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1,137</w:t>
            </w:r>
          </w:p>
        </w:tc>
        <w:tc>
          <w:tcPr>
            <w:tcW w:w="320" w:type="dxa"/>
            <w:vAlign w:val="bottom"/>
            <w:tcBorders>
              <w:bottom w:val="single" w:sz="8" w:color="0077C0"/>
            </w:tcBorders>
            <w:shd w:val="clear" w:color="auto" w:fill="CCEEFF"/>
          </w:tcPr>
          <w:p>
            <w:pPr>
              <w:spacing w:after="0"/>
              <w:rPr>
                <w:sz w:val="20"/>
                <w:szCs w:val="20"/>
                <w:color w:val="auto"/>
              </w:rPr>
            </w:pPr>
          </w:p>
        </w:tc>
        <w:tc>
          <w:tcPr>
            <w:tcW w:w="860" w:type="dxa"/>
            <w:vAlign w:val="bottom"/>
            <w:tcBorders>
              <w:bottom w:val="single" w:sz="8" w:color="0077C0"/>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8,982</w:t>
            </w:r>
          </w:p>
        </w:tc>
        <w:tc>
          <w:tcPr>
            <w:tcW w:w="440" w:type="dxa"/>
            <w:vAlign w:val="bottom"/>
            <w:tcBorders>
              <w:bottom w:val="single" w:sz="8" w:color="0077C0"/>
            </w:tcBorders>
            <w:shd w:val="clear" w:color="auto" w:fill="CCEEFF"/>
          </w:tcPr>
          <w:p>
            <w:pPr>
              <w:spacing w:after="0"/>
              <w:rPr>
                <w:sz w:val="20"/>
                <w:szCs w:val="20"/>
                <w:color w:val="auto"/>
              </w:rPr>
            </w:pPr>
          </w:p>
        </w:tc>
        <w:tc>
          <w:tcPr>
            <w:tcW w:w="6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r>
      <w:tr>
        <w:trPr>
          <w:trHeight w:val="237"/>
        </w:trPr>
        <w:tc>
          <w:tcPr>
            <w:tcW w:w="66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Earnings</w:t>
            </w:r>
          </w:p>
        </w:tc>
        <w:tc>
          <w:tcPr>
            <w:tcW w:w="260" w:type="dxa"/>
            <w:vAlign w:val="bottom"/>
            <w:tcBorders>
              <w:bottom w:val="single" w:sz="8" w:color="0077C0"/>
            </w:tcBorders>
          </w:tcPr>
          <w:p>
            <w:pPr>
              <w:spacing w:after="0"/>
              <w:rPr>
                <w:sz w:val="20"/>
                <w:szCs w:val="20"/>
                <w:color w:val="auto"/>
              </w:rPr>
            </w:pPr>
          </w:p>
        </w:tc>
        <w:tc>
          <w:tcPr>
            <w:tcW w:w="860" w:type="dxa"/>
            <w:vAlign w:val="bottom"/>
            <w:tcBorders>
              <w:bottom w:val="single" w:sz="8" w:color="0077C0"/>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10,629</w:t>
            </w:r>
          </w:p>
        </w:tc>
        <w:tc>
          <w:tcPr>
            <w:tcW w:w="440" w:type="dxa"/>
            <w:vAlign w:val="bottom"/>
            <w:tcBorders>
              <w:bottom w:val="single" w:sz="8" w:color="0077C0"/>
            </w:tcBorders>
          </w:tcPr>
          <w:p>
            <w:pPr>
              <w:spacing w:after="0"/>
              <w:rPr>
                <w:sz w:val="20"/>
                <w:szCs w:val="20"/>
                <w:color w:val="auto"/>
              </w:rPr>
            </w:pPr>
          </w:p>
        </w:tc>
        <w:tc>
          <w:tcPr>
            <w:tcW w:w="740" w:type="dxa"/>
            <w:vAlign w:val="bottom"/>
            <w:tcBorders>
              <w:bottom w:val="single" w:sz="8" w:color="0077C0"/>
            </w:tcBorders>
          </w:tcPr>
          <w:p>
            <w:pPr>
              <w:jc w:val="right"/>
              <w:ind w:right="53"/>
              <w:spacing w:after="0"/>
              <w:rPr>
                <w:sz w:val="20"/>
                <w:szCs w:val="20"/>
                <w:color w:val="auto"/>
              </w:rPr>
            </w:pPr>
            <w:r>
              <w:rPr>
                <w:rFonts w:ascii="Times New Roman" w:cs="Times New Roman" w:eastAsia="Times New Roman" w:hAnsi="Times New Roman"/>
                <w:sz w:val="18"/>
                <w:szCs w:val="18"/>
                <w:color w:val="auto"/>
              </w:rPr>
              <w:t>4,439</w:t>
            </w:r>
          </w:p>
        </w:tc>
        <w:tc>
          <w:tcPr>
            <w:tcW w:w="320" w:type="dxa"/>
            <w:vAlign w:val="bottom"/>
            <w:tcBorders>
              <w:bottom w:val="single" w:sz="8" w:color="0077C0"/>
            </w:tcBorders>
          </w:tcPr>
          <w:p>
            <w:pPr>
              <w:spacing w:after="0"/>
              <w:rPr>
                <w:sz w:val="20"/>
                <w:szCs w:val="20"/>
                <w:color w:val="auto"/>
              </w:rPr>
            </w:pPr>
          </w:p>
        </w:tc>
        <w:tc>
          <w:tcPr>
            <w:tcW w:w="860" w:type="dxa"/>
            <w:vAlign w:val="bottom"/>
            <w:tcBorders>
              <w:bottom w:val="single" w:sz="8" w:color="0077C0"/>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26,771</w:t>
            </w:r>
          </w:p>
        </w:tc>
        <w:tc>
          <w:tcPr>
            <w:tcW w:w="440" w:type="dxa"/>
            <w:vAlign w:val="bottom"/>
            <w:tcBorders>
              <w:bottom w:val="single" w:sz="8" w:color="0077C0"/>
            </w:tcBorders>
          </w:tcPr>
          <w:p>
            <w:pPr>
              <w:spacing w:after="0"/>
              <w:rPr>
                <w:sz w:val="20"/>
                <w:szCs w:val="20"/>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11,986</w:t>
            </w:r>
          </w:p>
        </w:tc>
      </w:tr>
      <w:tr>
        <w:trPr>
          <w:trHeight w:val="237"/>
        </w:trPr>
        <w:tc>
          <w:tcPr>
            <w:tcW w:w="664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60" w:type="dxa"/>
            <w:vAlign w:val="bottom"/>
            <w:tcBorders>
              <w:bottom w:val="single" w:sz="8" w:color="0077C0"/>
            </w:tcBorders>
            <w:shd w:val="clear" w:color="auto" w:fill="CCEEFF"/>
          </w:tcPr>
          <w:p>
            <w:pPr>
              <w:spacing w:after="0"/>
              <w:rPr>
                <w:sz w:val="20"/>
                <w:szCs w:val="20"/>
                <w:color w:val="auto"/>
              </w:rPr>
            </w:pPr>
          </w:p>
        </w:tc>
        <w:tc>
          <w:tcPr>
            <w:tcW w:w="86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w:t>
            </w:r>
          </w:p>
        </w:tc>
        <w:tc>
          <w:tcPr>
            <w:tcW w:w="440" w:type="dxa"/>
            <w:vAlign w:val="bottom"/>
            <w:tcBorders>
              <w:bottom w:val="single" w:sz="8" w:color="0077C0"/>
            </w:tcBorders>
            <w:shd w:val="clear" w:color="auto" w:fill="CCEEFF"/>
          </w:tcPr>
          <w:p>
            <w:pPr>
              <w:spacing w:after="0"/>
              <w:rPr>
                <w:sz w:val="20"/>
                <w:szCs w:val="20"/>
                <w:color w:val="auto"/>
              </w:rPr>
            </w:pPr>
          </w:p>
        </w:tc>
        <w:tc>
          <w:tcPr>
            <w:tcW w:w="74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320" w:type="dxa"/>
            <w:vAlign w:val="bottom"/>
            <w:tcBorders>
              <w:bottom w:val="single" w:sz="8" w:color="0077C0"/>
            </w:tcBorders>
            <w:shd w:val="clear" w:color="auto" w:fill="CCEEFF"/>
          </w:tcPr>
          <w:p>
            <w:pPr>
              <w:spacing w:after="0"/>
              <w:rPr>
                <w:sz w:val="20"/>
                <w:szCs w:val="20"/>
                <w:color w:val="auto"/>
              </w:rPr>
            </w:pPr>
          </w:p>
        </w:tc>
        <w:tc>
          <w:tcPr>
            <w:tcW w:w="860" w:type="dxa"/>
            <w:vAlign w:val="bottom"/>
            <w:tcBorders>
              <w:bottom w:val="single" w:sz="8" w:color="0077C0"/>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(2,565)</w:t>
            </w:r>
          </w:p>
        </w:tc>
        <w:tc>
          <w:tcPr>
            <w:tcW w:w="440" w:type="dxa"/>
            <w:vAlign w:val="bottom"/>
            <w:tcBorders>
              <w:bottom w:val="single" w:sz="8" w:color="0077C0"/>
            </w:tcBorders>
            <w:shd w:val="clear" w:color="auto" w:fill="CCEEFF"/>
          </w:tcPr>
          <w:p>
            <w:pPr>
              <w:spacing w:after="0"/>
              <w:rPr>
                <w:sz w:val="20"/>
                <w:szCs w:val="20"/>
                <w:color w:val="auto"/>
              </w:rPr>
            </w:pPr>
          </w:p>
        </w:tc>
        <w:tc>
          <w:tcPr>
            <w:tcW w:w="6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r>
      <w:tr>
        <w:trPr>
          <w:trHeight w:val="236"/>
        </w:trPr>
        <w:tc>
          <w:tcPr>
            <w:tcW w:w="6640" w:type="dxa"/>
            <w:vAlign w:val="bottom"/>
            <w:tcBorders>
              <w:bottom w:val="single" w:sz="8" w:color="0077C0"/>
            </w:tcBorders>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Net Income (Loss) Attributable to Chevron Corporation </w:t>
            </w:r>
            <w:r>
              <w:rPr>
                <w:rFonts w:ascii="Times New Roman" w:cs="Times New Roman" w:eastAsia="Times New Roman" w:hAnsi="Times New Roman"/>
                <w:sz w:val="23"/>
                <w:szCs w:val="23"/>
                <w:b w:val="1"/>
                <w:bCs w:val="1"/>
                <w:color w:val="auto"/>
                <w:vertAlign w:val="superscript"/>
              </w:rPr>
              <w:t>(1) (2)</w:t>
            </w:r>
          </w:p>
        </w:tc>
        <w:tc>
          <w:tcPr>
            <w:tcW w:w="2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0077C0"/>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9,924</w:t>
            </w:r>
          </w:p>
        </w:tc>
        <w:tc>
          <w:tcPr>
            <w:tcW w:w="440" w:type="dxa"/>
            <w:vAlign w:val="bottom"/>
            <w:tcBorders>
              <w:bottom w:val="single" w:sz="8" w:color="0077C0"/>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0077C0"/>
            </w:tcBorders>
          </w:tcPr>
          <w:p>
            <w:pPr>
              <w:jc w:val="right"/>
              <w:ind w:right="53"/>
              <w:spacing w:after="0"/>
              <w:rPr>
                <w:sz w:val="20"/>
                <w:szCs w:val="20"/>
                <w:color w:val="auto"/>
              </w:rPr>
            </w:pPr>
            <w:r>
              <w:rPr>
                <w:rFonts w:ascii="Times New Roman" w:cs="Times New Roman" w:eastAsia="Times New Roman" w:hAnsi="Times New Roman"/>
                <w:sz w:val="18"/>
                <w:szCs w:val="18"/>
                <w:color w:val="auto"/>
              </w:rPr>
              <w:t>3,539</w:t>
            </w:r>
          </w:p>
        </w:tc>
        <w:tc>
          <w:tcPr>
            <w:tcW w:w="320" w:type="dxa"/>
            <w:vAlign w:val="bottom"/>
            <w:tcBorders>
              <w:bottom w:val="single" w:sz="8" w:color="0077C0"/>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0077C0"/>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24,206</w:t>
            </w:r>
          </w:p>
        </w:tc>
        <w:tc>
          <w:tcPr>
            <w:tcW w:w="440" w:type="dxa"/>
            <w:vAlign w:val="bottom"/>
            <w:tcBorders>
              <w:bottom w:val="single" w:sz="8" w:color="0077C0"/>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9,529</w:t>
            </w:r>
          </w:p>
        </w:tc>
      </w:tr>
      <w:tr>
        <w:trPr>
          <w:trHeight w:val="282"/>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Includes foreign currency effects.</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(143)</w:t>
            </w:r>
          </w:p>
        </w:tc>
        <w:tc>
          <w:tcPr>
            <w:tcW w:w="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147</w:t>
            </w:r>
          </w:p>
        </w:tc>
        <w:tc>
          <w:tcPr>
            <w:tcW w:w="3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(415)</w:t>
            </w:r>
          </w:p>
        </w:tc>
        <w:tc>
          <w:tcPr>
            <w:tcW w:w="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r>
    </w:tbl>
    <w:p>
      <w:pPr>
        <w:ind w:left="180" w:hanging="154"/>
        <w:spacing w:after="0" w:line="206" w:lineRule="auto"/>
        <w:tabs>
          <w:tab w:leader="none" w:pos="18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Income (loss) net of tax; also referred to as “earnings” in the discussions that follow.</w:t>
      </w:r>
    </w:p>
    <w:p>
      <w:pPr>
        <w:spacing w:after="0" w:line="200" w:lineRule="exact"/>
        <w:rPr>
          <w:sz w:val="20"/>
          <w:szCs w:val="20"/>
          <w:color w:val="auto"/>
        </w:rPr>
      </w:pPr>
    </w:p>
    <w:p>
      <w:pPr>
        <w:spacing w:after="0" w:line="30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Net income attributable to Chevron Corporation </w:t>
      </w:r>
      <w:r>
        <w:rPr>
          <w:rFonts w:ascii="Times New Roman" w:cs="Times New Roman" w:eastAsia="Times New Roman" w:hAnsi="Times New Roman"/>
          <w:sz w:val="18"/>
          <w:szCs w:val="18"/>
          <w:color w:val="auto"/>
        </w:rPr>
        <w:t>for third quarter 2026 was $9.9 billion ($5.06 per share — diluted), compared with $3.5 billion ($1.82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 diluted) in third quarter 2025. The net income attributable to Chevron Corporation for the first nine months of 2026 was $24.2 billion ($12.26 per share —diluted), compared with $9.5 billion ($5.27 per share — diluted) in the first nine months of 2025.</w:t>
      </w:r>
    </w:p>
    <w:p>
      <w:pPr>
        <w:spacing w:after="0" w:line="5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Upstream </w:t>
      </w:r>
      <w:r>
        <w:rPr>
          <w:rFonts w:ascii="Times New Roman" w:cs="Times New Roman" w:eastAsia="Times New Roman" w:hAnsi="Times New Roman"/>
          <w:sz w:val="18"/>
          <w:szCs w:val="18"/>
          <w:color w:val="auto"/>
        </w:rPr>
        <w:t>earnings in third quarter 2026 were $5.7 billion compared with $3.3 billion in the corresponding 2025 period. The increase was mainly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realizations, partly offset by unfavorable timing effects. Earnings for the first nine months of 2026 were $17.8 billion compared with $9.8 billion a year earlier. The increase was mainly due to higher realizations and sales volumes, partially offset by higher depreciation, depletion and amortization expense and unfavorable timing effects.</w:t>
      </w:r>
    </w:p>
    <w:p>
      <w:pPr>
        <w:spacing w:after="0" w:line="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Downstream </w:t>
      </w:r>
      <w:r>
        <w:rPr>
          <w:rFonts w:ascii="Times New Roman" w:cs="Times New Roman" w:eastAsia="Times New Roman" w:hAnsi="Times New Roman"/>
          <w:sz w:val="18"/>
          <w:szCs w:val="18"/>
          <w:color w:val="auto"/>
        </w:rPr>
        <w:t>earnings in third quarter 2026 were $4.9 billion compared with $1.1 billion in the corresponding 2025 period. The increase was mainly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margins on refined product sales. Earnings for the first nine months of 2026 were $9.0 billion compared with $2.2 billion a year earlier. The increase was mainly due to higher margins on refined product sales despite unfavorable timing effects.</w:t>
      </w:r>
    </w:p>
    <w:p>
      <w:pPr>
        <w:spacing w:after="0" w:line="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“Results of Operations”</w:t>
      </w:r>
      <w:r>
        <w:rPr>
          <w:rFonts w:ascii="Times New Roman" w:cs="Times New Roman" w:eastAsia="Times New Roman" w:hAnsi="Times New Roman"/>
          <w:sz w:val="18"/>
          <w:szCs w:val="18"/>
          <w:color w:val="auto"/>
        </w:rPr>
        <w:t xml:space="preserve"> for additional discussion of results by business segment and “All Other” activities for the third quarter and first nine months of 2026 versus the same periods in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 and Outlook</w:t>
      </w:r>
    </w:p>
    <w:p>
      <w:pPr>
        <w:spacing w:after="0" w:line="9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Chevron Corporation</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is a global energy company with direct and indirect subsidiaries and affiliates that conduct substantial business activities in the following countries: Angola, Argentina, Australia, Bangladesh,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714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95" w:lineRule="exact"/>
        <w:rPr>
          <w:sz w:val="20"/>
          <w:szCs w:val="20"/>
          <w:color w:val="auto"/>
        </w:rPr>
      </w:pPr>
    </w:p>
    <w:p>
      <w:pPr>
        <w:ind w:right="20" w:firstLine="8"/>
        <w:spacing w:after="0" w:line="231" w:lineRule="auto"/>
        <w:tabs>
          <w:tab w:leader="none" w:pos="103"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Incorporated in Delaware in 1926 as Standard Oil Company of California, the company adopted the name Chevron Corporation in 1984 and ChevronTexaco Corporation in 2001. In 2005, ChevronTexaco Corporation changed its name to Chevron Corporation. As used in this report, the term “Chevron” and such terms as “the company,” “the corporation,” “our,” “we,” “us” and “its” may refer to Chevron Corporation, one or more of its consolidated subsidiaries, or all of them taken as a whole, but unless stated otherwise they do not include “affiliates” of Chevron — i.e., those companies generally owned 50 percent or less. All of these terms are used for convenience only and are not intended as a precise description of any of the separate companies, each of which manages its own affairs.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Brazil, Canada, China, Egypt, Equatorial Guinea, Guyana, Israel, Kazakhstan, Malaysia, Nigeria, the Partitioned Zone between Saudi Arabia and Kuwait, the Philippines, Singapore, South Korea, Thailand, the United Kingdom, the United States, and Venezuela.</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objective is to safely deliver higher returns, lower carbon and superior shareholder value in any business environment. Earnings of the company depend mostly on the profitability of its upstream business segment. The most significant factor affecting the results of operations for the upstream segment is the price of crude oil, which is determined in global markets outside of the company’s control. In the company’s downstream business, crude oil is the largest cost component of refined products. Periods of sustained lower commodity prices could result in the impairment or write-off of specific assets in future periods and cause the company to adjust operating expenses, including employee reductions, and capital expenditures, along with other measures intended to improve financial performance.</w:t>
      </w:r>
    </w:p>
    <w:p>
      <w:pPr>
        <w:spacing w:after="0" w:line="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governments, companies, communities and other stakeholders are supporting efforts to address climate change. International initiatives and national, regional and state legislation and regulations that aim to directly or indirectly reduce GHG emissions are in various stages of design, adoption, and implementation. These policies and programs can change the amount of energy consumed, the rate of energy-demand growth, the energy mix, and the relative economics of one fuel versus another. Implementation of jurisdiction-specific policies and programs can be dependent on, and can affect the pace of, technological advancements; the granting of necessary permits by governing authorities; the availability and acceptability of cost-effective, verifiable carbon credits; the availability of suppliers that can meet sustainability-related standards; evolving regulatory requirements affecting ESG standards or disclosures; and evolving standards and regulations for tracking, reporting, disclosing, marketing, and advertising relating to emissions and emissions reductions and removals.</w:t>
      </w:r>
    </w:p>
    <w:p>
      <w:pPr>
        <w:spacing w:after="0" w:line="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Significant uncertainty remains as to the pace and extent to which a lower carbon future progresses, which is dependent, in part, on substantial advancements and changes in policy, technology, and customer and consumer preferences. The level of expenditure required to comply with new or potential climate change-related laws and regulations, and the amount of additional investments needed in new or existing technology or facilities, such as carbon capture and storage, is difficult to predict with certainty and is expected to vary depending on the actual laws and regulations enacted, available technology options, customer and consumer preferences, the company’s activities, and market conditions. Although the future is uncertain, many published outlooks conclude that fossil fuels will remain a significant part of an energy system that increasingly incorporates lower carbon sources of supply for many years to come.</w:t>
      </w:r>
    </w:p>
    <w:p>
      <w:pPr>
        <w:spacing w:after="0" w:line="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Chevron supports a global approach to governments addressing climate change and continues to take actions to help lower the carbon intensity of its operations while continuing to meet the demand for energy. Chevron believes that broad, market-based mechanisms are the most efficient approach to addressing GHG emissions reductions. Chevron integrates climate change-related issues and the regulatory and other responses to these issues into its strategy and planning, capital investment reviews, and risk management tools and processes, where it believes they are applicable. They are also factored into the company’s long-range supply, demand, and energy price forecasts. These forecasts reflect estimates of long-range effects from climate change-related policy actions, such as electric vehicle and renewable fuel penetration, energy efficiency standards, and demand response to oil and natural gas prices.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continue to develop oil and gas resources to meet customers’ and consumers’ demand for energy. At the same time, Chevron believes that the future of energy is lower carbon. The company will continue to maintain flexibility in its portfolio to be responsive to changes in policy, technology, and customer and consumer preferences. Chevron aims to grow its oil and gas business, lower the carbon intensity of operations and grow new energies businesses. To grow new energies businesses, Chevron plans to leverage the company’s capabilities, assets, partnerships and customer relationships. The company’s oil and gas business may increase or decrease depending upon market, economic, legislative, and regulatory forces, among other factors.</w:t>
      </w:r>
    </w:p>
    <w:p>
      <w:pPr>
        <w:spacing w:after="0" w:line="5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Chevron’s previously disclosed GHG intensity targets through 2028 can be found on pages 36 through 37 of the company’s 2025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Chevron regularly evaluates its aspirations, targets and goals. The company has changed and/or eliminated some of these aspirations, targets and goals and may continue to do so in the future for various reasons, including market conditions; its strategy or portfolio; and financial, operational, policy, reputational, legal and other factors. The company’s ability to achieve any aspiration, target or goal is subject to numerous risks and contingencies, many of which are outside of Chevron’s control and persist. Examples of such risks and contingencies include: (1) sufficient and substantial advances in technology, including progress of commercially viable technologies and low- or non-carbon-based energy sources; (2) laws, governmental regulation, policies, and other enabling actions, including those regarding subsidies, tax and other incentives as well as the granting of necessary permits by governing authorities;</w:t>
      </w:r>
    </w:p>
    <w:p>
      <w:pPr>
        <w:spacing w:after="0" w:line="4" w:lineRule="exact"/>
        <w:rPr>
          <w:sz w:val="20"/>
          <w:szCs w:val="20"/>
          <w:color w:val="auto"/>
        </w:rPr>
      </w:pPr>
    </w:p>
    <w:p>
      <w:pPr>
        <w:jc w:val="both"/>
        <w:ind w:firstLine="8"/>
        <w:spacing w:after="0" w:line="265" w:lineRule="auto"/>
        <w:tabs>
          <w:tab w:leader="none" w:pos="2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generation, acquisition, retirement and accounting of cost-effective, verifiable carbon offsets from nature-based solutions or carbon capture and storage; (4) the availability of suppliers that can meet sustainability-related standards; (5) evolving regulatory requirements affecting ESG standards or disclosures; (6) evolving standards for tracking and reporting on emissions and emission reductions and removals; (7) customers’ and consumers’ preferences and use of the company’s products or substitute products; and (8) actions taken by the company’s competitors. Please refer to the risk factors regarding the company’s strategy, aspirations, targets, and disclosures related to environmental, social, and governance matters included on pages 25 through 27 of the company’s 2025 Annual Report on Form 10-K.</w:t>
      </w:r>
    </w:p>
    <w:p>
      <w:pPr>
        <w:spacing w:after="0" w:line="6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E51837"/>
        </w:rPr>
        <w:t xml:space="preserve">Income Taxes </w:t>
      </w:r>
      <w:r>
        <w:rPr>
          <w:rFonts w:ascii="Times New Roman" w:cs="Times New Roman" w:eastAsia="Times New Roman" w:hAnsi="Times New Roman"/>
          <w:sz w:val="18"/>
          <w:szCs w:val="18"/>
          <w:color w:val="000000"/>
        </w:rPr>
        <w:t>The effective tax rate for the company can change substantially during periods of significant earnings volatility. This is due to the mix</w:t>
      </w:r>
      <w:r>
        <w:rPr>
          <w:rFonts w:ascii="Times New Roman" w:cs="Times New Roman" w:eastAsia="Times New Roman" w:hAnsi="Times New Roman"/>
          <w:sz w:val="18"/>
          <w:szCs w:val="18"/>
          <w:b w:val="1"/>
          <w:bCs w:val="1"/>
          <w:i w:val="1"/>
          <w:iCs w:val="1"/>
          <w:color w:val="E51837"/>
        </w:rPr>
        <w:t xml:space="preserve"> </w:t>
      </w:r>
      <w:r>
        <w:rPr>
          <w:rFonts w:ascii="Times New Roman" w:cs="Times New Roman" w:eastAsia="Times New Roman" w:hAnsi="Times New Roman"/>
          <w:sz w:val="18"/>
          <w:szCs w:val="18"/>
          <w:color w:val="000000"/>
        </w:rPr>
        <w:t xml:space="preserve">effects that are impacted by both the absolute level of earnings or losses and whether they arise in higher or lower tax rate jurisdictions. As a result, a decline or increase in the effective income tax rate in one period may not be indicative of expected results in future periods. Additional information related to the company’s effective income tax rate is included in </w:t>
      </w:r>
      <w:r>
        <w:rPr>
          <w:rFonts w:ascii="Times New Roman" w:cs="Times New Roman" w:eastAsia="Times New Roman" w:hAnsi="Times New Roman"/>
          <w:sz w:val="18"/>
          <w:szCs w:val="18"/>
          <w:u w:val="single" w:color="auto"/>
          <w:color w:val="0000FF"/>
        </w:rPr>
        <w:t>Note 10 Income Taxes</w:t>
      </w:r>
      <w:r>
        <w:rPr>
          <w:rFonts w:ascii="Times New Roman" w:cs="Times New Roman" w:eastAsia="Times New Roman" w:hAnsi="Times New Roman"/>
          <w:sz w:val="18"/>
          <w:szCs w:val="18"/>
          <w:color w:val="000000"/>
        </w:rPr>
        <w:t xml:space="preserve"> to the Consolidated Financial Statements.</w:t>
      </w:r>
    </w:p>
    <w:p>
      <w:pPr>
        <w:spacing w:after="0" w:line="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E51837"/>
        </w:rPr>
        <w:t xml:space="preserve">Supply Chain and Inflation Impacts </w:t>
      </w:r>
      <w:r>
        <w:rPr>
          <w:rFonts w:ascii="Times New Roman" w:cs="Times New Roman" w:eastAsia="Times New Roman" w:hAnsi="Times New Roman"/>
          <w:sz w:val="18"/>
          <w:szCs w:val="18"/>
          <w:color w:val="000000"/>
        </w:rPr>
        <w:t>The company actively manages contracting, procurement and supply chain activities to help ensure operational</w:t>
      </w:r>
      <w:r>
        <w:rPr>
          <w:rFonts w:ascii="Times New Roman" w:cs="Times New Roman" w:eastAsia="Times New Roman" w:hAnsi="Times New Roman"/>
          <w:sz w:val="18"/>
          <w:szCs w:val="18"/>
          <w:b w:val="1"/>
          <w:bCs w:val="1"/>
          <w:i w:val="1"/>
          <w:iCs w:val="1"/>
          <w:color w:val="E51837"/>
        </w:rPr>
        <w:t xml:space="preserve"> </w:t>
      </w:r>
      <w:r>
        <w:rPr>
          <w:rFonts w:ascii="Times New Roman" w:cs="Times New Roman" w:eastAsia="Times New Roman" w:hAnsi="Times New Roman"/>
          <w:sz w:val="18"/>
          <w:szCs w:val="18"/>
          <w:color w:val="000000"/>
        </w:rPr>
        <w:t>reliability and effective management of third party costs. Third party costs for capital and operating expenses may be subject to external factors beyond the company’s control including, but not limited to: geopolitical events, severe weather, civil unrest, delays in construction, global and local supply chain distribution issues, inflation, tariffs or other taxes imposed on goods or services, and market-based prices charged by the industry’s material and service providers. Chevron utilizes contracts with various pricing mechanisms, which may result in a lag before the company’s costs reflect changes in market trends.</w:t>
      </w:r>
    </w:p>
    <w:p>
      <w:pPr>
        <w:spacing w:after="0" w:line="5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Trends in the costs of goods and services vary by spend category. In the United States, cost pressures for services and select equipment remain elevated, reflecting cross-industry demand and supplier capital discipline. The company addresses cost and supply assurance by partnering with suppliers on demand planning, volume commitments, standardization and scope optimization. The company continues to use a range of appropriately structured contracting and commercial terms, including fixed, indexed and performance-based contracts.</w:t>
      </w:r>
    </w:p>
    <w:p>
      <w:pPr>
        <w:spacing w:after="0" w:line="6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E51837"/>
        </w:rPr>
        <w:t xml:space="preserve">Acquisition and Disposition of Assets </w:t>
      </w:r>
      <w:r>
        <w:rPr>
          <w:rFonts w:ascii="Times New Roman" w:cs="Times New Roman" w:eastAsia="Times New Roman" w:hAnsi="Times New Roman"/>
          <w:sz w:val="18"/>
          <w:szCs w:val="18"/>
          <w:color w:val="000000"/>
        </w:rPr>
        <w:t>The company continually evaluates opportunities to dispose of assets that are not expected to provide sufficient</w:t>
      </w:r>
      <w:r>
        <w:rPr>
          <w:rFonts w:ascii="Times New Roman" w:cs="Times New Roman" w:eastAsia="Times New Roman" w:hAnsi="Times New Roman"/>
          <w:sz w:val="18"/>
          <w:szCs w:val="18"/>
          <w:b w:val="1"/>
          <w:bCs w:val="1"/>
          <w:i w:val="1"/>
          <w:iCs w:val="1"/>
          <w:color w:val="E51837"/>
        </w:rPr>
        <w:t xml:space="preserve"> </w:t>
      </w:r>
      <w:r>
        <w:rPr>
          <w:rFonts w:ascii="Times New Roman" w:cs="Times New Roman" w:eastAsia="Times New Roman" w:hAnsi="Times New Roman"/>
          <w:sz w:val="18"/>
          <w:szCs w:val="18"/>
          <w:color w:val="000000"/>
        </w:rPr>
        <w:t>long-term value and to acquire assets or operations complementary to its asset base to help augment the company’s financial performance and value growth. The company expects $1-2 billion in annual asset sale proceeds through 2030. Asset dispositions and restructurings may result in significant gains or losses in future periods.</w:t>
      </w:r>
    </w:p>
    <w:p>
      <w:pPr>
        <w:spacing w:after="0" w:line="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the second quarter of 2026, the company signed an agreement to sell the company’s 50 percent interest in the Singapore Refining Company Private Limited (Singapore Refining Company) and other downstream assets in Singapore, Australia, Indonesia, Malaysia, the Philippines and Vietnam. This transaction is expected to close in 2027.</w:t>
      </w:r>
    </w:p>
    <w:p>
      <w:pPr>
        <w:spacing w:after="0" w:line="6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On October 6, 2026, the company announced it had entered into agreements to restructure its commercial relationship with Hess Midstream LP. Refer to </w:t>
      </w:r>
      <w:r>
        <w:rPr>
          <w:rFonts w:ascii="Times New Roman" w:cs="Times New Roman" w:eastAsia="Times New Roman" w:hAnsi="Times New Roman"/>
          <w:sz w:val="18"/>
          <w:szCs w:val="18"/>
          <w:u w:val="single" w:color="auto"/>
          <w:color w:val="0000FF"/>
        </w:rPr>
        <w:t>Note 19 Restructuring of Hess Midstream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In addition, some assets are divested along with their related liabilities, such as decommissioning obligations. In certain instances, such transferred obligations have returned and may continue to return to the company and result in losses that could be significant. The company has historically recognized losses and could have additional significant obligations revert, primarily in the United States, but is not currently aware of any such obligations that are reasonably possible to be material. Refer to </w:t>
      </w:r>
      <w:r>
        <w:rPr>
          <w:rFonts w:ascii="Times New Roman" w:cs="Times New Roman" w:eastAsia="Times New Roman" w:hAnsi="Times New Roman"/>
          <w:sz w:val="18"/>
          <w:szCs w:val="18"/>
          <w:u w:val="single" w:color="auto"/>
          <w:color w:val="0000FF"/>
        </w:rPr>
        <w:t>Note 12 Other Contingencies and Commitments</w:t>
      </w:r>
      <w:r>
        <w:rPr>
          <w:rFonts w:ascii="Times New Roman" w:cs="Times New Roman" w:eastAsia="Times New Roman" w:hAnsi="Times New Roman"/>
          <w:sz w:val="18"/>
          <w:szCs w:val="18"/>
          <w:color w:val="auto"/>
        </w:rPr>
        <w:t xml:space="preserve"> for additional information.</w:t>
      </w:r>
    </w:p>
    <w:p>
      <w:pPr>
        <w:spacing w:after="0" w:line="12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E51837"/>
        </w:rPr>
        <w:t xml:space="preserve">Timing Effects </w:t>
      </w:r>
      <w:r>
        <w:rPr>
          <w:rFonts w:ascii="Times New Roman" w:cs="Times New Roman" w:eastAsia="Times New Roman" w:hAnsi="Times New Roman"/>
          <w:sz w:val="18"/>
          <w:szCs w:val="18"/>
          <w:color w:val="000000"/>
        </w:rPr>
        <w:t>The company uses financial derivatives as economic hedges to manage certain price risks related to physical hydrocarbon shipments. At the</w:t>
      </w:r>
      <w:r>
        <w:rPr>
          <w:rFonts w:ascii="Times New Roman" w:cs="Times New Roman" w:eastAsia="Times New Roman" w:hAnsi="Times New Roman"/>
          <w:sz w:val="18"/>
          <w:szCs w:val="18"/>
          <w:b w:val="1"/>
          <w:bCs w:val="1"/>
          <w:i w:val="1"/>
          <w:iCs w:val="1"/>
          <w:color w:val="E51837"/>
        </w:rPr>
        <w:t xml:space="preserve"> </w:t>
      </w:r>
      <w:r>
        <w:rPr>
          <w:rFonts w:ascii="Times New Roman" w:cs="Times New Roman" w:eastAsia="Times New Roman" w:hAnsi="Times New Roman"/>
          <w:sz w:val="18"/>
          <w:szCs w:val="18"/>
          <w:color w:val="000000"/>
        </w:rPr>
        <w:t>end of the quarter, as per the ASC 815 requirement, these derivatives are marked-to-market and reflected in current period earnings; however, earnings impacts on the associated physical shipments are not recognized until delivery is completed. This creates a timing difference in earnings recognition that is expected to unwind in future periods. In addition, the company’s use of LIFO accounting can result in non-cash earnings effects. Together, these are referred to as timing effects. In a rising commodity price environment, timing effects are generally negative and in a declining commodity price environment, timing effects are generally positive. In 2026, volatility in commodity prices resulted in significant fluctuations in timing effects, with unfavorable effects of $2.9 billion in the first quarter as commodity prices increased in March, favorable effects of $1.5 billion in the second quarter as prices declined in June and unfavorable effects of $1.6 billion in the third quarter as commodity prices increased in September.</w:t>
      </w:r>
    </w:p>
    <w:p>
      <w:pPr>
        <w:spacing w:after="0" w:line="6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E51837"/>
        </w:rPr>
        <w:t xml:space="preserve">Other Impacts </w:t>
      </w:r>
      <w:r>
        <w:rPr>
          <w:rFonts w:ascii="Times New Roman" w:cs="Times New Roman" w:eastAsia="Times New Roman" w:hAnsi="Times New Roman"/>
          <w:sz w:val="18"/>
          <w:szCs w:val="18"/>
          <w:color w:val="000000"/>
        </w:rPr>
        <w:t>The company closely monitors developments in the financial and credit markets, the level of worldwide economic activity, and the</w:t>
      </w:r>
      <w:r>
        <w:rPr>
          <w:rFonts w:ascii="Times New Roman" w:cs="Times New Roman" w:eastAsia="Times New Roman" w:hAnsi="Times New Roman"/>
          <w:sz w:val="18"/>
          <w:szCs w:val="18"/>
          <w:b w:val="1"/>
          <w:bCs w:val="1"/>
          <w:i w:val="1"/>
          <w:iCs w:val="1"/>
          <w:color w:val="E51837"/>
        </w:rPr>
        <w:t xml:space="preserve"> </w:t>
      </w:r>
      <w:r>
        <w:rPr>
          <w:rFonts w:ascii="Times New Roman" w:cs="Times New Roman" w:eastAsia="Times New Roman" w:hAnsi="Times New Roman"/>
          <w:sz w:val="18"/>
          <w:szCs w:val="18"/>
          <w:color w:val="000000"/>
        </w:rPr>
        <w:t>implications for the company of movements in prices for crude oil, natural gas and natural gas liquids (NGLs). Management takes these developments into account in the conduct of daily operations and for business planning.</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Comments related to earnings trends for the company’s major business areas are as follows:</w:t>
      </w:r>
    </w:p>
    <w:p>
      <w:pPr>
        <w:spacing w:after="0" w:line="1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E51837"/>
        </w:rPr>
        <w:t xml:space="preserve">Upstream </w:t>
      </w:r>
      <w:r>
        <w:rPr>
          <w:rFonts w:ascii="Times New Roman" w:cs="Times New Roman" w:eastAsia="Times New Roman" w:hAnsi="Times New Roman"/>
          <w:sz w:val="18"/>
          <w:szCs w:val="18"/>
          <w:color w:val="000000"/>
        </w:rPr>
        <w:t>Earnings for the upstream segment are closely aligned with industry prices for crude oil, natural gas and NGLs. These prices are subject to</w:t>
      </w:r>
      <w:r>
        <w:rPr>
          <w:rFonts w:ascii="Times New Roman" w:cs="Times New Roman" w:eastAsia="Times New Roman" w:hAnsi="Times New Roman"/>
          <w:sz w:val="18"/>
          <w:szCs w:val="18"/>
          <w:b w:val="1"/>
          <w:bCs w:val="1"/>
          <w:i w:val="1"/>
          <w:iCs w:val="1"/>
          <w:color w:val="E51837"/>
        </w:rPr>
        <w:t xml:space="preserve"> </w:t>
      </w:r>
      <w:r>
        <w:rPr>
          <w:rFonts w:ascii="Times New Roman" w:cs="Times New Roman" w:eastAsia="Times New Roman" w:hAnsi="Times New Roman"/>
          <w:sz w:val="18"/>
          <w:szCs w:val="18"/>
          <w:color w:val="000000"/>
        </w:rPr>
        <w:t>external factors over which the company has no control, including product demand connected with global economic conditions, industry production and inventory levels, technology advancements, production quotas or other actions imposed by OPEC+ countries, actions of regulators, weather-related damage and disruptions, competing fuel prices, natural and human causes beyond the company’s control, and regional supply interruptions or fears thereof that may be caused by military conflicts, civil unrest or political uncertainty. Any of these factors could also inhibit the company’s production capacity in an affected region. The company closely monitors developments in the countries in which it operates and holds investments and seeks to manage risks in operating its facilities and businesses.</w:t>
      </w:r>
    </w:p>
    <w:p>
      <w:pPr>
        <w:spacing w:after="0" w:line="72"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longer-term trend in earnings for the upstream segment is also a function of other factors, including the company’s ability to efficiently find, acquire and produce crude oil, natural gas and NGLs, changes in fiscal terms of contracts, the pace of energy transition, and changes in tax, environmental and other applicable laws and regulations.</w:t>
      </w:r>
    </w:p>
    <w:p>
      <w:pPr>
        <w:spacing w:after="0" w:line="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 company conducts its activities in Venezuela through the Petroboscan, Petropiar and Petroindependencia joint ventures, subject to U.S. government authorizations and sanctions. Effective September 1, 2026, the company began applying the equity method of accounting to these investments, reflecting enhanced fiscal, commercial and legal terms intended to support durable and competitive long-term investments. The company now recognizes its share of the affiliate earnings, production and reserves. This accounting change is not expected to significantly affect the amount or timing of earnings recognition. Future earnings and cash flows will be affected by commodity prices, operating performance and distributions, and other risk factors described in the company’s disclosures.</w:t>
      </w:r>
    </w:p>
    <w:p>
      <w:pPr>
        <w:spacing w:after="0" w:line="5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Chevron maintains an equity interest in the Caspian Pipeline Consortium (CPC) that provides a primary export route for Tengiz field production in Kazakhstan. An adverse event or incident affecting CPC operations, which CPC has experienced from time to time, such as drone attacks on CPC and third-party infrastructure and vessels, could have a negative impact on the company’s future results of operations and financial position. The financial impacts of such risks remain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Governments (including Russia) have imposed and may impose additional sanctions and other trade laws, restrictions and regulations that could lead to disruption in our ability to produce, transport and/or export crude in the region around Russia.</w:t>
      </w:r>
    </w:p>
    <w:p>
      <w:pPr>
        <w:spacing w:after="0" w:line="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Recent geopolitical conditions in the Middle East have impacted, and may continue to impact, the company’s business. Chevron has exposure to the Middle East through its upstream, downstream, chemicals and trading businesses, as well as through logistics activities, with operations in Israel, the Partitioned Zone between Saudi Arabia and Kuwait, and the surrounding region. The conflict has resulted in production curtailments in the Partitioned Zone between Saudi Arabia and Kuwait and from CPChem assets in Saudi Arabia and Qatar, and increased risks associated with lifting and transporting physical cargoes. The company has also experienced higher shipping and insurance costs and challenges for vessels transiting the Strait of Hormuz, the Arabian Gulf and Red Sea. While the company’s physical operations have not been materially impacted to date, the situation throughout the region remains volatile with the potential for escalation, which could result in additional operational restrictions, supply disruptions, and logistics challenges. The extent to which continued geopolitical tensions could impact the company’s results of operations and financial condition remains uncertain.</w:t>
      </w:r>
    </w:p>
    <w:p>
      <w:pPr>
        <w:spacing w:after="0" w:line="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addition, the conflict in the Middle East has increased potential physical and other risks to the company’s operations and assets. The company also faces growing threats from sophisticated cyberattacks that leverage artificial intelligence and similar tools. The company continues to actively monitor regional developments and maintain contingency plans for its operations, supply chains, and logistics activities. Any further impacts on the company’s results of operations and financial condition remain uncertain.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198120</wp:posOffset>
            </wp:positionV>
            <wp:extent cx="5014595" cy="2468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1459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Sources: Platts (crude) &amp; Energy Intelligence (natural gas)</w:t>
      </w:r>
    </w:p>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chart above shows the trend in benchmark prices for spot dated Brent crude oil (Brent), West Texas Intermediate (WTI) crude oil, and U.S. Henry Hub natural gas. The Brent price averaged $94 per barrel for the first nine months of 2026, compared with $71 per barrel during the first nine months of 2025, and was about $96 per barrel on November 4, 2026. For every dollar change in Brent crude oil prices, the company’s annual after-tax earnings and cash flow sensitivity is approximately $600 million. The WTI price averaged $84 per barrel for the first nine months of 2026, compared to $67 per barrel in the first nine months of 2025, and was about $88 per barrel on November 4, 2026. Crude oil prices increased sharply during the third quarter of 2026 following further escalation of conflict in the Middle East and prolonged disruptions to global crude oil and refined product supplies.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U.S. Henry Hub natural gas price averaged $3.49 per thousand cubic feet (MCF) for the first nine months of 2026, compared with $3.49 per MCF during the first nine months of 2025, and was about $2.63 per MCF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on November 4, 2026. Henry Hub natural gas prices were relatively unchanged during the third quarter of 2026 as strong domestic production, additional pipeline capacity and higher inventories contributed to a well-supplied domestic market.</w:t>
      </w:r>
    </w:p>
    <w:p>
      <w:pPr>
        <w:spacing w:after="0" w:line="2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Outside the United States, prices for natural gas also depend on regional supply and demand, regulatory circumstances and infrastructure conditions in local markets. The company’s long-term contract prices for LNG are typically linked to crude oil prices. Most of the equity LNG offtake from the operated Australian LNG assets is committed under binding long-term contracts, with some sold in the Asian spot LNG market.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page 40 for the company’s U.S. and international average realizations for the first nine months of 2026 and the same period last year.</w:t>
      </w:r>
    </w:p>
    <w:p>
      <w:pPr>
        <w:spacing w:after="0" w:line="10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E51837"/>
        </w:rPr>
        <w:t xml:space="preserve">Production </w:t>
      </w:r>
      <w:r>
        <w:rPr>
          <w:rFonts w:ascii="Times New Roman" w:cs="Times New Roman" w:eastAsia="Times New Roman" w:hAnsi="Times New Roman"/>
          <w:sz w:val="18"/>
          <w:szCs w:val="18"/>
          <w:color w:val="000000"/>
        </w:rPr>
        <w:t>The company’s worldwide net oil-equivalent production in the first nine months of 2026 averaged 3.97 million barrels per day, up 10 percent</w:t>
      </w:r>
      <w:r>
        <w:rPr>
          <w:rFonts w:ascii="Times New Roman" w:cs="Times New Roman" w:eastAsia="Times New Roman" w:hAnsi="Times New Roman"/>
          <w:sz w:val="18"/>
          <w:szCs w:val="18"/>
          <w:b w:val="1"/>
          <w:bCs w:val="1"/>
          <w:i w:val="1"/>
          <w:iCs w:val="1"/>
          <w:color w:val="E51837"/>
        </w:rPr>
        <w:t xml:space="preserve"> </w:t>
      </w:r>
      <w:r>
        <w:rPr>
          <w:rFonts w:ascii="Times New Roman" w:cs="Times New Roman" w:eastAsia="Times New Roman" w:hAnsi="Times New Roman"/>
          <w:sz w:val="18"/>
          <w:szCs w:val="18"/>
          <w:color w:val="000000"/>
        </w:rPr>
        <w:t>from a year ago due to the acquisition of Hess Corporation (Hess) and growth in the Gulf of America and Permian Basin, partly offset by lower production at TCO. About 17 percent of the company’s net oil-equivalent production in the first nine months of 2026 occurred in the OPEC+ member countries of Equatorial Guinea, Kazakhstan, Malaysia, Nigeria, the Partitioned Zone between Saudi Arabia and Kuwait, and Venezuela.</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“Results of Operations” section on page 34 for additional discussion of the company’s upstream business.</w:t>
      </w:r>
    </w:p>
    <w:p>
      <w:pPr>
        <w:spacing w:after="0" w:line="1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E51837"/>
        </w:rPr>
        <w:t xml:space="preserve">Downstream </w:t>
      </w:r>
      <w:r>
        <w:rPr>
          <w:rFonts w:ascii="Times New Roman" w:cs="Times New Roman" w:eastAsia="Times New Roman" w:hAnsi="Times New Roman"/>
          <w:sz w:val="18"/>
          <w:szCs w:val="18"/>
          <w:color w:val="000000"/>
        </w:rPr>
        <w:t>Earnings for the downstream segment are closely tied to margins on the refining, manufacturing and marketing of products that include</w:t>
      </w:r>
      <w:r>
        <w:rPr>
          <w:rFonts w:ascii="Times New Roman" w:cs="Times New Roman" w:eastAsia="Times New Roman" w:hAnsi="Times New Roman"/>
          <w:sz w:val="18"/>
          <w:szCs w:val="18"/>
          <w:b w:val="1"/>
          <w:bCs w:val="1"/>
          <w:i w:val="1"/>
          <w:iCs w:val="1"/>
          <w:color w:val="E51837"/>
        </w:rPr>
        <w:t xml:space="preserve"> </w:t>
      </w:r>
      <w:r>
        <w:rPr>
          <w:rFonts w:ascii="Times New Roman" w:cs="Times New Roman" w:eastAsia="Times New Roman" w:hAnsi="Times New Roman"/>
          <w:sz w:val="18"/>
          <w:szCs w:val="18"/>
          <w:color w:val="000000"/>
        </w:rPr>
        <w:t>gasoline, diesel, jet fuel, lubricants, fuel oil, fuel and lubricant additives, petrochemicals and renewable fuels. Industry margins are sometimes volatile and can be affected by the global and regional supply-and-demand balance for refined products and petrochemicals, and by changes in the price of crude oil, other refinery and petrochemical feedstocks, and natural gas. Industry margins can also be influenced by inventory levels, geopolitical events, costs of materials and services, refinery or chemical plant capacity utilization, maintenance programs, and disruptions at refineries or chemical plants resulting from unplanned outages due to severe weather, fires or other operational events.</w:t>
      </w:r>
    </w:p>
    <w:p>
      <w:pPr>
        <w:spacing w:after="0" w:line="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Other factors affecting profitability for downstream operations include the reliability and efficiency of the company’s refining, marketing and petrochemical assets, the effectiveness of its crude oil and product supply functions, and the volatility of tanker-charter rates for the company’s shipping operations, which are driven by the industry’s demand for crude oil and product tankers. Other factors beyond the company’s control include the general level of inflation and energy costs to operate the company’s refining, marketing and petrochemical assets, and changes in tax, environmental, and other applicable laws and regulations.</w:t>
      </w:r>
    </w:p>
    <w:p>
      <w:pPr>
        <w:spacing w:after="0" w:line="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Downstream earnings benefited from elevated refining margins during the third quarter of 2026, reflecting disruptions to global refined product supplies resulting from continued geopolitical events. The duration of these disruptions and their impact on future industry margins remain uncertain, and current margin levels may not be indicative of future results.</w:t>
      </w:r>
    </w:p>
    <w:p>
      <w:pPr>
        <w:spacing w:after="0" w:line="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most significant marketing areas are the West Coast and Gulf Coast of the United States and Asia Pacific. Chevron operates or has significant ownership interests in refineries in each of these areas.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“Results of Operations” section on page 34 for additional discussion of the company’s downstream operations.</w:t>
      </w:r>
    </w:p>
    <w:p>
      <w:pPr>
        <w:spacing w:after="0" w:line="10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E51837"/>
        </w:rPr>
        <w:t xml:space="preserve">All Other </w:t>
      </w:r>
      <w:r>
        <w:rPr>
          <w:rFonts w:ascii="Times New Roman" w:cs="Times New Roman" w:eastAsia="Times New Roman" w:hAnsi="Times New Roman"/>
          <w:sz w:val="18"/>
          <w:szCs w:val="18"/>
          <w:color w:val="000000"/>
        </w:rPr>
        <w:t>consists of worldwide cash management and debt financing activities, corporate administrative functions, insurance operations, real estate</w:t>
      </w:r>
      <w:r>
        <w:rPr>
          <w:rFonts w:ascii="Times New Roman" w:cs="Times New Roman" w:eastAsia="Times New Roman" w:hAnsi="Times New Roman"/>
          <w:sz w:val="18"/>
          <w:szCs w:val="18"/>
          <w:b w:val="1"/>
          <w:bCs w:val="1"/>
          <w:i w:val="1"/>
          <w:iCs w:val="1"/>
          <w:color w:val="E51837"/>
        </w:rPr>
        <w:t xml:space="preserve"> </w:t>
      </w:r>
      <w:r>
        <w:rPr>
          <w:rFonts w:ascii="Times New Roman" w:cs="Times New Roman" w:eastAsia="Times New Roman" w:hAnsi="Times New Roman"/>
          <w:sz w:val="18"/>
          <w:szCs w:val="18"/>
          <w:color w:val="000000"/>
        </w:rPr>
        <w:t>activities, and technology companies.</w:t>
      </w:r>
    </w:p>
    <w:p>
      <w:pPr>
        <w:spacing w:after="0" w:line="2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“Cautionary Statements Relevant to Forward-Looking Information”</w:t>
      </w:r>
      <w:r>
        <w:rPr>
          <w:rFonts w:ascii="Times New Roman" w:cs="Times New Roman" w:eastAsia="Times New Roman" w:hAnsi="Times New Roman"/>
          <w:sz w:val="18"/>
          <w:szCs w:val="18"/>
          <w:color w:val="auto"/>
        </w:rPr>
        <w:t xml:space="preserve"> on page 2 and to “Risk Factors” on pages 21 through 27 of the company’s 2025 Annual Report on Form 10-K for a discussion of some of the inherent risks that could materially impact the company’s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Noteworthy Developments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noteworthy developments in recent months included the following:</w:t>
      </w:r>
    </w:p>
    <w:p>
      <w:pPr>
        <w:spacing w:after="0" w:line="100" w:lineRule="exact"/>
        <w:rPr>
          <w:sz w:val="20"/>
          <w:szCs w:val="20"/>
          <w:color w:val="auto"/>
        </w:rPr>
      </w:pPr>
    </w:p>
    <w:p>
      <w:pPr>
        <w:ind w:left="340" w:hanging="251"/>
        <w:spacing w:after="0" w:line="302" w:lineRule="auto"/>
        <w:tabs>
          <w:tab w:leader="none" w:pos="33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EE2724"/>
        </w:rPr>
        <w:t xml:space="preserve">Angola </w:t>
      </w:r>
      <w:r>
        <w:rPr>
          <w:rFonts w:ascii="Times New Roman" w:cs="Times New Roman" w:eastAsia="Times New Roman" w:hAnsi="Times New Roman"/>
          <w:sz w:val="18"/>
          <w:szCs w:val="18"/>
          <w:color w:val="000000"/>
        </w:rPr>
        <w:t>- Announced an offshore crude oil and natural gas condensate discovery in the prolific Lower Congo Basin, demonstrating the potential of the</w:t>
      </w:r>
      <w:r>
        <w:rPr>
          <w:rFonts w:ascii="Times New Roman" w:cs="Times New Roman" w:eastAsia="Times New Roman" w:hAnsi="Times New Roman"/>
          <w:sz w:val="18"/>
          <w:szCs w:val="18"/>
          <w:b w:val="1"/>
          <w:bCs w:val="1"/>
          <w:i w:val="1"/>
          <w:iCs w:val="1"/>
          <w:color w:val="EE2724"/>
        </w:rPr>
        <w:t xml:space="preserve"> </w:t>
      </w:r>
      <w:r>
        <w:rPr>
          <w:rFonts w:ascii="Times New Roman" w:cs="Times New Roman" w:eastAsia="Times New Roman" w:hAnsi="Times New Roman"/>
          <w:sz w:val="18"/>
          <w:szCs w:val="18"/>
          <w:color w:val="000000"/>
        </w:rPr>
        <w:t>company’s exploration program in sub-Saharan Africa.</w:t>
      </w:r>
    </w:p>
    <w:p>
      <w:pPr>
        <w:spacing w:after="0" w:line="19" w:lineRule="exact"/>
        <w:rPr>
          <w:rFonts w:ascii="Times New Roman" w:cs="Times New Roman" w:eastAsia="Times New Roman" w:hAnsi="Times New Roman"/>
          <w:sz w:val="18"/>
          <w:szCs w:val="18"/>
          <w:b w:val="1"/>
          <w:bCs w:val="1"/>
          <w:color w:val="auto"/>
        </w:rPr>
      </w:pPr>
    </w:p>
    <w:p>
      <w:pPr>
        <w:ind w:left="320" w:hanging="231"/>
        <w:spacing w:after="0"/>
        <w:tabs>
          <w:tab w:leader="none" w:pos="3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EE2724"/>
        </w:rPr>
        <w:t xml:space="preserve">Cambodia </w:t>
      </w:r>
      <w:r>
        <w:rPr>
          <w:rFonts w:ascii="Times New Roman" w:cs="Times New Roman" w:eastAsia="Times New Roman" w:hAnsi="Times New Roman"/>
          <w:sz w:val="18"/>
          <w:szCs w:val="18"/>
          <w:color w:val="000000"/>
        </w:rPr>
        <w:t>- Completed the sale of the downstream fuels business.</w:t>
      </w:r>
    </w:p>
    <w:p>
      <w:pPr>
        <w:spacing w:after="0" w:line="117" w:lineRule="exact"/>
        <w:rPr>
          <w:rFonts w:ascii="Times New Roman" w:cs="Times New Roman" w:eastAsia="Times New Roman" w:hAnsi="Times New Roman"/>
          <w:sz w:val="18"/>
          <w:szCs w:val="18"/>
          <w:b w:val="1"/>
          <w:bCs w:val="1"/>
          <w:color w:val="auto"/>
        </w:rPr>
      </w:pPr>
    </w:p>
    <w:p>
      <w:pPr>
        <w:ind w:left="340" w:hanging="251"/>
        <w:spacing w:after="0" w:line="286" w:lineRule="auto"/>
        <w:tabs>
          <w:tab w:leader="none" w:pos="33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EE2724"/>
        </w:rPr>
        <w:t xml:space="preserve">Libya </w:t>
      </w:r>
      <w:r>
        <w:rPr>
          <w:rFonts w:ascii="Times New Roman" w:cs="Times New Roman" w:eastAsia="Times New Roman" w:hAnsi="Times New Roman"/>
          <w:sz w:val="18"/>
          <w:szCs w:val="18"/>
          <w:color w:val="000000"/>
        </w:rPr>
        <w:t>- Signed an exploration agreement with Libya’s National Oil Corporation in the Sirte Basin, advancing Chevron’s North Africa upstream growth</w:t>
      </w:r>
      <w:r>
        <w:rPr>
          <w:rFonts w:ascii="Times New Roman" w:cs="Times New Roman" w:eastAsia="Times New Roman" w:hAnsi="Times New Roman"/>
          <w:sz w:val="18"/>
          <w:szCs w:val="18"/>
          <w:b w:val="1"/>
          <w:bCs w:val="1"/>
          <w:i w:val="1"/>
          <w:iCs w:val="1"/>
          <w:color w:val="EE2724"/>
        </w:rPr>
        <w:t xml:space="preserve"> </w:t>
      </w:r>
      <w:r>
        <w:rPr>
          <w:rFonts w:ascii="Times New Roman" w:cs="Times New Roman" w:eastAsia="Times New Roman" w:hAnsi="Times New Roman"/>
          <w:sz w:val="18"/>
          <w:szCs w:val="18"/>
          <w:color w:val="000000"/>
        </w:rPr>
        <w:t>strategy and exploration portfolio.</w:t>
      </w:r>
    </w:p>
    <w:p>
      <w:pPr>
        <w:spacing w:after="0" w:line="46" w:lineRule="exact"/>
        <w:rPr>
          <w:rFonts w:ascii="Times New Roman" w:cs="Times New Roman" w:eastAsia="Times New Roman" w:hAnsi="Times New Roman"/>
          <w:sz w:val="18"/>
          <w:szCs w:val="18"/>
          <w:b w:val="1"/>
          <w:bCs w:val="1"/>
          <w:color w:val="auto"/>
        </w:rPr>
      </w:pPr>
    </w:p>
    <w:p>
      <w:pPr>
        <w:ind w:left="340" w:hanging="251"/>
        <w:spacing w:after="0" w:line="317" w:lineRule="auto"/>
        <w:tabs>
          <w:tab w:leader="none" w:pos="335"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EE2724"/>
        </w:rPr>
        <w:t xml:space="preserve">United States </w:t>
      </w:r>
      <w:r>
        <w:rPr>
          <w:rFonts w:ascii="Times New Roman" w:cs="Times New Roman" w:eastAsia="Times New Roman" w:hAnsi="Times New Roman"/>
          <w:sz w:val="17"/>
          <w:szCs w:val="17"/>
          <w:color w:val="000000"/>
        </w:rPr>
        <w:t>- Announced plans to continue to strengthen the competitiveness of the company’s Bakken upstream operations by restructuring its long-term commercial arrangements with Hess Midstream LP, reducing midstream costs by approximately 50 percent and increasing operational flexibility.</w:t>
      </w:r>
    </w:p>
    <w:p>
      <w:pPr>
        <w:spacing w:after="0" w:line="23" w:lineRule="exact"/>
        <w:rPr>
          <w:rFonts w:ascii="Times New Roman" w:cs="Times New Roman" w:eastAsia="Times New Roman" w:hAnsi="Times New Roman"/>
          <w:sz w:val="17"/>
          <w:szCs w:val="17"/>
          <w:b w:val="1"/>
          <w:bCs w:val="1"/>
          <w:color w:val="auto"/>
        </w:rPr>
      </w:pPr>
    </w:p>
    <w:p>
      <w:pPr>
        <w:ind w:left="340" w:hanging="251"/>
        <w:spacing w:after="0" w:line="286" w:lineRule="auto"/>
        <w:tabs>
          <w:tab w:leader="none" w:pos="33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EE2724"/>
        </w:rPr>
        <w:t xml:space="preserve">United States </w:t>
      </w:r>
      <w:r>
        <w:rPr>
          <w:rFonts w:ascii="Times New Roman" w:cs="Times New Roman" w:eastAsia="Times New Roman" w:hAnsi="Times New Roman"/>
          <w:sz w:val="18"/>
          <w:szCs w:val="18"/>
          <w:color w:val="000000"/>
        </w:rPr>
        <w:t>- Started production at the new Bunge Chevron Ag Renewables LLC oilseed-processing facility in Destrehan, Louisiana, supplying</w:t>
      </w:r>
      <w:r>
        <w:rPr>
          <w:rFonts w:ascii="Times New Roman" w:cs="Times New Roman" w:eastAsia="Times New Roman" w:hAnsi="Times New Roman"/>
          <w:sz w:val="18"/>
          <w:szCs w:val="18"/>
          <w:b w:val="1"/>
          <w:bCs w:val="1"/>
          <w:i w:val="1"/>
          <w:iCs w:val="1"/>
          <w:color w:val="EE2724"/>
        </w:rPr>
        <w:t xml:space="preserve"> </w:t>
      </w:r>
      <w:r>
        <w:rPr>
          <w:rFonts w:ascii="Times New Roman" w:cs="Times New Roman" w:eastAsia="Times New Roman" w:hAnsi="Times New Roman"/>
          <w:sz w:val="18"/>
          <w:szCs w:val="18"/>
          <w:color w:val="000000"/>
        </w:rPr>
        <w:t>additional feedstocks for transportation fuels.</w:t>
      </w:r>
    </w:p>
    <w:p>
      <w:pPr>
        <w:spacing w:after="0" w:line="46" w:lineRule="exact"/>
        <w:rPr>
          <w:rFonts w:ascii="Times New Roman" w:cs="Times New Roman" w:eastAsia="Times New Roman" w:hAnsi="Times New Roman"/>
          <w:sz w:val="18"/>
          <w:szCs w:val="18"/>
          <w:b w:val="1"/>
          <w:bCs w:val="1"/>
          <w:color w:val="auto"/>
        </w:rPr>
      </w:pPr>
    </w:p>
    <w:p>
      <w:pPr>
        <w:ind w:left="340" w:hanging="251"/>
        <w:spacing w:after="0" w:line="286" w:lineRule="auto"/>
        <w:tabs>
          <w:tab w:leader="none" w:pos="33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EE2724"/>
        </w:rPr>
        <w:t xml:space="preserve">Venezuela </w:t>
      </w:r>
      <w:r>
        <w:rPr>
          <w:rFonts w:ascii="Times New Roman" w:cs="Times New Roman" w:eastAsia="Times New Roman" w:hAnsi="Times New Roman"/>
          <w:sz w:val="18"/>
          <w:szCs w:val="18"/>
          <w:color w:val="000000"/>
        </w:rPr>
        <w:t>- Improved commercial terms and expanded acreage, supporting future investments and the potential to more than double production over</w:t>
      </w:r>
      <w:r>
        <w:rPr>
          <w:rFonts w:ascii="Times New Roman" w:cs="Times New Roman" w:eastAsia="Times New Roman" w:hAnsi="Times New Roman"/>
          <w:sz w:val="18"/>
          <w:szCs w:val="18"/>
          <w:b w:val="1"/>
          <w:bCs w:val="1"/>
          <w:i w:val="1"/>
          <w:iCs w:val="1"/>
          <w:color w:val="EE2724"/>
        </w:rPr>
        <w:t xml:space="preserve"> </w:t>
      </w:r>
      <w:r>
        <w:rPr>
          <w:rFonts w:ascii="Times New Roman" w:cs="Times New Roman" w:eastAsia="Times New Roman" w:hAnsi="Times New Roman"/>
          <w:sz w:val="18"/>
          <w:szCs w:val="18"/>
          <w:color w:val="000000"/>
        </w:rPr>
        <w:t>the next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0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Business Segments </w:t>
      </w:r>
      <w:r>
        <w:rPr>
          <w:rFonts w:ascii="Times New Roman" w:cs="Times New Roman" w:eastAsia="Times New Roman" w:hAnsi="Times New Roman"/>
          <w:sz w:val="18"/>
          <w:szCs w:val="18"/>
          <w:color w:val="auto"/>
        </w:rPr>
        <w:t>The following section presents the results of operations and variances on an after-tax basis for the company’s business segments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Upstream and Downstream — as well as for “All Other.” (Refer to </w:t>
      </w:r>
      <w:r>
        <w:rPr>
          <w:rFonts w:ascii="Times New Roman" w:cs="Times New Roman" w:eastAsia="Times New Roman" w:hAnsi="Times New Roman"/>
          <w:sz w:val="18"/>
          <w:szCs w:val="18"/>
          <w:u w:val="single" w:color="auto"/>
          <w:color w:val="0000FF"/>
        </w:rPr>
        <w:t>Note 7 Operating Segments and Geographic Data</w:t>
      </w:r>
      <w:r>
        <w:rPr>
          <w:rFonts w:ascii="Times New Roman" w:cs="Times New Roman" w:eastAsia="Times New Roman" w:hAnsi="Times New Roman"/>
          <w:sz w:val="18"/>
          <w:szCs w:val="18"/>
          <w:color w:val="auto"/>
        </w:rPr>
        <w:t xml:space="preserve"> for a discussion of the company’s “reportable segments,” as defined under the accounting standards for segment reporting.)</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Upstream</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5"/>
        </w:trPr>
        <w:tc>
          <w:tcPr>
            <w:tcW w:w="3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0" w:type="dxa"/>
            <w:vAlign w:val="bottom"/>
            <w:tcBorders>
              <w:bottom w:val="single" w:sz="8" w:color="0077C0"/>
            </w:tcBorders>
          </w:tcPr>
          <w:p>
            <w:pPr>
              <w:spacing w:after="0"/>
              <w:rPr>
                <w:sz w:val="16"/>
                <w:szCs w:val="16"/>
                <w:color w:val="auto"/>
              </w:rPr>
            </w:pPr>
          </w:p>
        </w:tc>
        <w:tc>
          <w:tcPr>
            <w:tcW w:w="1880" w:type="dxa"/>
            <w:vAlign w:val="bottom"/>
            <w:tcBorders>
              <w:bottom w:val="single" w:sz="8" w:color="0077C0"/>
            </w:tcBorders>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0077C0"/>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0077C0"/>
            </w:tcBorders>
          </w:tcPr>
          <w:p>
            <w:pPr>
              <w:spacing w:after="0"/>
              <w:rPr>
                <w:sz w:val="16"/>
                <w:szCs w:val="16"/>
                <w:color w:val="auto"/>
              </w:rPr>
            </w:pPr>
          </w:p>
        </w:tc>
        <w:tc>
          <w:tcPr>
            <w:tcW w:w="1820" w:type="dxa"/>
            <w:vAlign w:val="bottom"/>
            <w:tcBorders>
              <w:bottom w:val="single" w:sz="8" w:color="0077C0"/>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0077C0"/>
            </w:tcBorders>
          </w:tcPr>
          <w:p>
            <w:pPr>
              <w:spacing w:after="0"/>
              <w:rPr>
                <w:sz w:val="16"/>
                <w:szCs w:val="16"/>
                <w:color w:val="auto"/>
              </w:rPr>
            </w:pPr>
          </w:p>
        </w:tc>
      </w:tr>
      <w:tr>
        <w:trPr>
          <w:trHeight w:val="225"/>
        </w:trPr>
        <w:tc>
          <w:tcPr>
            <w:tcW w:w="3200" w:type="dxa"/>
            <w:vAlign w:val="bottom"/>
            <w:tcBorders>
              <w:bottom w:val="single" w:sz="8" w:color="0077C0"/>
            </w:tcBorders>
          </w:tcPr>
          <w:p>
            <w:pPr>
              <w:spacing w:after="0"/>
              <w:rPr>
                <w:sz w:val="19"/>
                <w:szCs w:val="19"/>
                <w:color w:val="auto"/>
              </w:rPr>
            </w:pPr>
          </w:p>
        </w:tc>
        <w:tc>
          <w:tcPr>
            <w:tcW w:w="1680" w:type="dxa"/>
            <w:vAlign w:val="bottom"/>
            <w:tcBorders>
              <w:bottom w:val="single" w:sz="8" w:color="0077C0"/>
            </w:tcBorders>
          </w:tcPr>
          <w:p>
            <w:pPr>
              <w:jc w:val="center"/>
              <w:ind w:left="707"/>
              <w:spacing w:after="0"/>
              <w:rPr>
                <w:sz w:val="20"/>
                <w:szCs w:val="20"/>
                <w:color w:val="auto"/>
              </w:rPr>
            </w:pPr>
            <w:r>
              <w:rPr>
                <w:rFonts w:ascii="Times New Roman" w:cs="Times New Roman" w:eastAsia="Times New Roman" w:hAnsi="Times New Roman"/>
                <w:sz w:val="16"/>
                <w:szCs w:val="16"/>
                <w:b w:val="1"/>
                <w:bCs w:val="1"/>
                <w:color w:val="auto"/>
                <w:w w:val="99"/>
              </w:rPr>
              <w:t>Unit *</w:t>
            </w:r>
          </w:p>
        </w:tc>
        <w:tc>
          <w:tcPr>
            <w:tcW w:w="360" w:type="dxa"/>
            <w:vAlign w:val="bottom"/>
            <w:tcBorders>
              <w:bottom w:val="single" w:sz="8" w:color="0077C0"/>
            </w:tcBorders>
          </w:tcPr>
          <w:p>
            <w:pPr>
              <w:spacing w:after="0"/>
              <w:rPr>
                <w:sz w:val="19"/>
                <w:szCs w:val="19"/>
                <w:color w:val="auto"/>
              </w:rPr>
            </w:pPr>
          </w:p>
        </w:tc>
        <w:tc>
          <w:tcPr>
            <w:tcW w:w="1200" w:type="dxa"/>
            <w:vAlign w:val="bottom"/>
            <w:tcBorders>
              <w:bottom w:val="single" w:sz="8" w:color="0077C0"/>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bottom w:val="single" w:sz="8" w:color="0077C0"/>
            </w:tcBorders>
          </w:tcPr>
          <w:p>
            <w:pPr>
              <w:spacing w:after="0"/>
              <w:rPr>
                <w:sz w:val="19"/>
                <w:szCs w:val="19"/>
                <w:color w:val="auto"/>
              </w:rPr>
            </w:pPr>
          </w:p>
        </w:tc>
        <w:tc>
          <w:tcPr>
            <w:tcW w:w="940" w:type="dxa"/>
            <w:vAlign w:val="bottom"/>
            <w:tcBorders>
              <w:bottom w:val="single" w:sz="8" w:color="0077C0"/>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0077C0"/>
            </w:tcBorders>
          </w:tcPr>
          <w:p>
            <w:pPr>
              <w:spacing w:after="0"/>
              <w:rPr>
                <w:sz w:val="19"/>
                <w:szCs w:val="19"/>
                <w:color w:val="auto"/>
              </w:rPr>
            </w:pPr>
          </w:p>
        </w:tc>
        <w:tc>
          <w:tcPr>
            <w:tcW w:w="340" w:type="dxa"/>
            <w:vAlign w:val="bottom"/>
            <w:tcBorders>
              <w:bottom w:val="single" w:sz="8" w:color="0077C0"/>
            </w:tcBorders>
          </w:tcPr>
          <w:p>
            <w:pPr>
              <w:spacing w:after="0"/>
              <w:rPr>
                <w:sz w:val="19"/>
                <w:szCs w:val="19"/>
                <w:color w:val="auto"/>
              </w:rPr>
            </w:pPr>
          </w:p>
        </w:tc>
        <w:tc>
          <w:tcPr>
            <w:tcW w:w="1220" w:type="dxa"/>
            <w:vAlign w:val="bottom"/>
            <w:tcBorders>
              <w:bottom w:val="single" w:sz="8" w:color="0077C0"/>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0077C0"/>
            </w:tcBorders>
          </w:tcPr>
          <w:p>
            <w:pPr>
              <w:spacing w:after="0"/>
              <w:rPr>
                <w:sz w:val="19"/>
                <w:szCs w:val="19"/>
                <w:color w:val="auto"/>
              </w:rPr>
            </w:pPr>
          </w:p>
        </w:tc>
        <w:tc>
          <w:tcPr>
            <w:tcW w:w="900" w:type="dxa"/>
            <w:vAlign w:val="bottom"/>
            <w:tcBorders>
              <w:bottom w:val="single" w:sz="8" w:color="0077C0"/>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U.S. Upstream</w:t>
            </w:r>
          </w:p>
        </w:tc>
        <w:tc>
          <w:tcPr>
            <w:tcW w:w="1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1680" w:type="dxa"/>
            <w:vAlign w:val="bottom"/>
            <w:shd w:val="clear" w:color="auto" w:fill="CCEEFF"/>
          </w:tcPr>
          <w:p>
            <w:pPr>
              <w:jc w:val="center"/>
              <w:ind w:left="707"/>
              <w:spacing w:after="0"/>
              <w:rPr>
                <w:sz w:val="20"/>
                <w:szCs w:val="20"/>
                <w:color w:val="auto"/>
              </w:rPr>
            </w:pPr>
            <w:r>
              <w:rPr>
                <w:rFonts w:ascii="Times New Roman" w:cs="Times New Roman" w:eastAsia="Times New Roman" w:hAnsi="Times New Roman"/>
                <w:sz w:val="14"/>
                <w:szCs w:val="14"/>
                <w:color w:val="auto"/>
              </w:rPr>
              <w:t>$MM</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3,293</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8,946</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Oil-Equivalent Production</w:t>
            </w:r>
          </w:p>
        </w:tc>
        <w:tc>
          <w:tcPr>
            <w:tcW w:w="1680" w:type="dxa"/>
            <w:vAlign w:val="bottom"/>
          </w:tcPr>
          <w:p>
            <w:pPr>
              <w:jc w:val="center"/>
              <w:ind w:left="687"/>
              <w:spacing w:after="0"/>
              <w:rPr>
                <w:sz w:val="20"/>
                <w:szCs w:val="20"/>
                <w:color w:val="auto"/>
              </w:rPr>
            </w:pPr>
            <w:r>
              <w:rPr>
                <w:rFonts w:ascii="Times New Roman" w:cs="Times New Roman" w:eastAsia="Times New Roman" w:hAnsi="Times New Roman"/>
                <w:sz w:val="14"/>
                <w:szCs w:val="14"/>
                <w:color w:val="auto"/>
              </w:rPr>
              <w:t>MBOED</w:t>
            </w:r>
          </w:p>
        </w:tc>
        <w:tc>
          <w:tcPr>
            <w:tcW w:w="3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2,043</w:t>
            </w:r>
          </w:p>
        </w:tc>
        <w:tc>
          <w:tcPr>
            <w:tcW w:w="6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2,048</w:t>
            </w: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r>
      <w:tr>
        <w:trPr>
          <w:trHeight w:val="243"/>
        </w:trPr>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Liquids Production</w:t>
            </w:r>
          </w:p>
        </w:tc>
        <w:tc>
          <w:tcPr>
            <w:tcW w:w="1680" w:type="dxa"/>
            <w:vAlign w:val="bottom"/>
            <w:shd w:val="clear" w:color="auto" w:fill="CCEEFF"/>
          </w:tcPr>
          <w:p>
            <w:pPr>
              <w:jc w:val="center"/>
              <w:ind w:left="707"/>
              <w:spacing w:after="0"/>
              <w:rPr>
                <w:sz w:val="20"/>
                <w:szCs w:val="20"/>
                <w:color w:val="auto"/>
              </w:rPr>
            </w:pPr>
            <w:r>
              <w:rPr>
                <w:rFonts w:ascii="Times New Roman" w:cs="Times New Roman" w:eastAsia="Times New Roman" w:hAnsi="Times New Roman"/>
                <w:sz w:val="14"/>
                <w:szCs w:val="14"/>
                <w:i w:val="1"/>
                <w:iCs w:val="1"/>
                <w:color w:val="auto"/>
                <w:w w:val="98"/>
              </w:rPr>
              <w:t>MBD</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1,456</w:t>
            </w:r>
          </w:p>
        </w:tc>
        <w:tc>
          <w:tcPr>
            <w:tcW w:w="6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1,469</w:t>
            </w:r>
          </w:p>
        </w:tc>
        <w:tc>
          <w:tcPr>
            <w:tcW w:w="6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43"/>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Natural Gas Production</w:t>
            </w:r>
          </w:p>
        </w:tc>
        <w:tc>
          <w:tcPr>
            <w:tcW w:w="1680" w:type="dxa"/>
            <w:vAlign w:val="bottom"/>
          </w:tcPr>
          <w:p>
            <w:pPr>
              <w:jc w:val="center"/>
              <w:ind w:left="707"/>
              <w:spacing w:after="0"/>
              <w:rPr>
                <w:sz w:val="20"/>
                <w:szCs w:val="20"/>
                <w:color w:val="auto"/>
              </w:rPr>
            </w:pPr>
            <w:r>
              <w:rPr>
                <w:rFonts w:ascii="Times New Roman" w:cs="Times New Roman" w:eastAsia="Times New Roman" w:hAnsi="Times New Roman"/>
                <w:sz w:val="14"/>
                <w:szCs w:val="14"/>
                <w:i w:val="1"/>
                <w:iCs w:val="1"/>
                <w:color w:val="auto"/>
              </w:rPr>
              <w:t>MMCFD</w:t>
            </w:r>
          </w:p>
        </w:tc>
        <w:tc>
          <w:tcPr>
            <w:tcW w:w="3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3,522</w:t>
            </w:r>
          </w:p>
        </w:tc>
        <w:tc>
          <w:tcPr>
            <w:tcW w:w="6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3,474</w:t>
            </w: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r>
      <w:tr>
        <w:trPr>
          <w:trHeight w:val="24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Liquids Realization</w:t>
            </w:r>
          </w:p>
        </w:tc>
        <w:tc>
          <w:tcPr>
            <w:tcW w:w="1680" w:type="dxa"/>
            <w:vAlign w:val="bottom"/>
            <w:shd w:val="clear" w:color="auto" w:fill="CCEEFF"/>
          </w:tcPr>
          <w:p>
            <w:pPr>
              <w:jc w:val="center"/>
              <w:ind w:left="707"/>
              <w:spacing w:after="0"/>
              <w:rPr>
                <w:sz w:val="20"/>
                <w:szCs w:val="20"/>
                <w:color w:val="auto"/>
              </w:rPr>
            </w:pPr>
            <w:r>
              <w:rPr>
                <w:rFonts w:ascii="Times New Roman" w:cs="Times New Roman" w:eastAsia="Times New Roman" w:hAnsi="Times New Roman"/>
                <w:sz w:val="14"/>
                <w:szCs w:val="14"/>
                <w:color w:val="auto"/>
                <w:w w:val="99"/>
              </w:rPr>
              <w:t>$/BBL</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62.72</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61.92</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w:t>
            </w: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Realization</w:t>
            </w:r>
          </w:p>
        </w:tc>
        <w:tc>
          <w:tcPr>
            <w:tcW w:w="1680" w:type="dxa"/>
            <w:vAlign w:val="bottom"/>
          </w:tcPr>
          <w:p>
            <w:pPr>
              <w:jc w:val="center"/>
              <w:ind w:left="707"/>
              <w:spacing w:after="0"/>
              <w:rPr>
                <w:sz w:val="20"/>
                <w:szCs w:val="20"/>
                <w:color w:val="auto"/>
              </w:rPr>
            </w:pPr>
            <w:r>
              <w:rPr>
                <w:rFonts w:ascii="Times New Roman" w:cs="Times New Roman" w:eastAsia="Times New Roman" w:hAnsi="Times New Roman"/>
                <w:sz w:val="14"/>
                <w:szCs w:val="14"/>
                <w:color w:val="auto"/>
              </w:rPr>
              <w:t>$/MCF</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1.88</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1.74</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00" w:hanging="74"/>
        <w:spacing w:after="0" w:line="226" w:lineRule="auto"/>
        <w:tabs>
          <w:tab w:leader="none" w:pos="10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MBD — thousands of barrels per day; MMCFD — millions of cubic feet per day; BBL — Barrel; MCF — thousands of cubic feet; MBOED — thousands of barrels of oil-equivalent per day.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 Periods Ended September 30, 2026 and 2025</w:t>
      </w:r>
    </w:p>
    <w:p>
      <w:pPr>
        <w:spacing w:after="0" w:line="65"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U.S. upstream earnings increased by $2.0 billion primarily due to higher liquids realizations of $1.5 billion and lower operating expenses of $590 million, including the absence of prior year severance and transaction costs related to the Hess acquisition of $245 million.</w:t>
      </w:r>
    </w:p>
    <w:p>
      <w:pPr>
        <w:spacing w:after="0" w:line="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oil-equivalent production was up 3,000 barrels per day from the year-ago period. The increase was primarily due to higher production in the Gulf of America, following project ramp-ups at Ballymore, Whale and Anchor, partly offset by lower production in the Bakken.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 Periods Ended September 30, 2026 and 2025</w:t>
      </w:r>
    </w:p>
    <w:p>
      <w:pPr>
        <w:spacing w:after="0" w:line="106"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U.S. upstream earnings increased by $4.4 billion primarily due to higher liquids realizations of $3.5 billion and increased sales volumes of $2.2 billion, partly offset by higher depreciation, depletion and amortization of $1.2 billion.</w:t>
      </w:r>
    </w:p>
    <w:p>
      <w:pPr>
        <w:spacing w:after="0" w:line="28"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Net oil-equivalent production was up 256,000 barrels per day, or 14 percent. The increase was primarily due to the acquisition of Hess and higher production in the Gulf of America following project start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80" w:type="dxa"/>
            <w:vAlign w:val="bottom"/>
            <w:gridSpan w:val="2"/>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2"/>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3"/>
                <w:szCs w:val="13"/>
                <w:color w:val="auto"/>
              </w:rPr>
            </w:pPr>
          </w:p>
        </w:tc>
      </w:tr>
      <w:tr>
        <w:trPr>
          <w:trHeight w:val="196"/>
        </w:trPr>
        <w:tc>
          <w:tcPr>
            <w:tcW w:w="3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60" w:type="dxa"/>
            <w:vAlign w:val="bottom"/>
            <w:tcBorders>
              <w:bottom w:val="single" w:sz="8" w:color="0077C0"/>
            </w:tcBorders>
          </w:tcPr>
          <w:p>
            <w:pPr>
              <w:spacing w:after="0"/>
              <w:rPr>
                <w:sz w:val="17"/>
                <w:szCs w:val="17"/>
                <w:color w:val="auto"/>
              </w:rPr>
            </w:pPr>
          </w:p>
        </w:tc>
        <w:tc>
          <w:tcPr>
            <w:tcW w:w="2280" w:type="dxa"/>
            <w:vAlign w:val="bottom"/>
            <w:tcBorders>
              <w:bottom w:val="single" w:sz="8" w:color="0077C0"/>
            </w:tcBorders>
            <w:gridSpan w:val="2"/>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Borders>
              <w:bottom w:val="single" w:sz="8" w:color="0077C0"/>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77C0"/>
            </w:tcBorders>
          </w:tcPr>
          <w:p>
            <w:pPr>
              <w:spacing w:after="0"/>
              <w:rPr>
                <w:sz w:val="17"/>
                <w:szCs w:val="17"/>
                <w:color w:val="auto"/>
              </w:rPr>
            </w:pPr>
          </w:p>
        </w:tc>
        <w:tc>
          <w:tcPr>
            <w:tcW w:w="1800" w:type="dxa"/>
            <w:vAlign w:val="bottom"/>
            <w:tcBorders>
              <w:bottom w:val="single" w:sz="8" w:color="0077C0"/>
            </w:tcBorders>
            <w:gridSpan w:val="2"/>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0077C0"/>
            </w:tcBorders>
          </w:tcPr>
          <w:p>
            <w:pPr>
              <w:spacing w:after="0"/>
              <w:rPr>
                <w:sz w:val="17"/>
                <w:szCs w:val="17"/>
                <w:color w:val="auto"/>
              </w:rPr>
            </w:pPr>
          </w:p>
        </w:tc>
      </w:tr>
      <w:tr>
        <w:trPr>
          <w:trHeight w:val="229"/>
        </w:trPr>
        <w:tc>
          <w:tcPr>
            <w:tcW w:w="3200" w:type="dxa"/>
            <w:vAlign w:val="bottom"/>
            <w:tcBorders>
              <w:bottom w:val="single" w:sz="8" w:color="0077C0"/>
            </w:tcBorders>
          </w:tcPr>
          <w:p>
            <w:pPr>
              <w:spacing w:after="0"/>
              <w:rPr>
                <w:sz w:val="19"/>
                <w:szCs w:val="19"/>
                <w:color w:val="auto"/>
              </w:rPr>
            </w:pPr>
          </w:p>
        </w:tc>
        <w:tc>
          <w:tcPr>
            <w:tcW w:w="1680" w:type="dxa"/>
            <w:vAlign w:val="bottom"/>
            <w:tcBorders>
              <w:bottom w:val="single" w:sz="8" w:color="0077C0"/>
            </w:tcBorders>
          </w:tcPr>
          <w:p>
            <w:pPr>
              <w:jc w:val="center"/>
              <w:ind w:left="707"/>
              <w:spacing w:after="0" w:line="229" w:lineRule="exact"/>
              <w:rPr>
                <w:sz w:val="20"/>
                <w:szCs w:val="20"/>
                <w:color w:val="auto"/>
              </w:rPr>
            </w:pPr>
            <w:r>
              <w:rPr>
                <w:rFonts w:ascii="Times New Roman" w:cs="Times New Roman" w:eastAsia="Times New Roman" w:hAnsi="Times New Roman"/>
                <w:sz w:val="16"/>
                <w:szCs w:val="16"/>
                <w:b w:val="1"/>
                <w:bCs w:val="1"/>
                <w:color w:val="auto"/>
                <w:w w:val="90"/>
              </w:rPr>
              <w:t xml:space="preserve">Unit </w:t>
            </w:r>
            <w:r>
              <w:rPr>
                <w:rFonts w:ascii="Times New Roman" w:cs="Times New Roman" w:eastAsia="Times New Roman" w:hAnsi="Times New Roman"/>
                <w:sz w:val="21"/>
                <w:szCs w:val="21"/>
                <w:b w:val="1"/>
                <w:bCs w:val="1"/>
                <w:color w:val="auto"/>
                <w:w w:val="90"/>
                <w:vertAlign w:val="superscript"/>
              </w:rPr>
              <w:t>(2)</w:t>
            </w:r>
          </w:p>
        </w:tc>
        <w:tc>
          <w:tcPr>
            <w:tcW w:w="360" w:type="dxa"/>
            <w:vAlign w:val="bottom"/>
            <w:tcBorders>
              <w:bottom w:val="single" w:sz="8" w:color="0077C0"/>
            </w:tcBorders>
          </w:tcPr>
          <w:p>
            <w:pPr>
              <w:spacing w:after="0"/>
              <w:rPr>
                <w:sz w:val="19"/>
                <w:szCs w:val="19"/>
                <w:color w:val="auto"/>
              </w:rPr>
            </w:pPr>
          </w:p>
        </w:tc>
        <w:tc>
          <w:tcPr>
            <w:tcW w:w="1220" w:type="dxa"/>
            <w:vAlign w:val="bottom"/>
            <w:tcBorders>
              <w:bottom w:val="single" w:sz="8" w:color="0077C0"/>
            </w:tcBorders>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60" w:type="dxa"/>
            <w:vAlign w:val="bottom"/>
            <w:tcBorders>
              <w:bottom w:val="single" w:sz="8" w:color="0077C0"/>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0077C0"/>
            </w:tcBorders>
          </w:tcPr>
          <w:p>
            <w:pPr>
              <w:spacing w:after="0"/>
              <w:rPr>
                <w:sz w:val="19"/>
                <w:szCs w:val="19"/>
                <w:color w:val="auto"/>
              </w:rPr>
            </w:pPr>
          </w:p>
        </w:tc>
        <w:tc>
          <w:tcPr>
            <w:tcW w:w="120" w:type="dxa"/>
            <w:vAlign w:val="bottom"/>
            <w:tcBorders>
              <w:bottom w:val="single" w:sz="8" w:color="0077C0"/>
            </w:tcBorders>
          </w:tcPr>
          <w:p>
            <w:pPr>
              <w:spacing w:after="0"/>
              <w:rPr>
                <w:sz w:val="19"/>
                <w:szCs w:val="19"/>
                <w:color w:val="auto"/>
              </w:rPr>
            </w:pPr>
          </w:p>
        </w:tc>
        <w:tc>
          <w:tcPr>
            <w:tcW w:w="340" w:type="dxa"/>
            <w:vAlign w:val="bottom"/>
            <w:tcBorders>
              <w:bottom w:val="single" w:sz="8" w:color="0077C0"/>
            </w:tcBorders>
          </w:tcPr>
          <w:p>
            <w:pPr>
              <w:spacing w:after="0"/>
              <w:rPr>
                <w:sz w:val="19"/>
                <w:szCs w:val="19"/>
                <w:color w:val="auto"/>
              </w:rPr>
            </w:pPr>
          </w:p>
        </w:tc>
        <w:tc>
          <w:tcPr>
            <w:tcW w:w="1160" w:type="dxa"/>
            <w:vAlign w:val="bottom"/>
            <w:tcBorders>
              <w:bottom w:val="single" w:sz="8" w:color="0077C0"/>
            </w:tcBorders>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bottom w:val="single" w:sz="8" w:color="0077C0"/>
            </w:tcBorders>
          </w:tcPr>
          <w:p>
            <w:pPr>
              <w:spacing w:after="0"/>
              <w:rPr>
                <w:sz w:val="19"/>
                <w:szCs w:val="19"/>
                <w:color w:val="auto"/>
              </w:rPr>
            </w:pPr>
          </w:p>
        </w:tc>
        <w:tc>
          <w:tcPr>
            <w:tcW w:w="920" w:type="dxa"/>
            <w:vAlign w:val="bottom"/>
            <w:tcBorders>
              <w:bottom w:val="single" w:sz="8" w:color="0077C0"/>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3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 Upstream</w:t>
            </w:r>
          </w:p>
        </w:tc>
        <w:tc>
          <w:tcPr>
            <w:tcW w:w="1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3"/>
        </w:trPr>
        <w:tc>
          <w:tcPr>
            <w:tcW w:w="32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Earnings </w:t>
            </w:r>
            <w:r>
              <w:rPr>
                <w:rFonts w:ascii="Times New Roman" w:cs="Times New Roman" w:eastAsia="Times New Roman" w:hAnsi="Times New Roman"/>
                <w:sz w:val="23"/>
                <w:szCs w:val="23"/>
                <w:color w:val="auto"/>
                <w:vertAlign w:val="superscript"/>
              </w:rPr>
              <w:t>(1)</w:t>
            </w:r>
          </w:p>
        </w:tc>
        <w:tc>
          <w:tcPr>
            <w:tcW w:w="1680" w:type="dxa"/>
            <w:vAlign w:val="bottom"/>
            <w:shd w:val="clear" w:color="auto" w:fill="CCEEFF"/>
          </w:tcPr>
          <w:p>
            <w:pPr>
              <w:jc w:val="center"/>
              <w:ind w:left="707"/>
              <w:spacing w:after="0"/>
              <w:rPr>
                <w:sz w:val="20"/>
                <w:szCs w:val="20"/>
                <w:color w:val="auto"/>
              </w:rPr>
            </w:pPr>
            <w:r>
              <w:rPr>
                <w:rFonts w:ascii="Times New Roman" w:cs="Times New Roman" w:eastAsia="Times New Roman" w:hAnsi="Times New Roman"/>
                <w:sz w:val="14"/>
                <w:szCs w:val="14"/>
                <w:color w:val="auto"/>
              </w:rPr>
              <w:t>$MM</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2,405</w:t>
            </w:r>
          </w:p>
        </w:tc>
        <w:tc>
          <w:tcPr>
            <w:tcW w:w="1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8,843</w:t>
            </w:r>
          </w:p>
        </w:tc>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w:t>
            </w: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Oil-Equivalent Production</w:t>
            </w:r>
          </w:p>
        </w:tc>
        <w:tc>
          <w:tcPr>
            <w:tcW w:w="1680" w:type="dxa"/>
            <w:vAlign w:val="bottom"/>
          </w:tcPr>
          <w:p>
            <w:pPr>
              <w:jc w:val="center"/>
              <w:ind w:left="687"/>
              <w:spacing w:after="0"/>
              <w:rPr>
                <w:sz w:val="20"/>
                <w:szCs w:val="20"/>
                <w:color w:val="auto"/>
              </w:rPr>
            </w:pPr>
            <w:r>
              <w:rPr>
                <w:rFonts w:ascii="Times New Roman" w:cs="Times New Roman" w:eastAsia="Times New Roman" w:hAnsi="Times New Roman"/>
                <w:sz w:val="14"/>
                <w:szCs w:val="14"/>
                <w:color w:val="auto"/>
              </w:rPr>
              <w:t>MBOED</w:t>
            </w:r>
          </w:p>
        </w:tc>
        <w:tc>
          <w:tcPr>
            <w:tcW w:w="3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1,937</w:t>
            </w: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1,922</w:t>
            </w:r>
          </w:p>
        </w:tc>
        <w:tc>
          <w:tcPr>
            <w:tcW w:w="6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r>
      <w:tr>
        <w:trPr>
          <w:trHeight w:val="243"/>
        </w:trPr>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Liquids Production</w:t>
            </w:r>
          </w:p>
        </w:tc>
        <w:tc>
          <w:tcPr>
            <w:tcW w:w="1680" w:type="dxa"/>
            <w:vAlign w:val="bottom"/>
            <w:shd w:val="clear" w:color="auto" w:fill="CCEEFF"/>
          </w:tcPr>
          <w:p>
            <w:pPr>
              <w:jc w:val="center"/>
              <w:ind w:left="707"/>
              <w:spacing w:after="0"/>
              <w:rPr>
                <w:sz w:val="20"/>
                <w:szCs w:val="20"/>
                <w:color w:val="auto"/>
              </w:rPr>
            </w:pPr>
            <w:r>
              <w:rPr>
                <w:rFonts w:ascii="Times New Roman" w:cs="Times New Roman" w:eastAsia="Times New Roman" w:hAnsi="Times New Roman"/>
                <w:sz w:val="14"/>
                <w:szCs w:val="14"/>
                <w:i w:val="1"/>
                <w:iCs w:val="1"/>
                <w:color w:val="auto"/>
                <w:w w:val="98"/>
              </w:rPr>
              <w:t>MBD</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1,010</w:t>
            </w:r>
          </w:p>
        </w:tc>
        <w:tc>
          <w:tcPr>
            <w:tcW w:w="10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1,026</w:t>
            </w:r>
          </w:p>
        </w:tc>
        <w:tc>
          <w:tcPr>
            <w:tcW w:w="6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243"/>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Natural Gas Production</w:t>
            </w:r>
          </w:p>
        </w:tc>
        <w:tc>
          <w:tcPr>
            <w:tcW w:w="1680" w:type="dxa"/>
            <w:vAlign w:val="bottom"/>
          </w:tcPr>
          <w:p>
            <w:pPr>
              <w:jc w:val="center"/>
              <w:ind w:left="707"/>
              <w:spacing w:after="0"/>
              <w:rPr>
                <w:sz w:val="20"/>
                <w:szCs w:val="20"/>
                <w:color w:val="auto"/>
              </w:rPr>
            </w:pPr>
            <w:r>
              <w:rPr>
                <w:rFonts w:ascii="Times New Roman" w:cs="Times New Roman" w:eastAsia="Times New Roman" w:hAnsi="Times New Roman"/>
                <w:sz w:val="14"/>
                <w:szCs w:val="14"/>
                <w:i w:val="1"/>
                <w:iCs w:val="1"/>
                <w:color w:val="auto"/>
              </w:rPr>
              <w:t>MMCFD</w:t>
            </w:r>
          </w:p>
        </w:tc>
        <w:tc>
          <w:tcPr>
            <w:tcW w:w="3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5,563</w:t>
            </w: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5,373</w:t>
            </w:r>
          </w:p>
        </w:tc>
        <w:tc>
          <w:tcPr>
            <w:tcW w:w="6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w:t>
            </w:r>
          </w:p>
        </w:tc>
      </w:tr>
      <w:tr>
        <w:trPr>
          <w:trHeight w:val="24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Liquids Realization</w:t>
            </w:r>
          </w:p>
        </w:tc>
        <w:tc>
          <w:tcPr>
            <w:tcW w:w="1680" w:type="dxa"/>
            <w:vAlign w:val="bottom"/>
            <w:shd w:val="clear" w:color="auto" w:fill="CCEEFF"/>
          </w:tcPr>
          <w:p>
            <w:pPr>
              <w:jc w:val="center"/>
              <w:ind w:left="707"/>
              <w:spacing w:after="0"/>
              <w:rPr>
                <w:sz w:val="20"/>
                <w:szCs w:val="20"/>
                <w:color w:val="auto"/>
              </w:rPr>
            </w:pPr>
            <w:r>
              <w:rPr>
                <w:rFonts w:ascii="Times New Roman" w:cs="Times New Roman" w:eastAsia="Times New Roman" w:hAnsi="Times New Roman"/>
                <w:sz w:val="14"/>
                <w:szCs w:val="14"/>
                <w:color w:val="auto"/>
                <w:w w:val="99"/>
              </w:rPr>
              <w:t>$/BBL</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86.09</w:t>
            </w:r>
          </w:p>
        </w:tc>
        <w:tc>
          <w:tcPr>
            <w:tcW w:w="1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86.94</w:t>
            </w:r>
          </w:p>
        </w:tc>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63.14</w:t>
            </w:r>
          </w:p>
        </w:tc>
      </w:tr>
      <w:tr>
        <w:trPr>
          <w:trHeight w:val="243"/>
        </w:trPr>
        <w:tc>
          <w:tcPr>
            <w:tcW w:w="3200" w:type="dxa"/>
            <w:vAlign w:val="bottom"/>
            <w:tcBorders>
              <w:bottom w:val="single" w:sz="8" w:color="0070C0"/>
            </w:tcBorders>
          </w:tcPr>
          <w:p>
            <w:pPr>
              <w:ind w:left="20"/>
              <w:spacing w:after="0"/>
              <w:rPr>
                <w:sz w:val="20"/>
                <w:szCs w:val="20"/>
                <w:color w:val="auto"/>
              </w:rPr>
            </w:pPr>
            <w:r>
              <w:rPr>
                <w:rFonts w:ascii="Times New Roman" w:cs="Times New Roman" w:eastAsia="Times New Roman" w:hAnsi="Times New Roman"/>
                <w:sz w:val="18"/>
                <w:szCs w:val="18"/>
                <w:color w:val="auto"/>
              </w:rPr>
              <w:t>Natural Gas Realization</w:t>
            </w:r>
          </w:p>
        </w:tc>
        <w:tc>
          <w:tcPr>
            <w:tcW w:w="1680" w:type="dxa"/>
            <w:vAlign w:val="bottom"/>
            <w:tcBorders>
              <w:bottom w:val="single" w:sz="8" w:color="0070C0"/>
            </w:tcBorders>
          </w:tcPr>
          <w:p>
            <w:pPr>
              <w:jc w:val="center"/>
              <w:ind w:left="707"/>
              <w:spacing w:after="0"/>
              <w:rPr>
                <w:sz w:val="20"/>
                <w:szCs w:val="20"/>
                <w:color w:val="auto"/>
              </w:rPr>
            </w:pPr>
            <w:r>
              <w:rPr>
                <w:rFonts w:ascii="Times New Roman" w:cs="Times New Roman" w:eastAsia="Times New Roman" w:hAnsi="Times New Roman"/>
                <w:sz w:val="14"/>
                <w:szCs w:val="14"/>
                <w:color w:val="auto"/>
              </w:rPr>
              <w:t>$/MCF</w:t>
            </w:r>
          </w:p>
        </w:tc>
        <w:tc>
          <w:tcPr>
            <w:tcW w:w="360" w:type="dxa"/>
            <w:vAlign w:val="bottom"/>
            <w:tcBorders>
              <w:bottom w:val="single" w:sz="8" w:color="0070C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0070C0"/>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9.44</w:t>
            </w:r>
          </w:p>
        </w:tc>
        <w:tc>
          <w:tcPr>
            <w:tcW w:w="1060" w:type="dxa"/>
            <w:vAlign w:val="bottom"/>
            <w:tcBorders>
              <w:bottom w:val="single" w:sz="8" w:color="0070C0"/>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0070C0"/>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Borders>
              <w:bottom w:val="single" w:sz="8" w:color="0070C0"/>
            </w:tcBorders>
          </w:tcPr>
          <w:p>
            <w:pPr>
              <w:spacing w:after="0"/>
              <w:rPr>
                <w:sz w:val="21"/>
                <w:szCs w:val="21"/>
                <w:color w:val="auto"/>
              </w:rPr>
            </w:pPr>
          </w:p>
        </w:tc>
        <w:tc>
          <w:tcPr>
            <w:tcW w:w="340" w:type="dxa"/>
            <w:vAlign w:val="bottom"/>
            <w:tcBorders>
              <w:bottom w:val="single" w:sz="8" w:color="0070C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0070C0"/>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8.14</w:t>
            </w:r>
          </w:p>
        </w:tc>
        <w:tc>
          <w:tcPr>
            <w:tcW w:w="640" w:type="dxa"/>
            <w:vAlign w:val="bottom"/>
            <w:tcBorders>
              <w:bottom w:val="single" w:sz="8" w:color="0070C0"/>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0070C0"/>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21"/>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Includes foreign currency effects</w:t>
            </w:r>
          </w:p>
        </w:tc>
        <w:tc>
          <w:tcPr>
            <w:tcW w:w="1680" w:type="dxa"/>
            <w:vAlign w:val="bottom"/>
          </w:tcPr>
          <w:p>
            <w:pPr>
              <w:jc w:val="center"/>
              <w:ind w:left="707"/>
              <w:spacing w:after="0"/>
              <w:rPr>
                <w:sz w:val="20"/>
                <w:szCs w:val="20"/>
                <w:color w:val="auto"/>
              </w:rPr>
            </w:pPr>
            <w:r>
              <w:rPr>
                <w:rFonts w:ascii="Times New Roman" w:cs="Times New Roman" w:eastAsia="Times New Roman" w:hAnsi="Times New Roman"/>
                <w:sz w:val="14"/>
                <w:szCs w:val="14"/>
                <w:color w:val="auto"/>
              </w:rPr>
              <w:t>$MM</w:t>
            </w: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(133)</w:t>
            </w:r>
          </w:p>
        </w:tc>
        <w:tc>
          <w:tcPr>
            <w:tcW w:w="1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(443)</w:t>
            </w:r>
          </w:p>
        </w:tc>
        <w:tc>
          <w:tcPr>
            <w:tcW w:w="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r>
    </w:tbl>
    <w:p>
      <w:pPr>
        <w:ind w:left="200" w:hanging="174"/>
        <w:spacing w:after="0" w:line="199" w:lineRule="auto"/>
        <w:tabs>
          <w:tab w:leader="none" w:pos="20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MBD — thousands of barrels per day; MMCFD — millions of cubic feet per day; BBL — Barrel; MCF — thousands of cubic feet; MBOED — thousands of barrels of oil-equivalent per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 Periods Ended September 30, 2026 and 2025</w:t>
      </w:r>
    </w:p>
    <w:p>
      <w:pPr>
        <w:spacing w:after="0" w:line="6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International upstream earnings increased by $385 million primarily due to higher realizations of $2.2 billion and higher liftings in Venezuela of $470 million, partly offset by unfavorable timing effects of $1.1 billion, unfavorable taxes of $310 million, unfavorable foreign currency effects of $222 million, a legal reserve of $160 million and an impairment charge of $110 million.</w:t>
      </w:r>
    </w:p>
    <w:p>
      <w:pPr>
        <w:spacing w:after="0" w:line="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Net oil-equivalent production was down 109,000 barrels per day, or 5 percent. The decrease was primarily due to lower entitlements from higher prices and impacts from the conflict in the Middle East, partly offset by record production at operated assets in Australia and the inclusion of one month of Venezuela production following the switch to equity accounting.</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 Periods Ended September 30, 2026 and 2025</w:t>
      </w:r>
    </w:p>
    <w:p>
      <w:pPr>
        <w:spacing w:after="0" w:line="10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International upstream earnings increased by $3.6 billion primarily due to higher realizations of $4.2 billion and increased sales volumes of $3.3 billion, partly offset by unfavorable timing effects of $1.7 billion, higher depreciation, depletion and amortization of $1.6 billion, and unfavorable taxes of $720 million.</w:t>
      </w:r>
    </w:p>
    <w:p>
      <w:pPr>
        <w:spacing w:after="0" w:line="4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Net oil-equivalent production was up 100,000 barrels per day, or 5 percent. The increase was primarily due to the acquisition of Hess, partly offset by lower production at TCO and curtailments in the Partitioned Zone between Saudi Arabia and Kuwait due to the Middle East conflict.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Downstream</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00" w:type="dxa"/>
            <w:vAlign w:val="bottom"/>
            <w:gridSpan w:val="2"/>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6"/>
        </w:trPr>
        <w:tc>
          <w:tcPr>
            <w:tcW w:w="3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 w:type="dxa"/>
            <w:vAlign w:val="bottom"/>
            <w:tcBorders>
              <w:bottom w:val="single" w:sz="8" w:color="0077C0"/>
            </w:tcBorders>
          </w:tcPr>
          <w:p>
            <w:pPr>
              <w:spacing w:after="0"/>
              <w:rPr>
                <w:sz w:val="17"/>
                <w:szCs w:val="17"/>
                <w:color w:val="auto"/>
              </w:rPr>
            </w:pPr>
          </w:p>
        </w:tc>
        <w:tc>
          <w:tcPr>
            <w:tcW w:w="1900" w:type="dxa"/>
            <w:vAlign w:val="bottom"/>
            <w:tcBorders>
              <w:bottom w:val="single" w:sz="8" w:color="0077C0"/>
            </w:tcBorders>
            <w:gridSpan w:val="2"/>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0077C0"/>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77C0"/>
            </w:tcBorders>
          </w:tcPr>
          <w:p>
            <w:pPr>
              <w:spacing w:after="0"/>
              <w:rPr>
                <w:sz w:val="17"/>
                <w:szCs w:val="17"/>
                <w:color w:val="auto"/>
              </w:rPr>
            </w:pPr>
          </w:p>
        </w:tc>
        <w:tc>
          <w:tcPr>
            <w:tcW w:w="1820" w:type="dxa"/>
            <w:vAlign w:val="bottom"/>
            <w:tcBorders>
              <w:bottom w:val="single" w:sz="8" w:color="0077C0"/>
            </w:tcBorders>
            <w:gridSpan w:val="2"/>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0077C0"/>
            </w:tcBorders>
          </w:tcPr>
          <w:p>
            <w:pPr>
              <w:spacing w:after="0"/>
              <w:rPr>
                <w:sz w:val="17"/>
                <w:szCs w:val="17"/>
                <w:color w:val="auto"/>
              </w:rPr>
            </w:pPr>
          </w:p>
        </w:tc>
      </w:tr>
      <w:tr>
        <w:trPr>
          <w:trHeight w:val="229"/>
        </w:trPr>
        <w:tc>
          <w:tcPr>
            <w:tcW w:w="3120" w:type="dxa"/>
            <w:vAlign w:val="bottom"/>
            <w:tcBorders>
              <w:bottom w:val="single" w:sz="8" w:color="0077C0"/>
            </w:tcBorders>
          </w:tcPr>
          <w:p>
            <w:pPr>
              <w:spacing w:after="0"/>
              <w:rPr>
                <w:sz w:val="19"/>
                <w:szCs w:val="19"/>
                <w:color w:val="auto"/>
              </w:rPr>
            </w:pPr>
          </w:p>
        </w:tc>
        <w:tc>
          <w:tcPr>
            <w:tcW w:w="1780" w:type="dxa"/>
            <w:vAlign w:val="bottom"/>
            <w:tcBorders>
              <w:bottom w:val="single" w:sz="8" w:color="0077C0"/>
            </w:tcBorders>
          </w:tcPr>
          <w:p>
            <w:pPr>
              <w:jc w:val="center"/>
              <w:ind w:left="806"/>
              <w:spacing w:after="0" w:line="229" w:lineRule="exact"/>
              <w:rPr>
                <w:sz w:val="20"/>
                <w:szCs w:val="20"/>
                <w:color w:val="auto"/>
              </w:rPr>
            </w:pPr>
            <w:r>
              <w:rPr>
                <w:rFonts w:ascii="Times New Roman" w:cs="Times New Roman" w:eastAsia="Times New Roman" w:hAnsi="Times New Roman"/>
                <w:sz w:val="16"/>
                <w:szCs w:val="16"/>
                <w:b w:val="1"/>
                <w:bCs w:val="1"/>
                <w:color w:val="auto"/>
                <w:w w:val="92"/>
              </w:rPr>
              <w:t xml:space="preserve">Unit </w:t>
            </w:r>
            <w:r>
              <w:rPr>
                <w:rFonts w:ascii="Times New Roman" w:cs="Times New Roman" w:eastAsia="Times New Roman" w:hAnsi="Times New Roman"/>
                <w:sz w:val="21"/>
                <w:szCs w:val="21"/>
                <w:b w:val="1"/>
                <w:bCs w:val="1"/>
                <w:color w:val="auto"/>
                <w:w w:val="92"/>
                <w:vertAlign w:val="superscript"/>
              </w:rPr>
              <w:t>*</w:t>
            </w:r>
          </w:p>
        </w:tc>
        <w:tc>
          <w:tcPr>
            <w:tcW w:w="340" w:type="dxa"/>
            <w:vAlign w:val="bottom"/>
            <w:tcBorders>
              <w:bottom w:val="single" w:sz="8" w:color="0077C0"/>
            </w:tcBorders>
          </w:tcPr>
          <w:p>
            <w:pPr>
              <w:spacing w:after="0"/>
              <w:rPr>
                <w:sz w:val="19"/>
                <w:szCs w:val="19"/>
                <w:color w:val="auto"/>
              </w:rPr>
            </w:pPr>
          </w:p>
        </w:tc>
        <w:tc>
          <w:tcPr>
            <w:tcW w:w="1220" w:type="dxa"/>
            <w:vAlign w:val="bottom"/>
            <w:tcBorders>
              <w:bottom w:val="single" w:sz="8" w:color="0077C0"/>
            </w:tcBorders>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bottom w:val="single" w:sz="8" w:color="0077C0"/>
            </w:tcBorders>
          </w:tcPr>
          <w:p>
            <w:pPr>
              <w:spacing w:after="0"/>
              <w:rPr>
                <w:sz w:val="19"/>
                <w:szCs w:val="19"/>
                <w:color w:val="auto"/>
              </w:rPr>
            </w:pPr>
          </w:p>
        </w:tc>
        <w:tc>
          <w:tcPr>
            <w:tcW w:w="920" w:type="dxa"/>
            <w:vAlign w:val="bottom"/>
            <w:tcBorders>
              <w:bottom w:val="single" w:sz="8" w:color="0077C0"/>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Borders>
              <w:bottom w:val="single" w:sz="8" w:color="0077C0"/>
            </w:tcBorders>
          </w:tcPr>
          <w:p>
            <w:pPr>
              <w:spacing w:after="0"/>
              <w:rPr>
                <w:sz w:val="19"/>
                <w:szCs w:val="19"/>
                <w:color w:val="auto"/>
              </w:rPr>
            </w:pPr>
          </w:p>
        </w:tc>
        <w:tc>
          <w:tcPr>
            <w:tcW w:w="340" w:type="dxa"/>
            <w:vAlign w:val="bottom"/>
            <w:tcBorders>
              <w:bottom w:val="single" w:sz="8" w:color="0077C0"/>
            </w:tcBorders>
          </w:tcPr>
          <w:p>
            <w:pPr>
              <w:spacing w:after="0"/>
              <w:rPr>
                <w:sz w:val="19"/>
                <w:szCs w:val="19"/>
                <w:color w:val="auto"/>
              </w:rPr>
            </w:pPr>
          </w:p>
        </w:tc>
        <w:tc>
          <w:tcPr>
            <w:tcW w:w="1160" w:type="dxa"/>
            <w:vAlign w:val="bottom"/>
            <w:tcBorders>
              <w:bottom w:val="single" w:sz="8" w:color="0077C0"/>
            </w:tcBorders>
          </w:tcPr>
          <w:p>
            <w:pPr>
              <w:jc w:val="right"/>
              <w:ind w:right="518"/>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bottom w:val="single" w:sz="8" w:color="0077C0"/>
            </w:tcBorders>
          </w:tcPr>
          <w:p>
            <w:pPr>
              <w:spacing w:after="0"/>
              <w:rPr>
                <w:sz w:val="19"/>
                <w:szCs w:val="19"/>
                <w:color w:val="auto"/>
              </w:rPr>
            </w:pPr>
          </w:p>
        </w:tc>
        <w:tc>
          <w:tcPr>
            <w:tcW w:w="900" w:type="dxa"/>
            <w:vAlign w:val="bottom"/>
            <w:tcBorders>
              <w:bottom w:val="single" w:sz="8" w:color="0077C0"/>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w w:val="93"/>
              </w:rPr>
              <w:t>2025</w:t>
            </w:r>
          </w:p>
        </w:tc>
      </w:tr>
      <w:tr>
        <w:trPr>
          <w:trHeight w:val="23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U.S. Downstream</w:t>
            </w:r>
          </w:p>
        </w:tc>
        <w:tc>
          <w:tcPr>
            <w:tcW w:w="1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1780" w:type="dxa"/>
            <w:vAlign w:val="bottom"/>
            <w:shd w:val="clear" w:color="auto" w:fill="CCEEFF"/>
          </w:tcPr>
          <w:p>
            <w:pPr>
              <w:jc w:val="center"/>
              <w:ind w:left="786"/>
              <w:spacing w:after="0"/>
              <w:rPr>
                <w:sz w:val="20"/>
                <w:szCs w:val="20"/>
                <w:color w:val="auto"/>
              </w:rPr>
            </w:pPr>
            <w:r>
              <w:rPr>
                <w:rFonts w:ascii="Times New Roman" w:cs="Times New Roman" w:eastAsia="Times New Roman" w:hAnsi="Times New Roman"/>
                <w:sz w:val="14"/>
                <w:szCs w:val="14"/>
                <w:color w:val="auto"/>
              </w:rPr>
              <w:t>$MM</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3,585</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6,192</w:t>
            </w:r>
          </w:p>
        </w:tc>
        <w:tc>
          <w:tcPr>
            <w:tcW w:w="6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Refinery Crude Unit Inputs</w:t>
            </w:r>
          </w:p>
        </w:tc>
        <w:tc>
          <w:tcPr>
            <w:tcW w:w="1780" w:type="dxa"/>
            <w:vAlign w:val="bottom"/>
          </w:tcPr>
          <w:p>
            <w:pPr>
              <w:jc w:val="center"/>
              <w:ind w:left="786"/>
              <w:spacing w:after="0"/>
              <w:rPr>
                <w:sz w:val="20"/>
                <w:szCs w:val="20"/>
                <w:color w:val="auto"/>
              </w:rPr>
            </w:pPr>
            <w:r>
              <w:rPr>
                <w:rFonts w:ascii="Times New Roman" w:cs="Times New Roman" w:eastAsia="Times New Roman" w:hAnsi="Times New Roman"/>
                <w:sz w:val="14"/>
                <w:szCs w:val="14"/>
                <w:color w:val="auto"/>
              </w:rPr>
              <w:t>MBD</w:t>
            </w:r>
          </w:p>
        </w:tc>
        <w:tc>
          <w:tcPr>
            <w:tcW w:w="34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1,093</w:t>
            </w: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1,072</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r>
      <w:tr>
        <w:trPr>
          <w:trHeight w:val="243"/>
        </w:trPr>
        <w:tc>
          <w:tcPr>
            <w:tcW w:w="3120" w:type="dxa"/>
            <w:vAlign w:val="bottom"/>
            <w:tcBorders>
              <w:bottom w:val="single" w:sz="8" w:color="0070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Refined Product Sales</w:t>
            </w:r>
          </w:p>
        </w:tc>
        <w:tc>
          <w:tcPr>
            <w:tcW w:w="1780" w:type="dxa"/>
            <w:vAlign w:val="bottom"/>
            <w:tcBorders>
              <w:bottom w:val="single" w:sz="8" w:color="0070C0"/>
            </w:tcBorders>
            <w:shd w:val="clear" w:color="auto" w:fill="CCEEFF"/>
          </w:tcPr>
          <w:p>
            <w:pPr>
              <w:jc w:val="center"/>
              <w:ind w:left="786"/>
              <w:spacing w:after="0"/>
              <w:rPr>
                <w:sz w:val="20"/>
                <w:szCs w:val="20"/>
                <w:color w:val="auto"/>
              </w:rPr>
            </w:pPr>
            <w:r>
              <w:rPr>
                <w:rFonts w:ascii="Times New Roman" w:cs="Times New Roman" w:eastAsia="Times New Roman" w:hAnsi="Times New Roman"/>
                <w:sz w:val="14"/>
                <w:szCs w:val="14"/>
                <w:color w:val="auto"/>
              </w:rPr>
              <w:t>MBD</w:t>
            </w:r>
          </w:p>
        </w:tc>
        <w:tc>
          <w:tcPr>
            <w:tcW w:w="340" w:type="dxa"/>
            <w:vAlign w:val="bottom"/>
            <w:tcBorders>
              <w:bottom w:val="single" w:sz="8" w:color="0070C0"/>
            </w:tcBorders>
            <w:shd w:val="clear" w:color="auto" w:fill="CCEEFF"/>
          </w:tcPr>
          <w:p>
            <w:pPr>
              <w:spacing w:after="0"/>
              <w:rPr>
                <w:sz w:val="21"/>
                <w:szCs w:val="21"/>
                <w:color w:val="auto"/>
              </w:rPr>
            </w:pPr>
          </w:p>
        </w:tc>
        <w:tc>
          <w:tcPr>
            <w:tcW w:w="1220" w:type="dxa"/>
            <w:vAlign w:val="bottom"/>
            <w:tcBorders>
              <w:bottom w:val="single" w:sz="8" w:color="0070C0"/>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1,304</w:t>
            </w:r>
          </w:p>
        </w:tc>
        <w:tc>
          <w:tcPr>
            <w:tcW w:w="680" w:type="dxa"/>
            <w:vAlign w:val="bottom"/>
            <w:tcBorders>
              <w:bottom w:val="single" w:sz="8" w:color="0070C0"/>
            </w:tcBorders>
            <w:shd w:val="clear" w:color="auto" w:fill="CCEEFF"/>
          </w:tcPr>
          <w:p>
            <w:pPr>
              <w:spacing w:after="0"/>
              <w:rPr>
                <w:sz w:val="21"/>
                <w:szCs w:val="21"/>
                <w:color w:val="auto"/>
              </w:rPr>
            </w:pPr>
          </w:p>
        </w:tc>
        <w:tc>
          <w:tcPr>
            <w:tcW w:w="920" w:type="dxa"/>
            <w:vAlign w:val="bottom"/>
            <w:tcBorders>
              <w:bottom w:val="single" w:sz="8" w:color="0070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20" w:type="dxa"/>
            <w:vAlign w:val="bottom"/>
            <w:tcBorders>
              <w:bottom w:val="single" w:sz="8" w:color="0070C0"/>
            </w:tcBorders>
            <w:shd w:val="clear" w:color="auto" w:fill="CCEEFF"/>
          </w:tcPr>
          <w:p>
            <w:pPr>
              <w:spacing w:after="0"/>
              <w:rPr>
                <w:sz w:val="21"/>
                <w:szCs w:val="21"/>
                <w:color w:val="auto"/>
              </w:rPr>
            </w:pPr>
          </w:p>
        </w:tc>
        <w:tc>
          <w:tcPr>
            <w:tcW w:w="340" w:type="dxa"/>
            <w:vAlign w:val="bottom"/>
            <w:tcBorders>
              <w:bottom w:val="single" w:sz="8" w:color="0070C0"/>
            </w:tcBorders>
            <w:shd w:val="clear" w:color="auto" w:fill="CCEEFF"/>
          </w:tcPr>
          <w:p>
            <w:pPr>
              <w:spacing w:after="0"/>
              <w:rPr>
                <w:sz w:val="21"/>
                <w:szCs w:val="21"/>
                <w:color w:val="auto"/>
              </w:rPr>
            </w:pPr>
          </w:p>
        </w:tc>
        <w:tc>
          <w:tcPr>
            <w:tcW w:w="1160" w:type="dxa"/>
            <w:vAlign w:val="bottom"/>
            <w:tcBorders>
              <w:bottom w:val="single" w:sz="8" w:color="0070C0"/>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1,297</w:t>
            </w:r>
          </w:p>
        </w:tc>
        <w:tc>
          <w:tcPr>
            <w:tcW w:w="660" w:type="dxa"/>
            <w:vAlign w:val="bottom"/>
            <w:tcBorders>
              <w:bottom w:val="single" w:sz="8" w:color="0070C0"/>
            </w:tcBorders>
            <w:shd w:val="clear" w:color="auto" w:fill="CCEEFF"/>
          </w:tcPr>
          <w:p>
            <w:pPr>
              <w:spacing w:after="0"/>
              <w:rPr>
                <w:sz w:val="21"/>
                <w:szCs w:val="21"/>
                <w:color w:val="auto"/>
              </w:rPr>
            </w:pPr>
          </w:p>
        </w:tc>
        <w:tc>
          <w:tcPr>
            <w:tcW w:w="900" w:type="dxa"/>
            <w:vAlign w:val="bottom"/>
            <w:tcBorders>
              <w:bottom w:val="single" w:sz="8" w:color="0070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r>
    </w:tbl>
    <w:p>
      <w:pPr>
        <w:ind w:left="100" w:hanging="74"/>
        <w:spacing w:after="0" w:line="211" w:lineRule="auto"/>
        <w:tabs>
          <w:tab w:leader="none" w:pos="10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MBD — thousands of barrels per day.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 Periods Ended September 30, 2026 and 2025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downstream earnings increased by $2.9 billion primarily due to higher margins on refined product sales of $2.9 billion.</w:t>
      </w:r>
    </w:p>
    <w:p>
      <w:pPr>
        <w:spacing w:after="0" w:line="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Refinery crude unit inputs were up 29,000 barrels per day, or 3 percent, compared to the year-ago period as refineries operated reliably at record levels near capacity.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Refined product sales were relatively flat compared to the year-ago period.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 Periods Ended September 30, 2026 and 2025</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U.S. downstream earnings increased by $5.0 billion primarily due to higher margins on refined product sales of $5.0 billion and higher earnings from the 50 percent-owned affiliate, CPChem, of $390 million, partly offset by higher litigation reserves of $190 million</w:t>
      </w:r>
      <w:r>
        <w:rPr>
          <w:rFonts w:ascii="Times New Roman" w:cs="Times New Roman" w:eastAsia="Times New Roman" w:hAnsi="Times New Roman"/>
          <w:sz w:val="18"/>
          <w:szCs w:val="18"/>
          <w:color w:val="EE2724"/>
        </w:rPr>
        <w:t>.</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Refinery crude unit inputs were up 29,000 barrels per day, or 3 percent, compared to the year-ago period as refineries operated reliably at near capacity levels.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Refined product sales were down 28,000 barrels per day, or 2 percent, compared to the year-ago period</w:t>
      </w:r>
      <w:r>
        <w:rPr>
          <w:rFonts w:ascii="Times New Roman" w:cs="Times New Roman" w:eastAsia="Times New Roman" w:hAnsi="Times New Roman"/>
          <w:sz w:val="18"/>
          <w:szCs w:val="18"/>
          <w:color w:val="EE2724"/>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80" w:type="dxa"/>
            <w:vAlign w:val="bottom"/>
            <w:gridSpan w:val="2"/>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6"/>
        </w:trPr>
        <w:tc>
          <w:tcPr>
            <w:tcW w:w="3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40" w:type="dxa"/>
            <w:vAlign w:val="bottom"/>
            <w:tcBorders>
              <w:bottom w:val="single" w:sz="8" w:color="0077C0"/>
            </w:tcBorders>
          </w:tcPr>
          <w:p>
            <w:pPr>
              <w:spacing w:after="0"/>
              <w:rPr>
                <w:sz w:val="17"/>
                <w:szCs w:val="17"/>
                <w:color w:val="auto"/>
              </w:rPr>
            </w:pPr>
          </w:p>
        </w:tc>
        <w:tc>
          <w:tcPr>
            <w:tcW w:w="2280" w:type="dxa"/>
            <w:vAlign w:val="bottom"/>
            <w:tcBorders>
              <w:bottom w:val="single" w:sz="8" w:color="0077C0"/>
            </w:tcBorders>
            <w:gridSpan w:val="2"/>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Borders>
              <w:bottom w:val="single" w:sz="8" w:color="0077C0"/>
            </w:tcBorders>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0077C0"/>
            </w:tcBorders>
          </w:tcPr>
          <w:p>
            <w:pPr>
              <w:spacing w:after="0"/>
              <w:rPr>
                <w:sz w:val="17"/>
                <w:szCs w:val="17"/>
                <w:color w:val="auto"/>
              </w:rPr>
            </w:pPr>
          </w:p>
        </w:tc>
        <w:tc>
          <w:tcPr>
            <w:tcW w:w="1260" w:type="dxa"/>
            <w:vAlign w:val="bottom"/>
            <w:tcBorders>
              <w:bottom w:val="single" w:sz="8" w:color="0077C0"/>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0077C0"/>
            </w:tcBorders>
          </w:tcPr>
          <w:p>
            <w:pPr>
              <w:spacing w:after="0"/>
              <w:rPr>
                <w:sz w:val="17"/>
                <w:szCs w:val="17"/>
                <w:color w:val="auto"/>
              </w:rPr>
            </w:pPr>
          </w:p>
        </w:tc>
      </w:tr>
      <w:tr>
        <w:trPr>
          <w:trHeight w:val="229"/>
        </w:trPr>
        <w:tc>
          <w:tcPr>
            <w:tcW w:w="3180" w:type="dxa"/>
            <w:vAlign w:val="bottom"/>
            <w:tcBorders>
              <w:bottom w:val="single" w:sz="8" w:color="0077C0"/>
            </w:tcBorders>
          </w:tcPr>
          <w:p>
            <w:pPr>
              <w:spacing w:after="0"/>
              <w:rPr>
                <w:sz w:val="19"/>
                <w:szCs w:val="19"/>
                <w:color w:val="auto"/>
              </w:rPr>
            </w:pPr>
          </w:p>
        </w:tc>
        <w:tc>
          <w:tcPr>
            <w:tcW w:w="1720" w:type="dxa"/>
            <w:vAlign w:val="bottom"/>
            <w:tcBorders>
              <w:bottom w:val="single" w:sz="8" w:color="0077C0"/>
            </w:tcBorders>
          </w:tcPr>
          <w:p>
            <w:pPr>
              <w:jc w:val="center"/>
              <w:ind w:left="806"/>
              <w:spacing w:after="0" w:line="230" w:lineRule="exact"/>
              <w:rPr>
                <w:sz w:val="20"/>
                <w:szCs w:val="20"/>
                <w:color w:val="auto"/>
              </w:rPr>
            </w:pPr>
            <w:r>
              <w:rPr>
                <w:rFonts w:ascii="Times New Roman" w:cs="Times New Roman" w:eastAsia="Times New Roman" w:hAnsi="Times New Roman"/>
                <w:sz w:val="16"/>
                <w:szCs w:val="16"/>
                <w:b w:val="1"/>
                <w:bCs w:val="1"/>
                <w:color w:val="auto"/>
                <w:w w:val="94"/>
              </w:rPr>
              <w:t xml:space="preserve">Unit </w:t>
            </w:r>
            <w:r>
              <w:rPr>
                <w:rFonts w:ascii="Times New Roman" w:cs="Times New Roman" w:eastAsia="Times New Roman" w:hAnsi="Times New Roman"/>
                <w:sz w:val="21"/>
                <w:szCs w:val="21"/>
                <w:b w:val="1"/>
                <w:bCs w:val="1"/>
                <w:color w:val="auto"/>
                <w:w w:val="94"/>
                <w:vertAlign w:val="superscript"/>
              </w:rPr>
              <w:t>(2)</w:t>
            </w:r>
          </w:p>
        </w:tc>
        <w:tc>
          <w:tcPr>
            <w:tcW w:w="340" w:type="dxa"/>
            <w:vAlign w:val="bottom"/>
            <w:tcBorders>
              <w:bottom w:val="single" w:sz="8" w:color="0077C0"/>
            </w:tcBorders>
          </w:tcPr>
          <w:p>
            <w:pPr>
              <w:spacing w:after="0"/>
              <w:rPr>
                <w:sz w:val="19"/>
                <w:szCs w:val="19"/>
                <w:color w:val="auto"/>
              </w:rPr>
            </w:pPr>
          </w:p>
        </w:tc>
        <w:tc>
          <w:tcPr>
            <w:tcW w:w="1240" w:type="dxa"/>
            <w:vAlign w:val="bottom"/>
            <w:tcBorders>
              <w:bottom w:val="single" w:sz="8" w:color="0077C0"/>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0077C0"/>
            </w:tcBorders>
          </w:tcPr>
          <w:p>
            <w:pPr>
              <w:spacing w:after="0"/>
              <w:rPr>
                <w:sz w:val="19"/>
                <w:szCs w:val="19"/>
                <w:color w:val="auto"/>
              </w:rPr>
            </w:pPr>
          </w:p>
        </w:tc>
        <w:tc>
          <w:tcPr>
            <w:tcW w:w="120" w:type="dxa"/>
            <w:vAlign w:val="bottom"/>
            <w:tcBorders>
              <w:bottom w:val="single" w:sz="8" w:color="0077C0"/>
            </w:tcBorders>
          </w:tcPr>
          <w:p>
            <w:pPr>
              <w:spacing w:after="0"/>
              <w:rPr>
                <w:sz w:val="19"/>
                <w:szCs w:val="19"/>
                <w:color w:val="auto"/>
              </w:rPr>
            </w:pP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0077C0"/>
            </w:tcBorders>
          </w:tcPr>
          <w:p>
            <w:pPr>
              <w:spacing w:after="0"/>
              <w:rPr>
                <w:sz w:val="19"/>
                <w:szCs w:val="19"/>
                <w:color w:val="auto"/>
              </w:rPr>
            </w:pPr>
          </w:p>
        </w:tc>
        <w:tc>
          <w:tcPr>
            <w:tcW w:w="660" w:type="dxa"/>
            <w:vAlign w:val="bottom"/>
            <w:tcBorders>
              <w:bottom w:val="single" w:sz="8" w:color="0077C0"/>
            </w:tcBorders>
          </w:tcPr>
          <w:p>
            <w:pPr>
              <w:spacing w:after="0"/>
              <w:rPr>
                <w:sz w:val="19"/>
                <w:szCs w:val="19"/>
                <w:color w:val="auto"/>
              </w:rPr>
            </w:pPr>
          </w:p>
        </w:tc>
        <w:tc>
          <w:tcPr>
            <w:tcW w:w="900" w:type="dxa"/>
            <w:vAlign w:val="bottom"/>
            <w:tcBorders>
              <w:bottom w:val="single" w:sz="8" w:color="0077C0"/>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w w:val="93"/>
              </w:rPr>
              <w:t>2025</w:t>
            </w:r>
          </w:p>
        </w:tc>
      </w:tr>
      <w:tr>
        <w:trPr>
          <w:trHeight w:val="237"/>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 Downstream</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3"/>
        </w:trPr>
        <w:tc>
          <w:tcPr>
            <w:tcW w:w="318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Earnings </w:t>
            </w:r>
            <w:r>
              <w:rPr>
                <w:rFonts w:ascii="Times New Roman" w:cs="Times New Roman" w:eastAsia="Times New Roman" w:hAnsi="Times New Roman"/>
                <w:sz w:val="23"/>
                <w:szCs w:val="23"/>
                <w:color w:val="auto"/>
                <w:vertAlign w:val="superscript"/>
              </w:rPr>
              <w:t>(1)</w:t>
            </w:r>
          </w:p>
        </w:tc>
        <w:tc>
          <w:tcPr>
            <w:tcW w:w="1720" w:type="dxa"/>
            <w:vAlign w:val="bottom"/>
            <w:shd w:val="clear" w:color="auto" w:fill="CCEEFF"/>
          </w:tcPr>
          <w:p>
            <w:pPr>
              <w:jc w:val="center"/>
              <w:ind w:left="806"/>
              <w:spacing w:after="0"/>
              <w:rPr>
                <w:sz w:val="20"/>
                <w:szCs w:val="20"/>
                <w:color w:val="auto"/>
              </w:rPr>
            </w:pPr>
            <w:r>
              <w:rPr>
                <w:rFonts w:ascii="Times New Roman" w:cs="Times New Roman" w:eastAsia="Times New Roman" w:hAnsi="Times New Roman"/>
                <w:sz w:val="14"/>
                <w:szCs w:val="14"/>
                <w:color w:val="auto"/>
              </w:rPr>
              <w:t>$MM</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1,346</w:t>
            </w:r>
          </w:p>
        </w:tc>
        <w:tc>
          <w:tcPr>
            <w:tcW w:w="1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2,790</w:t>
            </w: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Refinery Crude Unit Inputs</w:t>
            </w:r>
          </w:p>
        </w:tc>
        <w:tc>
          <w:tcPr>
            <w:tcW w:w="1720" w:type="dxa"/>
            <w:vAlign w:val="bottom"/>
          </w:tcPr>
          <w:p>
            <w:pPr>
              <w:jc w:val="center"/>
              <w:ind w:left="806"/>
              <w:spacing w:after="0"/>
              <w:rPr>
                <w:sz w:val="20"/>
                <w:szCs w:val="20"/>
                <w:color w:val="auto"/>
              </w:rPr>
            </w:pPr>
            <w:r>
              <w:rPr>
                <w:rFonts w:ascii="Times New Roman" w:cs="Times New Roman" w:eastAsia="Times New Roman" w:hAnsi="Times New Roman"/>
                <w:sz w:val="14"/>
                <w:szCs w:val="14"/>
                <w:color w:val="auto"/>
              </w:rPr>
              <w:t>MBD</w:t>
            </w:r>
          </w:p>
        </w:tc>
        <w:tc>
          <w:tcPr>
            <w:tcW w:w="34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665</w:t>
            </w: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626</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43"/>
        </w:trPr>
        <w:tc>
          <w:tcPr>
            <w:tcW w:w="3180" w:type="dxa"/>
            <w:vAlign w:val="bottom"/>
            <w:tcBorders>
              <w:bottom w:val="single" w:sz="8" w:color="0070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Refined Product Sales</w:t>
            </w:r>
          </w:p>
        </w:tc>
        <w:tc>
          <w:tcPr>
            <w:tcW w:w="1720" w:type="dxa"/>
            <w:vAlign w:val="bottom"/>
            <w:tcBorders>
              <w:bottom w:val="single" w:sz="8" w:color="0070C0"/>
            </w:tcBorders>
            <w:shd w:val="clear" w:color="auto" w:fill="CCEEFF"/>
          </w:tcPr>
          <w:p>
            <w:pPr>
              <w:jc w:val="center"/>
              <w:ind w:left="806"/>
              <w:spacing w:after="0"/>
              <w:rPr>
                <w:sz w:val="20"/>
                <w:szCs w:val="20"/>
                <w:color w:val="auto"/>
              </w:rPr>
            </w:pPr>
            <w:r>
              <w:rPr>
                <w:rFonts w:ascii="Times New Roman" w:cs="Times New Roman" w:eastAsia="Times New Roman" w:hAnsi="Times New Roman"/>
                <w:sz w:val="14"/>
                <w:szCs w:val="14"/>
                <w:color w:val="auto"/>
              </w:rPr>
              <w:t>MBD</w:t>
            </w:r>
          </w:p>
        </w:tc>
        <w:tc>
          <w:tcPr>
            <w:tcW w:w="340" w:type="dxa"/>
            <w:vAlign w:val="bottom"/>
            <w:tcBorders>
              <w:bottom w:val="single" w:sz="8" w:color="0070C0"/>
            </w:tcBorders>
            <w:shd w:val="clear" w:color="auto" w:fill="CCEEFF"/>
          </w:tcPr>
          <w:p>
            <w:pPr>
              <w:spacing w:after="0"/>
              <w:rPr>
                <w:sz w:val="21"/>
                <w:szCs w:val="21"/>
                <w:color w:val="auto"/>
              </w:rPr>
            </w:pPr>
          </w:p>
        </w:tc>
        <w:tc>
          <w:tcPr>
            <w:tcW w:w="1240" w:type="dxa"/>
            <w:vAlign w:val="bottom"/>
            <w:tcBorders>
              <w:bottom w:val="single" w:sz="8" w:color="0070C0"/>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1,388</w:t>
            </w:r>
          </w:p>
        </w:tc>
        <w:tc>
          <w:tcPr>
            <w:tcW w:w="1040" w:type="dxa"/>
            <w:vAlign w:val="bottom"/>
            <w:tcBorders>
              <w:bottom w:val="single" w:sz="8" w:color="0070C0"/>
            </w:tcBorders>
            <w:shd w:val="clear" w:color="auto" w:fill="CCEEFF"/>
          </w:tcPr>
          <w:p>
            <w:pPr>
              <w:spacing w:after="0"/>
              <w:rPr>
                <w:sz w:val="21"/>
                <w:szCs w:val="21"/>
                <w:color w:val="auto"/>
              </w:rPr>
            </w:pPr>
          </w:p>
        </w:tc>
        <w:tc>
          <w:tcPr>
            <w:tcW w:w="540" w:type="dxa"/>
            <w:vAlign w:val="bottom"/>
            <w:tcBorders>
              <w:bottom w:val="single" w:sz="8" w:color="0070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20" w:type="dxa"/>
            <w:vAlign w:val="bottom"/>
            <w:tcBorders>
              <w:bottom w:val="single" w:sz="8" w:color="0070C0"/>
            </w:tcBorders>
            <w:shd w:val="clear" w:color="auto" w:fill="CCEEFF"/>
          </w:tcPr>
          <w:p>
            <w:pPr>
              <w:spacing w:after="0"/>
              <w:rPr>
                <w:sz w:val="21"/>
                <w:szCs w:val="21"/>
                <w:color w:val="auto"/>
              </w:rPr>
            </w:pPr>
          </w:p>
        </w:tc>
        <w:tc>
          <w:tcPr>
            <w:tcW w:w="900" w:type="dxa"/>
            <w:vAlign w:val="bottom"/>
            <w:tcBorders>
              <w:bottom w:val="single" w:sz="8" w:color="0070C0"/>
            </w:tcBorders>
            <w:shd w:val="clear" w:color="auto" w:fill="CCEEFF"/>
          </w:tcPr>
          <w:p>
            <w:pPr>
              <w:spacing w:after="0"/>
              <w:rPr>
                <w:sz w:val="21"/>
                <w:szCs w:val="21"/>
                <w:color w:val="auto"/>
              </w:rPr>
            </w:pPr>
          </w:p>
        </w:tc>
        <w:tc>
          <w:tcPr>
            <w:tcW w:w="600" w:type="dxa"/>
            <w:vAlign w:val="bottom"/>
            <w:tcBorders>
              <w:bottom w:val="single" w:sz="8" w:color="0070C0"/>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1,388</w:t>
            </w:r>
          </w:p>
        </w:tc>
        <w:tc>
          <w:tcPr>
            <w:tcW w:w="660" w:type="dxa"/>
            <w:vAlign w:val="bottom"/>
            <w:tcBorders>
              <w:bottom w:val="single" w:sz="8" w:color="0070C0"/>
            </w:tcBorders>
            <w:shd w:val="clear" w:color="auto" w:fill="CCEEFF"/>
          </w:tcPr>
          <w:p>
            <w:pPr>
              <w:spacing w:after="0"/>
              <w:rPr>
                <w:sz w:val="21"/>
                <w:szCs w:val="21"/>
                <w:color w:val="auto"/>
              </w:rPr>
            </w:pPr>
          </w:p>
        </w:tc>
        <w:tc>
          <w:tcPr>
            <w:tcW w:w="900" w:type="dxa"/>
            <w:vAlign w:val="bottom"/>
            <w:tcBorders>
              <w:bottom w:val="single" w:sz="8" w:color="0070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r>
      <w:tr>
        <w:trPr>
          <w:trHeight w:val="221"/>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Includes foreign currency effects</w:t>
            </w:r>
          </w:p>
        </w:tc>
        <w:tc>
          <w:tcPr>
            <w:tcW w:w="1720" w:type="dxa"/>
            <w:vAlign w:val="bottom"/>
          </w:tcPr>
          <w:p>
            <w:pPr>
              <w:jc w:val="center"/>
              <w:ind w:left="806"/>
              <w:spacing w:after="0"/>
              <w:rPr>
                <w:sz w:val="20"/>
                <w:szCs w:val="20"/>
                <w:color w:val="auto"/>
              </w:rPr>
            </w:pPr>
            <w:r>
              <w:rPr>
                <w:rFonts w:ascii="Times New Roman" w:cs="Times New Roman" w:eastAsia="Times New Roman" w:hAnsi="Times New Roman"/>
                <w:sz w:val="14"/>
                <w:szCs w:val="14"/>
                <w:color w:val="auto"/>
              </w:rPr>
              <w:t>$MM</w:t>
            </w: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10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30</w:t>
            </w: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bl>
    <w:p>
      <w:pPr>
        <w:ind w:left="200" w:hanging="174"/>
        <w:spacing w:after="0" w:line="199" w:lineRule="auto"/>
        <w:tabs>
          <w:tab w:leader="none" w:pos="20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MBD — thousands of barrels per day.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 Periods Ended September 30, 2026 and 2025</w:t>
      </w:r>
    </w:p>
    <w:p>
      <w:pPr>
        <w:spacing w:after="0" w:line="7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8"/>
          <w:szCs w:val="18"/>
          <w:color w:val="auto"/>
        </w:rPr>
        <w:t>International downstream earnings increased by $847 million primarily due to higher margins on refined product sales of $1.1 billion, partly offset by unfavorable timing effects of $370 million.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Refinery crude unit inputs were relatively flat from the year-ago period.</w:t>
      </w:r>
    </w:p>
    <w:p>
      <w:pPr>
        <w:spacing w:after="0" w:line="77"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Refined product sales were down 129,000 barrels per day, or 9 percent, compared to the year-ago period due to supply disruption from the Middle East conflict.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 Periods Ended September 30, 2026 and 2025</w:t>
      </w:r>
    </w:p>
    <w:p>
      <w:pPr>
        <w:spacing w:after="0" w:line="10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International downstream earnings increased by $1.7 billion primarily due to higher margins on refined product sales of $2.3 billion and asset sale gains of $260 million, partly offset by unfavorable timing effects of $1.0 billion.</w:t>
      </w:r>
    </w:p>
    <w:p>
      <w:pPr>
        <w:spacing w:after="0" w:line="28"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Refinery crude unit inputs were down 22,000 barrels per day, or 3 percent, compared to the year-ago period primarily due to a turnaround at the Star Petroleum Refining Public Company Limited refinery in Thailand.</w:t>
      </w:r>
    </w:p>
    <w:p>
      <w:pPr>
        <w:spacing w:after="0" w:line="28"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Refined product sales were down 75,000 barrels per day, or 5 percent, compared to the year-ago period due to supply disruption from the Middle East conflict.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4"/>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920" w:type="dxa"/>
            <w:vAlign w:val="bottom"/>
            <w:tcBorders>
              <w:bottom w:val="single" w:sz="8" w:color="0077C0"/>
            </w:tcBorders>
          </w:tcPr>
          <w:p>
            <w:pPr>
              <w:spacing w:after="0"/>
              <w:rPr>
                <w:sz w:val="16"/>
                <w:szCs w:val="16"/>
                <w:color w:val="auto"/>
              </w:rPr>
            </w:pPr>
          </w:p>
        </w:tc>
        <w:tc>
          <w:tcPr>
            <w:tcW w:w="1320" w:type="dxa"/>
            <w:vAlign w:val="bottom"/>
            <w:tcBorders>
              <w:bottom w:val="single" w:sz="8" w:color="0077C0"/>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0077C0"/>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0077C0"/>
            </w:tcBorders>
          </w:tcPr>
          <w:p>
            <w:pPr>
              <w:spacing w:after="0"/>
              <w:rPr>
                <w:sz w:val="16"/>
                <w:szCs w:val="16"/>
                <w:color w:val="auto"/>
              </w:rPr>
            </w:pPr>
          </w:p>
        </w:tc>
        <w:tc>
          <w:tcPr>
            <w:tcW w:w="1800" w:type="dxa"/>
            <w:vAlign w:val="bottom"/>
            <w:tcBorders>
              <w:bottom w:val="single" w:sz="8" w:color="0077C0"/>
            </w:tcBorders>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0077C0"/>
            </w:tcBorders>
          </w:tcPr>
          <w:p>
            <w:pPr>
              <w:spacing w:after="0"/>
              <w:rPr>
                <w:sz w:val="16"/>
                <w:szCs w:val="16"/>
                <w:color w:val="auto"/>
              </w:rPr>
            </w:pPr>
          </w:p>
        </w:tc>
      </w:tr>
      <w:tr>
        <w:trPr>
          <w:trHeight w:val="213"/>
        </w:trPr>
        <w:tc>
          <w:tcPr>
            <w:tcW w:w="3200" w:type="dxa"/>
            <w:vAlign w:val="bottom"/>
            <w:tcBorders>
              <w:bottom w:val="single" w:sz="8" w:color="0077C0"/>
            </w:tcBorders>
          </w:tcPr>
          <w:p>
            <w:pPr>
              <w:spacing w:after="0"/>
              <w:rPr>
                <w:sz w:val="18"/>
                <w:szCs w:val="18"/>
                <w:color w:val="auto"/>
              </w:rPr>
            </w:pPr>
          </w:p>
        </w:tc>
        <w:tc>
          <w:tcPr>
            <w:tcW w:w="1700" w:type="dxa"/>
            <w:vAlign w:val="bottom"/>
            <w:tcBorders>
              <w:bottom w:val="single" w:sz="8" w:color="0077C0"/>
            </w:tcBorders>
          </w:tcPr>
          <w:p>
            <w:pPr>
              <w:ind w:left="1160"/>
              <w:spacing w:after="0"/>
              <w:rPr>
                <w:sz w:val="20"/>
                <w:szCs w:val="20"/>
                <w:color w:val="auto"/>
              </w:rPr>
            </w:pPr>
            <w:r>
              <w:rPr>
                <w:rFonts w:ascii="Times New Roman" w:cs="Times New Roman" w:eastAsia="Times New Roman" w:hAnsi="Times New Roman"/>
                <w:sz w:val="16"/>
                <w:szCs w:val="16"/>
                <w:b w:val="1"/>
                <w:bCs w:val="1"/>
                <w:color w:val="auto"/>
              </w:rPr>
              <w:t>Unit</w:t>
            </w: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0077C0"/>
            </w:tcBorders>
          </w:tcPr>
          <w:p>
            <w:pPr>
              <w:spacing w:after="0"/>
              <w:rPr>
                <w:sz w:val="18"/>
                <w:szCs w:val="18"/>
                <w:color w:val="auto"/>
              </w:rPr>
            </w:pPr>
          </w:p>
        </w:tc>
        <w:tc>
          <w:tcPr>
            <w:tcW w:w="660" w:type="dxa"/>
            <w:vAlign w:val="bottom"/>
            <w:tcBorders>
              <w:bottom w:val="single" w:sz="8" w:color="0077C0"/>
            </w:tcBorders>
          </w:tcPr>
          <w:p>
            <w:pPr>
              <w:spacing w:after="0"/>
              <w:rPr>
                <w:sz w:val="18"/>
                <w:szCs w:val="18"/>
                <w:color w:val="auto"/>
              </w:rPr>
            </w:pPr>
          </w:p>
        </w:tc>
        <w:tc>
          <w:tcPr>
            <w:tcW w:w="920" w:type="dxa"/>
            <w:vAlign w:val="bottom"/>
            <w:tcBorders>
              <w:bottom w:val="single" w:sz="8" w:color="0077C0"/>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0077C0"/>
            </w:tcBorders>
          </w:tcPr>
          <w:p>
            <w:pPr>
              <w:spacing w:after="0"/>
              <w:rPr>
                <w:sz w:val="18"/>
                <w:szCs w:val="18"/>
                <w:color w:val="auto"/>
              </w:rPr>
            </w:pPr>
          </w:p>
        </w:tc>
        <w:tc>
          <w:tcPr>
            <w:tcW w:w="360" w:type="dxa"/>
            <w:vAlign w:val="bottom"/>
            <w:tcBorders>
              <w:bottom w:val="single" w:sz="8" w:color="0077C0"/>
            </w:tcBorders>
          </w:tcPr>
          <w:p>
            <w:pPr>
              <w:spacing w:after="0"/>
              <w:rPr>
                <w:sz w:val="18"/>
                <w:szCs w:val="18"/>
                <w:color w:val="auto"/>
              </w:rPr>
            </w:pPr>
          </w:p>
        </w:tc>
        <w:tc>
          <w:tcPr>
            <w:tcW w:w="1160" w:type="dxa"/>
            <w:vAlign w:val="bottom"/>
            <w:tcBorders>
              <w:bottom w:val="single" w:sz="8" w:color="0077C0"/>
            </w:tcBorders>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0077C0"/>
            </w:tcBorders>
          </w:tcPr>
          <w:p>
            <w:pPr>
              <w:spacing w:after="0"/>
              <w:rPr>
                <w:sz w:val="18"/>
                <w:szCs w:val="18"/>
                <w:color w:val="auto"/>
              </w:rPr>
            </w:pPr>
          </w:p>
        </w:tc>
        <w:tc>
          <w:tcPr>
            <w:tcW w:w="900" w:type="dxa"/>
            <w:vAlign w:val="bottom"/>
            <w:tcBorders>
              <w:bottom w:val="single" w:sz="8" w:color="0077C0"/>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4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3"/>
        </w:trPr>
        <w:tc>
          <w:tcPr>
            <w:tcW w:w="320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Earnings/(Charges)*</w:t>
            </w:r>
          </w:p>
        </w:tc>
        <w:tc>
          <w:tcPr>
            <w:tcW w:w="1700" w:type="dxa"/>
            <w:vAlign w:val="bottom"/>
            <w:tcBorders>
              <w:bottom w:val="single" w:sz="8" w:color="0077C0"/>
            </w:tcBorders>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$MM</w:t>
            </w:r>
          </w:p>
        </w:tc>
        <w:tc>
          <w:tcPr>
            <w:tcW w:w="92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0077C0"/>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(705)</w:t>
            </w:r>
          </w:p>
        </w:tc>
        <w:tc>
          <w:tcPr>
            <w:tcW w:w="660" w:type="dxa"/>
            <w:vAlign w:val="bottom"/>
            <w:tcBorders>
              <w:bottom w:val="single" w:sz="8" w:color="0077C0"/>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Borders>
              <w:bottom w:val="single" w:sz="8" w:color="0077C0"/>
            </w:tcBorders>
            <w:shd w:val="clear" w:color="auto" w:fill="CCEEFF"/>
          </w:tcPr>
          <w:p>
            <w:pPr>
              <w:spacing w:after="0"/>
              <w:rPr>
                <w:sz w:val="21"/>
                <w:szCs w:val="21"/>
                <w:color w:val="auto"/>
              </w:rPr>
            </w:pPr>
          </w:p>
        </w:tc>
        <w:tc>
          <w:tcPr>
            <w:tcW w:w="36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0077C0"/>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(2,565)</w:t>
            </w:r>
          </w:p>
        </w:tc>
        <w:tc>
          <w:tcPr>
            <w:tcW w:w="640" w:type="dxa"/>
            <w:vAlign w:val="bottom"/>
            <w:tcBorders>
              <w:bottom w:val="single" w:sz="8" w:color="0077C0"/>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r>
      <w:tr>
        <w:trPr>
          <w:trHeight w:val="227"/>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Includes foreign currency effects</w:t>
            </w:r>
          </w:p>
        </w:tc>
        <w:tc>
          <w:tcPr>
            <w:tcW w:w="170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(1)</w:t>
            </w:r>
          </w:p>
        </w:tc>
        <w:tc>
          <w:tcPr>
            <w:tcW w:w="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 Periods Ended September 30, 2026 and 2025</w:t>
      </w:r>
    </w:p>
    <w:p>
      <w:pPr>
        <w:spacing w:after="0" w:line="65"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Net charges decreased by $195 million primarily due to favorable tax items and lower interest expense, partly offset by the absence of a prior-year favorable fair value adjustment for Hess shares.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 Periods Ended September 30, 2026 and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charges increased by $108 million primarily due to higher employee benefit costs and higher interest expense, partially offset by favorable tax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 of Income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Explanations of variations between periods for selected income statement categories are provided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0" w:type="dxa"/>
            <w:vAlign w:val="bottom"/>
            <w:gridSpan w:val="2"/>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95"/>
        </w:trPr>
        <w:tc>
          <w:tcPr>
            <w:tcW w:w="5020" w:type="dxa"/>
            <w:vAlign w:val="bottom"/>
          </w:tcPr>
          <w:p>
            <w:pPr>
              <w:spacing w:after="0"/>
              <w:rPr>
                <w:sz w:val="16"/>
                <w:szCs w:val="16"/>
                <w:color w:val="auto"/>
              </w:rPr>
            </w:pPr>
          </w:p>
        </w:tc>
        <w:tc>
          <w:tcPr>
            <w:tcW w:w="360" w:type="dxa"/>
            <w:vAlign w:val="bottom"/>
            <w:tcBorders>
              <w:bottom w:val="single" w:sz="8" w:color="0077C0"/>
            </w:tcBorders>
          </w:tcPr>
          <w:p>
            <w:pPr>
              <w:spacing w:after="0"/>
              <w:rPr>
                <w:sz w:val="16"/>
                <w:szCs w:val="16"/>
                <w:color w:val="auto"/>
              </w:rPr>
            </w:pPr>
          </w:p>
        </w:tc>
        <w:tc>
          <w:tcPr>
            <w:tcW w:w="1860" w:type="dxa"/>
            <w:vAlign w:val="bottom"/>
            <w:tcBorders>
              <w:bottom w:val="single" w:sz="8" w:color="0077C0"/>
            </w:tcBorders>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0077C0"/>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0077C0"/>
            </w:tcBorders>
          </w:tcPr>
          <w:p>
            <w:pPr>
              <w:spacing w:after="0"/>
              <w:rPr>
                <w:sz w:val="16"/>
                <w:szCs w:val="16"/>
                <w:color w:val="auto"/>
              </w:rPr>
            </w:pPr>
          </w:p>
        </w:tc>
        <w:tc>
          <w:tcPr>
            <w:tcW w:w="1600" w:type="dxa"/>
            <w:vAlign w:val="bottom"/>
            <w:tcBorders>
              <w:bottom w:val="single" w:sz="8" w:color="0077C0"/>
            </w:tcBorders>
            <w:gridSpan w:val="2"/>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0077C0"/>
            </w:tcBorders>
          </w:tcPr>
          <w:p>
            <w:pPr>
              <w:spacing w:after="0"/>
              <w:rPr>
                <w:sz w:val="16"/>
                <w:szCs w:val="16"/>
                <w:color w:val="auto"/>
              </w:rPr>
            </w:pPr>
          </w:p>
        </w:tc>
      </w:tr>
      <w:tr>
        <w:trPr>
          <w:trHeight w:val="191"/>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Pr>
          <w:p>
            <w:pPr>
              <w:spacing w:after="0"/>
              <w:rPr>
                <w:sz w:val="16"/>
                <w:szCs w:val="16"/>
                <w:color w:val="auto"/>
              </w:rPr>
            </w:pPr>
          </w:p>
        </w:tc>
        <w:tc>
          <w:tcPr>
            <w:tcW w:w="92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6"/>
                <w:szCs w:val="16"/>
                <w:color w:val="auto"/>
              </w:rPr>
            </w:pPr>
          </w:p>
        </w:tc>
        <w:tc>
          <w:tcPr>
            <w:tcW w:w="86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5020" w:type="dxa"/>
            <w:vAlign w:val="bottom"/>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118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gridSpan w:val="2"/>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5020" w:type="dxa"/>
            <w:vAlign w:val="bottom"/>
            <w:tcBorders>
              <w:bottom w:val="single" w:sz="8" w:color="0077C0"/>
            </w:tcBorders>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118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r>
      <w:tr>
        <w:trPr>
          <w:trHeight w:val="236"/>
        </w:trPr>
        <w:tc>
          <w:tcPr>
            <w:tcW w:w="502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and other operating revenues</w:t>
            </w:r>
          </w:p>
        </w:tc>
        <w:tc>
          <w:tcPr>
            <w:tcW w:w="360" w:type="dxa"/>
            <w:vAlign w:val="bottom"/>
            <w:tcBorders>
              <w:bottom w:val="single" w:sz="8" w:color="0077C0"/>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0077C0"/>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65,237</w:t>
            </w:r>
          </w:p>
        </w:tc>
        <w:tc>
          <w:tcPr>
            <w:tcW w:w="680" w:type="dxa"/>
            <w:vAlign w:val="bottom"/>
            <w:tcBorders>
              <w:bottom w:val="single" w:sz="8" w:color="0077C0"/>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48,169</w:t>
            </w:r>
          </w:p>
        </w:tc>
        <w:tc>
          <w:tcPr>
            <w:tcW w:w="100" w:type="dxa"/>
            <w:vAlign w:val="bottom"/>
            <w:tcBorders>
              <w:bottom w:val="single" w:sz="8" w:color="0077C0"/>
            </w:tcBorders>
            <w:shd w:val="clear" w:color="auto" w:fill="CCEEFF"/>
          </w:tcPr>
          <w:p>
            <w:pPr>
              <w:spacing w:after="0"/>
              <w:rPr>
                <w:sz w:val="20"/>
                <w:szCs w:val="20"/>
                <w:color w:val="auto"/>
              </w:rPr>
            </w:pPr>
          </w:p>
        </w:tc>
        <w:tc>
          <w:tcPr>
            <w:tcW w:w="520" w:type="dxa"/>
            <w:vAlign w:val="bottom"/>
            <w:tcBorders>
              <w:bottom w:val="single" w:sz="8" w:color="0077C0"/>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0077C0"/>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179,992</w:t>
            </w:r>
          </w:p>
        </w:tc>
        <w:tc>
          <w:tcPr>
            <w:tcW w:w="640" w:type="dxa"/>
            <w:vAlign w:val="bottom"/>
            <w:tcBorders>
              <w:bottom w:val="single" w:sz="8" w:color="0077C0"/>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138,645</w:t>
            </w:r>
          </w:p>
        </w:tc>
      </w:tr>
    </w:tbl>
    <w:p>
      <w:pPr>
        <w:spacing w:after="0" w:line="11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Sales and other operating revenues increased $17.1 billion for the third quarter mainly due to higher refined product and crude oil prices, partially offset by lower crude sales volumes. Sales and other operating revenues for the nine-month periods increased $41.3 billion primarily due to higher refined product and crude oil prices.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r>
      <w:tr>
        <w:trPr>
          <w:trHeight w:val="195"/>
        </w:trPr>
        <w:tc>
          <w:tcPr>
            <w:tcW w:w="4960" w:type="dxa"/>
            <w:vAlign w:val="bottom"/>
          </w:tcPr>
          <w:p>
            <w:pPr>
              <w:spacing w:after="0"/>
              <w:rPr>
                <w:sz w:val="16"/>
                <w:szCs w:val="16"/>
                <w:color w:val="auto"/>
              </w:rPr>
            </w:pPr>
          </w:p>
        </w:tc>
        <w:tc>
          <w:tcPr>
            <w:tcW w:w="360" w:type="dxa"/>
            <w:vAlign w:val="bottom"/>
            <w:tcBorders>
              <w:bottom w:val="single" w:sz="8" w:color="0077C0"/>
            </w:tcBorders>
          </w:tcPr>
          <w:p>
            <w:pPr>
              <w:spacing w:after="0"/>
              <w:rPr>
                <w:sz w:val="16"/>
                <w:szCs w:val="16"/>
                <w:color w:val="auto"/>
              </w:rPr>
            </w:pPr>
          </w:p>
        </w:tc>
        <w:tc>
          <w:tcPr>
            <w:tcW w:w="1900" w:type="dxa"/>
            <w:vAlign w:val="bottom"/>
            <w:tcBorders>
              <w:bottom w:val="single" w:sz="8" w:color="0077C0"/>
            </w:tcBorders>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0077C0"/>
            </w:tcBorders>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1600" w:type="dxa"/>
            <w:vAlign w:val="bottom"/>
            <w:tcBorders>
              <w:bottom w:val="single" w:sz="8" w:color="0077C0"/>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0077C0"/>
            </w:tcBorders>
          </w:tcPr>
          <w:p>
            <w:pPr>
              <w:spacing w:after="0"/>
              <w:rPr>
                <w:sz w:val="16"/>
                <w:szCs w:val="16"/>
                <w:color w:val="auto"/>
              </w:rPr>
            </w:pPr>
          </w:p>
        </w:tc>
      </w:tr>
      <w:tr>
        <w:trPr>
          <w:trHeight w:val="191"/>
        </w:trPr>
        <w:tc>
          <w:tcPr>
            <w:tcW w:w="4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Pr>
          <w:p>
            <w:pPr>
              <w:spacing w:after="0"/>
              <w:rPr>
                <w:sz w:val="16"/>
                <w:szCs w:val="16"/>
                <w:color w:val="auto"/>
              </w:rPr>
            </w:pPr>
          </w:p>
        </w:tc>
        <w:tc>
          <w:tcPr>
            <w:tcW w:w="92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84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960" w:type="dxa"/>
            <w:vAlign w:val="bottom"/>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120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gridSpan w:val="2"/>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840" w:type="dxa"/>
            <w:vAlign w:val="bottom"/>
            <w:tcBorders>
              <w:bottom w:val="single" w:sz="8" w:color="0077C0"/>
            </w:tcBorders>
          </w:tcPr>
          <w:p>
            <w:pPr>
              <w:spacing w:after="0"/>
              <w:rPr>
                <w:sz w:val="2"/>
                <w:szCs w:val="2"/>
                <w:color w:val="auto"/>
              </w:rPr>
            </w:pPr>
          </w:p>
        </w:tc>
      </w:tr>
      <w:tr>
        <w:trPr>
          <w:trHeight w:val="186"/>
        </w:trPr>
        <w:tc>
          <w:tcPr>
            <w:tcW w:w="4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4960" w:type="dxa"/>
            <w:vAlign w:val="bottom"/>
            <w:tcBorders>
              <w:bottom w:val="single" w:sz="8" w:color="0077C0"/>
            </w:tcBorders>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120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12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840" w:type="dxa"/>
            <w:vAlign w:val="bottom"/>
            <w:tcBorders>
              <w:bottom w:val="single" w:sz="8" w:color="0077C0"/>
            </w:tcBorders>
          </w:tcPr>
          <w:p>
            <w:pPr>
              <w:spacing w:after="0"/>
              <w:rPr>
                <w:sz w:val="2"/>
                <w:szCs w:val="2"/>
                <w:color w:val="auto"/>
              </w:rPr>
            </w:pPr>
          </w:p>
        </w:tc>
      </w:tr>
      <w:tr>
        <w:trPr>
          <w:trHeight w:val="237"/>
        </w:trPr>
        <w:tc>
          <w:tcPr>
            <w:tcW w:w="496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equity affiliates</w:t>
            </w:r>
          </w:p>
        </w:tc>
        <w:tc>
          <w:tcPr>
            <w:tcW w:w="360" w:type="dxa"/>
            <w:vAlign w:val="bottom"/>
            <w:tcBorders>
              <w:bottom w:val="single" w:sz="8" w:color="0077C0"/>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0077C0"/>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2,097</w:t>
            </w:r>
          </w:p>
        </w:tc>
        <w:tc>
          <w:tcPr>
            <w:tcW w:w="700" w:type="dxa"/>
            <w:vAlign w:val="bottom"/>
            <w:tcBorders>
              <w:bottom w:val="single" w:sz="8" w:color="0077C0"/>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0077C0"/>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tcBorders>
              <w:bottom w:val="single" w:sz="8" w:color="0077C0"/>
            </w:tcBorders>
            <w:shd w:val="clear" w:color="auto" w:fill="CCEEFF"/>
          </w:tcPr>
          <w:p>
            <w:pPr>
              <w:spacing w:after="0"/>
              <w:rPr>
                <w:sz w:val="20"/>
                <w:szCs w:val="20"/>
                <w:color w:val="auto"/>
              </w:rPr>
            </w:pPr>
          </w:p>
        </w:tc>
        <w:tc>
          <w:tcPr>
            <w:tcW w:w="540" w:type="dxa"/>
            <w:vAlign w:val="bottom"/>
            <w:tcBorders>
              <w:bottom w:val="single" w:sz="8" w:color="0077C0"/>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0077C0"/>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4,967</w:t>
            </w:r>
          </w:p>
        </w:tc>
        <w:tc>
          <w:tcPr>
            <w:tcW w:w="580" w:type="dxa"/>
            <w:vAlign w:val="bottom"/>
            <w:tcBorders>
              <w:bottom w:val="single" w:sz="8" w:color="0077C0"/>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r>
    </w:tbl>
    <w:p>
      <w:pPr>
        <w:spacing w:after="0" w:line="11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Income from equity affiliates in the third quarter and nine-month periods increased mainly due to higher upstream-related earnings from TCO in Kazakhstan and Petropiar in Venezuela following the transition to equity accounting on September 1, 2026, and higher downstream-related earnings primarily due to higher refining margins at GS Caltex in South Korea and chemicals margins at CPChem.</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r>
      <w:tr>
        <w:trPr>
          <w:trHeight w:val="195"/>
        </w:trPr>
        <w:tc>
          <w:tcPr>
            <w:tcW w:w="4780" w:type="dxa"/>
            <w:vAlign w:val="bottom"/>
          </w:tcPr>
          <w:p>
            <w:pPr>
              <w:spacing w:after="0"/>
              <w:rPr>
                <w:sz w:val="16"/>
                <w:szCs w:val="16"/>
                <w:color w:val="auto"/>
              </w:rPr>
            </w:pPr>
          </w:p>
        </w:tc>
        <w:tc>
          <w:tcPr>
            <w:tcW w:w="920" w:type="dxa"/>
            <w:vAlign w:val="bottom"/>
            <w:tcBorders>
              <w:bottom w:val="single" w:sz="8" w:color="0077C0"/>
            </w:tcBorders>
          </w:tcPr>
          <w:p>
            <w:pPr>
              <w:spacing w:after="0"/>
              <w:rPr>
                <w:sz w:val="16"/>
                <w:szCs w:val="16"/>
                <w:color w:val="auto"/>
              </w:rPr>
            </w:pPr>
          </w:p>
        </w:tc>
        <w:tc>
          <w:tcPr>
            <w:tcW w:w="1660" w:type="dxa"/>
            <w:vAlign w:val="bottom"/>
            <w:tcBorders>
              <w:bottom w:val="single" w:sz="8" w:color="0077C0"/>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0077C0"/>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0077C0"/>
            </w:tcBorders>
          </w:tcPr>
          <w:p>
            <w:pPr>
              <w:spacing w:after="0"/>
              <w:rPr>
                <w:sz w:val="16"/>
                <w:szCs w:val="16"/>
                <w:color w:val="auto"/>
              </w:rPr>
            </w:pPr>
          </w:p>
        </w:tc>
        <w:tc>
          <w:tcPr>
            <w:tcW w:w="1300" w:type="dxa"/>
            <w:vAlign w:val="bottom"/>
            <w:tcBorders>
              <w:bottom w:val="single" w:sz="8" w:color="0077C0"/>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0077C0"/>
            </w:tcBorders>
          </w:tcPr>
          <w:p>
            <w:pPr>
              <w:spacing w:after="0"/>
              <w:rPr>
                <w:sz w:val="16"/>
                <w:szCs w:val="16"/>
                <w:color w:val="auto"/>
              </w:rPr>
            </w:pPr>
          </w:p>
        </w:tc>
      </w:tr>
      <w:tr>
        <w:trPr>
          <w:trHeight w:val="191"/>
        </w:trPr>
        <w:tc>
          <w:tcPr>
            <w:tcW w:w="47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780" w:type="dxa"/>
            <w:vAlign w:val="bottom"/>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60" w:type="dxa"/>
            <w:vAlign w:val="bottom"/>
            <w:tcBorders>
              <w:bottom w:val="single" w:sz="8" w:color="0077C0"/>
            </w:tcBorders>
            <w:gridSpan w:val="2"/>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r>
      <w:tr>
        <w:trPr>
          <w:trHeight w:val="186"/>
        </w:trPr>
        <w:tc>
          <w:tcPr>
            <w:tcW w:w="4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4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478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2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r>
      <w:tr>
        <w:trPr>
          <w:trHeight w:val="236"/>
        </w:trPr>
        <w:tc>
          <w:tcPr>
            <w:tcW w:w="478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(loss)</w:t>
            </w:r>
          </w:p>
        </w:tc>
        <w:tc>
          <w:tcPr>
            <w:tcW w:w="920" w:type="dxa"/>
            <w:vAlign w:val="bottom"/>
            <w:tcBorders>
              <w:bottom w:val="single" w:sz="8" w:color="0077C0"/>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0077C0"/>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464</w:t>
            </w:r>
          </w:p>
        </w:tc>
        <w:tc>
          <w:tcPr>
            <w:tcW w:w="1020" w:type="dxa"/>
            <w:vAlign w:val="bottom"/>
            <w:tcBorders>
              <w:bottom w:val="single" w:sz="8" w:color="0077C0"/>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Borders>
              <w:bottom w:val="single" w:sz="8" w:color="0077C0"/>
            </w:tcBorders>
            <w:shd w:val="clear" w:color="auto" w:fill="CCEEFF"/>
          </w:tcPr>
          <w:p>
            <w:pPr>
              <w:spacing w:after="0"/>
              <w:rPr>
                <w:sz w:val="20"/>
                <w:szCs w:val="20"/>
                <w:color w:val="auto"/>
              </w:rPr>
            </w:pPr>
          </w:p>
        </w:tc>
        <w:tc>
          <w:tcPr>
            <w:tcW w:w="940" w:type="dxa"/>
            <w:vAlign w:val="bottom"/>
            <w:tcBorders>
              <w:bottom w:val="single" w:sz="8" w:color="0077C0"/>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0077C0"/>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1,501</w:t>
            </w:r>
          </w:p>
        </w:tc>
        <w:tc>
          <w:tcPr>
            <w:tcW w:w="680" w:type="dxa"/>
            <w:vAlign w:val="bottom"/>
            <w:tcBorders>
              <w:bottom w:val="single" w:sz="8" w:color="0077C0"/>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r>
    </w:tbl>
    <w:p>
      <w:pPr>
        <w:spacing w:after="0" w:line="11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Other income for third quarter periods decreased primarily due to the absence of a prior year favorable fair value adjustment for Hess shares and foreign currency effects, partially offset by higher income from Venezuela. Other income for the nine-month periods increased primarily due to higher income from Venezuela, partially offset by the absence of the prior year asset sale gain.</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60" w:type="dxa"/>
            <w:vAlign w:val="bottom"/>
            <w:gridSpan w:val="2"/>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60" w:type="dxa"/>
            <w:vAlign w:val="bottom"/>
            <w:gridSpan w:val="2"/>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r>
      <w:tr>
        <w:trPr>
          <w:trHeight w:val="195"/>
        </w:trPr>
        <w:tc>
          <w:tcPr>
            <w:tcW w:w="4760" w:type="dxa"/>
            <w:vAlign w:val="bottom"/>
          </w:tcPr>
          <w:p>
            <w:pPr>
              <w:spacing w:after="0"/>
              <w:rPr>
                <w:sz w:val="16"/>
                <w:szCs w:val="16"/>
                <w:color w:val="auto"/>
              </w:rPr>
            </w:pPr>
          </w:p>
        </w:tc>
        <w:tc>
          <w:tcPr>
            <w:tcW w:w="920" w:type="dxa"/>
            <w:vAlign w:val="bottom"/>
            <w:tcBorders>
              <w:bottom w:val="single" w:sz="8" w:color="0077C0"/>
            </w:tcBorders>
          </w:tcPr>
          <w:p>
            <w:pPr>
              <w:spacing w:after="0"/>
              <w:rPr>
                <w:sz w:val="16"/>
                <w:szCs w:val="16"/>
                <w:color w:val="auto"/>
              </w:rPr>
            </w:pPr>
          </w:p>
        </w:tc>
        <w:tc>
          <w:tcPr>
            <w:tcW w:w="1660" w:type="dxa"/>
            <w:vAlign w:val="bottom"/>
            <w:tcBorders>
              <w:bottom w:val="single" w:sz="8" w:color="0077C0"/>
            </w:tcBorders>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0077C0"/>
            </w:tcBorders>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1660" w:type="dxa"/>
            <w:vAlign w:val="bottom"/>
            <w:tcBorders>
              <w:bottom w:val="single" w:sz="8" w:color="0077C0"/>
            </w:tcBorders>
            <w:gridSpan w:val="2"/>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0077C0"/>
            </w:tcBorders>
          </w:tcPr>
          <w:p>
            <w:pPr>
              <w:spacing w:after="0"/>
              <w:rPr>
                <w:sz w:val="16"/>
                <w:szCs w:val="16"/>
                <w:color w:val="auto"/>
              </w:rPr>
            </w:pPr>
          </w:p>
        </w:tc>
      </w:tr>
      <w:tr>
        <w:trPr>
          <w:trHeight w:val="191"/>
        </w:trPr>
        <w:tc>
          <w:tcPr>
            <w:tcW w:w="47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Pr>
          <w:p>
            <w:pPr>
              <w:spacing w:after="0"/>
              <w:rPr>
                <w:sz w:val="16"/>
                <w:szCs w:val="16"/>
                <w:color w:val="auto"/>
              </w:rPr>
            </w:pPr>
          </w:p>
        </w:tc>
        <w:tc>
          <w:tcPr>
            <w:tcW w:w="9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760" w:type="dxa"/>
            <w:vAlign w:val="bottom"/>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gridSpan w:val="2"/>
          </w:tcPr>
          <w:p>
            <w:pPr>
              <w:spacing w:after="0"/>
              <w:rPr>
                <w:sz w:val="2"/>
                <w:szCs w:val="2"/>
                <w:color w:val="auto"/>
              </w:rPr>
            </w:pPr>
          </w:p>
        </w:tc>
        <w:tc>
          <w:tcPr>
            <w:tcW w:w="98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r>
      <w:tr>
        <w:trPr>
          <w:trHeight w:val="186"/>
        </w:trPr>
        <w:tc>
          <w:tcPr>
            <w:tcW w:w="4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476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98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r>
      <w:tr>
        <w:trPr>
          <w:trHeight w:val="236"/>
        </w:trPr>
        <w:tc>
          <w:tcPr>
            <w:tcW w:w="476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Purchased crude oil and products</w:t>
            </w:r>
          </w:p>
        </w:tc>
        <w:tc>
          <w:tcPr>
            <w:tcW w:w="920" w:type="dxa"/>
            <w:vAlign w:val="bottom"/>
            <w:tcBorders>
              <w:bottom w:val="single" w:sz="8" w:color="0077C0"/>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0077C0"/>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36,534</w:t>
            </w:r>
          </w:p>
        </w:tc>
        <w:tc>
          <w:tcPr>
            <w:tcW w:w="1020" w:type="dxa"/>
            <w:vAlign w:val="bottom"/>
            <w:tcBorders>
              <w:bottom w:val="single" w:sz="8" w:color="0077C0"/>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27,398</w:t>
            </w:r>
          </w:p>
        </w:tc>
        <w:tc>
          <w:tcPr>
            <w:tcW w:w="120" w:type="dxa"/>
            <w:vAlign w:val="bottom"/>
            <w:tcBorders>
              <w:bottom w:val="single" w:sz="8" w:color="0077C0"/>
            </w:tcBorders>
            <w:shd w:val="clear" w:color="auto" w:fill="CCEEFF"/>
          </w:tcPr>
          <w:p>
            <w:pPr>
              <w:spacing w:after="0"/>
              <w:rPr>
                <w:sz w:val="20"/>
                <w:szCs w:val="20"/>
                <w:color w:val="auto"/>
              </w:rPr>
            </w:pPr>
          </w:p>
        </w:tc>
        <w:tc>
          <w:tcPr>
            <w:tcW w:w="580" w:type="dxa"/>
            <w:vAlign w:val="bottom"/>
            <w:tcBorders>
              <w:bottom w:val="single" w:sz="8" w:color="0077C0"/>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0077C0"/>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101,406</w:t>
            </w:r>
          </w:p>
        </w:tc>
        <w:tc>
          <w:tcPr>
            <w:tcW w:w="680" w:type="dxa"/>
            <w:vAlign w:val="bottom"/>
            <w:tcBorders>
              <w:bottom w:val="single" w:sz="8" w:color="0077C0"/>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82,866</w:t>
            </w:r>
          </w:p>
        </w:tc>
      </w:tr>
    </w:tbl>
    <w:p>
      <w:pPr>
        <w:spacing w:after="0" w:line="10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Purchased crude oil and products increased $9.1 billion for the third quarter and $18.5 billion for the nine-month periods, primarily reflecting higher crude oil and refined product prices.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6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r>
      <w:tr>
        <w:trPr>
          <w:trHeight w:val="195"/>
        </w:trPr>
        <w:tc>
          <w:tcPr>
            <w:tcW w:w="4780" w:type="dxa"/>
            <w:vAlign w:val="bottom"/>
          </w:tcPr>
          <w:p>
            <w:pPr>
              <w:spacing w:after="0"/>
              <w:rPr>
                <w:sz w:val="16"/>
                <w:szCs w:val="16"/>
                <w:color w:val="auto"/>
              </w:rPr>
            </w:pPr>
          </w:p>
        </w:tc>
        <w:tc>
          <w:tcPr>
            <w:tcW w:w="920" w:type="dxa"/>
            <w:vAlign w:val="bottom"/>
            <w:tcBorders>
              <w:bottom w:val="single" w:sz="8" w:color="0077C0"/>
            </w:tcBorders>
          </w:tcPr>
          <w:p>
            <w:pPr>
              <w:spacing w:after="0"/>
              <w:rPr>
                <w:sz w:val="16"/>
                <w:szCs w:val="16"/>
                <w:color w:val="auto"/>
              </w:rPr>
            </w:pPr>
          </w:p>
        </w:tc>
        <w:tc>
          <w:tcPr>
            <w:tcW w:w="1660" w:type="dxa"/>
            <w:vAlign w:val="bottom"/>
            <w:tcBorders>
              <w:bottom w:val="single" w:sz="8" w:color="0077C0"/>
            </w:tcBorders>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0077C0"/>
            </w:tcBorders>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bottom w:val="single" w:sz="8" w:color="0077C0"/>
            </w:tcBorders>
          </w:tcPr>
          <w:p>
            <w:pPr>
              <w:spacing w:after="0"/>
              <w:rPr>
                <w:sz w:val="16"/>
                <w:szCs w:val="16"/>
                <w:color w:val="auto"/>
              </w:rPr>
            </w:pPr>
          </w:p>
        </w:tc>
        <w:tc>
          <w:tcPr>
            <w:tcW w:w="1640" w:type="dxa"/>
            <w:vAlign w:val="bottom"/>
            <w:tcBorders>
              <w:bottom w:val="single" w:sz="8" w:color="0077C0"/>
            </w:tcBorders>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0077C0"/>
            </w:tcBorders>
          </w:tcPr>
          <w:p>
            <w:pPr>
              <w:spacing w:after="0"/>
              <w:rPr>
                <w:sz w:val="16"/>
                <w:szCs w:val="16"/>
                <w:color w:val="auto"/>
              </w:rPr>
            </w:pPr>
          </w:p>
        </w:tc>
      </w:tr>
      <w:tr>
        <w:trPr>
          <w:trHeight w:val="191"/>
        </w:trPr>
        <w:tc>
          <w:tcPr>
            <w:tcW w:w="47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Pr>
          <w:p>
            <w:pPr>
              <w:spacing w:after="0"/>
              <w:rPr>
                <w:sz w:val="16"/>
                <w:szCs w:val="16"/>
                <w:color w:val="auto"/>
              </w:rPr>
            </w:pPr>
          </w:p>
        </w:tc>
        <w:tc>
          <w:tcPr>
            <w:tcW w:w="9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780" w:type="dxa"/>
            <w:vAlign w:val="bottom"/>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gridSpan w:val="2"/>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r>
      <w:tr>
        <w:trPr>
          <w:trHeight w:val="186"/>
        </w:trPr>
        <w:tc>
          <w:tcPr>
            <w:tcW w:w="4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478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r>
      <w:tr>
        <w:trPr>
          <w:trHeight w:val="236"/>
        </w:trPr>
        <w:tc>
          <w:tcPr>
            <w:tcW w:w="478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selling, general and administrative expenses</w:t>
            </w:r>
          </w:p>
        </w:tc>
        <w:tc>
          <w:tcPr>
            <w:tcW w:w="920" w:type="dxa"/>
            <w:vAlign w:val="bottom"/>
            <w:tcBorders>
              <w:bottom w:val="single" w:sz="8" w:color="0077C0"/>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0077C0"/>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9,477</w:t>
            </w:r>
          </w:p>
        </w:tc>
        <w:tc>
          <w:tcPr>
            <w:tcW w:w="1020" w:type="dxa"/>
            <w:vAlign w:val="bottom"/>
            <w:tcBorders>
              <w:bottom w:val="single" w:sz="8" w:color="0077C0"/>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120" w:type="dxa"/>
            <w:vAlign w:val="bottom"/>
            <w:tcBorders>
              <w:bottom w:val="single" w:sz="8" w:color="0077C0"/>
            </w:tcBorders>
            <w:shd w:val="clear" w:color="auto" w:fill="CCEEFF"/>
          </w:tcPr>
          <w:p>
            <w:pPr>
              <w:spacing w:after="0"/>
              <w:rPr>
                <w:sz w:val="20"/>
                <w:szCs w:val="20"/>
                <w:color w:val="auto"/>
              </w:rPr>
            </w:pPr>
          </w:p>
        </w:tc>
        <w:tc>
          <w:tcPr>
            <w:tcW w:w="600" w:type="dxa"/>
            <w:vAlign w:val="bottom"/>
            <w:tcBorders>
              <w:bottom w:val="single" w:sz="8" w:color="0077C0"/>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0077C0"/>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26,984</w:t>
            </w:r>
          </w:p>
        </w:tc>
        <w:tc>
          <w:tcPr>
            <w:tcW w:w="680" w:type="dxa"/>
            <w:vAlign w:val="bottom"/>
            <w:tcBorders>
              <w:bottom w:val="single" w:sz="8" w:color="0077C0"/>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r>
    </w:tbl>
    <w:p>
      <w:pPr>
        <w:spacing w:after="0" w:line="11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Operating, selling, general and administrative expenses for third quarter periods increased primarily due to higher transportation costs, partially offset by lower employee expenses. Operating, selling, general and administrative expenses for the nine-month periods increased primarily due to higher transportation costs and costs associated with the acquisition of Hess, partially offset by lower employee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r>
      <w:tr>
        <w:trPr>
          <w:trHeight w:val="195"/>
        </w:trPr>
        <w:tc>
          <w:tcPr>
            <w:tcW w:w="4780" w:type="dxa"/>
            <w:vAlign w:val="bottom"/>
          </w:tcPr>
          <w:p>
            <w:pPr>
              <w:spacing w:after="0"/>
              <w:rPr>
                <w:sz w:val="16"/>
                <w:szCs w:val="16"/>
                <w:color w:val="auto"/>
              </w:rPr>
            </w:pPr>
          </w:p>
        </w:tc>
        <w:tc>
          <w:tcPr>
            <w:tcW w:w="920" w:type="dxa"/>
            <w:vAlign w:val="bottom"/>
            <w:tcBorders>
              <w:bottom w:val="single" w:sz="8" w:color="0077C0"/>
            </w:tcBorders>
          </w:tcPr>
          <w:p>
            <w:pPr>
              <w:spacing w:after="0"/>
              <w:rPr>
                <w:sz w:val="16"/>
                <w:szCs w:val="16"/>
                <w:color w:val="auto"/>
              </w:rPr>
            </w:pPr>
          </w:p>
        </w:tc>
        <w:tc>
          <w:tcPr>
            <w:tcW w:w="1660" w:type="dxa"/>
            <w:vAlign w:val="bottom"/>
            <w:tcBorders>
              <w:bottom w:val="single" w:sz="8" w:color="0077C0"/>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0077C0"/>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0077C0"/>
            </w:tcBorders>
          </w:tcPr>
          <w:p>
            <w:pPr>
              <w:spacing w:after="0"/>
              <w:rPr>
                <w:sz w:val="16"/>
                <w:szCs w:val="16"/>
                <w:color w:val="auto"/>
              </w:rPr>
            </w:pPr>
          </w:p>
        </w:tc>
        <w:tc>
          <w:tcPr>
            <w:tcW w:w="1300" w:type="dxa"/>
            <w:vAlign w:val="bottom"/>
            <w:tcBorders>
              <w:bottom w:val="single" w:sz="8" w:color="0077C0"/>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0077C0"/>
            </w:tcBorders>
          </w:tcPr>
          <w:p>
            <w:pPr>
              <w:spacing w:after="0"/>
              <w:rPr>
                <w:sz w:val="16"/>
                <w:szCs w:val="16"/>
                <w:color w:val="auto"/>
              </w:rPr>
            </w:pPr>
          </w:p>
        </w:tc>
      </w:tr>
      <w:tr>
        <w:trPr>
          <w:trHeight w:val="191"/>
        </w:trPr>
        <w:tc>
          <w:tcPr>
            <w:tcW w:w="47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780" w:type="dxa"/>
            <w:vAlign w:val="bottom"/>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60" w:type="dxa"/>
            <w:vAlign w:val="bottom"/>
            <w:tcBorders>
              <w:bottom w:val="single" w:sz="8" w:color="0077C0"/>
            </w:tcBorders>
            <w:gridSpan w:val="2"/>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r>
      <w:tr>
        <w:trPr>
          <w:trHeight w:val="186"/>
        </w:trPr>
        <w:tc>
          <w:tcPr>
            <w:tcW w:w="4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4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478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2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r>
      <w:tr>
        <w:trPr>
          <w:trHeight w:val="237"/>
        </w:trPr>
        <w:tc>
          <w:tcPr>
            <w:tcW w:w="478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Exploration expenses</w:t>
            </w:r>
          </w:p>
        </w:tc>
        <w:tc>
          <w:tcPr>
            <w:tcW w:w="920" w:type="dxa"/>
            <w:vAlign w:val="bottom"/>
            <w:tcBorders>
              <w:bottom w:val="single" w:sz="8" w:color="0077C0"/>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0077C0"/>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259</w:t>
            </w:r>
          </w:p>
        </w:tc>
        <w:tc>
          <w:tcPr>
            <w:tcW w:w="1020" w:type="dxa"/>
            <w:vAlign w:val="bottom"/>
            <w:tcBorders>
              <w:bottom w:val="single" w:sz="8" w:color="0077C0"/>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bottom w:val="single" w:sz="8" w:color="0077C0"/>
            </w:tcBorders>
            <w:shd w:val="clear" w:color="auto" w:fill="CCEEFF"/>
          </w:tcPr>
          <w:p>
            <w:pPr>
              <w:spacing w:after="0"/>
              <w:rPr>
                <w:sz w:val="20"/>
                <w:szCs w:val="20"/>
                <w:color w:val="auto"/>
              </w:rPr>
            </w:pPr>
          </w:p>
        </w:tc>
        <w:tc>
          <w:tcPr>
            <w:tcW w:w="940" w:type="dxa"/>
            <w:vAlign w:val="bottom"/>
            <w:tcBorders>
              <w:bottom w:val="single" w:sz="8" w:color="0077C0"/>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0077C0"/>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720</w:t>
            </w:r>
          </w:p>
        </w:tc>
        <w:tc>
          <w:tcPr>
            <w:tcW w:w="680" w:type="dxa"/>
            <w:vAlign w:val="bottom"/>
            <w:tcBorders>
              <w:bottom w:val="single" w:sz="8" w:color="0077C0"/>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r>
    </w:tbl>
    <w:p>
      <w:pPr>
        <w:spacing w:after="0" w:line="103"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Exploration expenses in third quarter decreased primarily due to lower geological and geophysical engineering costs. Exploration expenses for the nine-month periods decreased primarily due to lower dry hole expenses, partially offset by higher geological and geophysical engineering costs.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6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r>
      <w:tr>
        <w:trPr>
          <w:trHeight w:val="195"/>
        </w:trPr>
        <w:tc>
          <w:tcPr>
            <w:tcW w:w="4780" w:type="dxa"/>
            <w:vAlign w:val="bottom"/>
          </w:tcPr>
          <w:p>
            <w:pPr>
              <w:spacing w:after="0"/>
              <w:rPr>
                <w:sz w:val="16"/>
                <w:szCs w:val="16"/>
                <w:color w:val="auto"/>
              </w:rPr>
            </w:pPr>
          </w:p>
        </w:tc>
        <w:tc>
          <w:tcPr>
            <w:tcW w:w="920" w:type="dxa"/>
            <w:vAlign w:val="bottom"/>
            <w:tcBorders>
              <w:bottom w:val="single" w:sz="8" w:color="0077C0"/>
            </w:tcBorders>
          </w:tcPr>
          <w:p>
            <w:pPr>
              <w:spacing w:after="0"/>
              <w:rPr>
                <w:sz w:val="16"/>
                <w:szCs w:val="16"/>
                <w:color w:val="auto"/>
              </w:rPr>
            </w:pPr>
          </w:p>
        </w:tc>
        <w:tc>
          <w:tcPr>
            <w:tcW w:w="1660" w:type="dxa"/>
            <w:vAlign w:val="bottom"/>
            <w:tcBorders>
              <w:bottom w:val="single" w:sz="8" w:color="0077C0"/>
            </w:tcBorders>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0077C0"/>
            </w:tcBorders>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bottom w:val="single" w:sz="8" w:color="0077C0"/>
            </w:tcBorders>
          </w:tcPr>
          <w:p>
            <w:pPr>
              <w:spacing w:after="0"/>
              <w:rPr>
                <w:sz w:val="16"/>
                <w:szCs w:val="16"/>
                <w:color w:val="auto"/>
              </w:rPr>
            </w:pPr>
          </w:p>
        </w:tc>
        <w:tc>
          <w:tcPr>
            <w:tcW w:w="1640" w:type="dxa"/>
            <w:vAlign w:val="bottom"/>
            <w:tcBorders>
              <w:bottom w:val="single" w:sz="8" w:color="0077C0"/>
            </w:tcBorders>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0077C0"/>
            </w:tcBorders>
          </w:tcPr>
          <w:p>
            <w:pPr>
              <w:spacing w:after="0"/>
              <w:rPr>
                <w:sz w:val="16"/>
                <w:szCs w:val="16"/>
                <w:color w:val="auto"/>
              </w:rPr>
            </w:pPr>
          </w:p>
        </w:tc>
      </w:tr>
      <w:tr>
        <w:trPr>
          <w:trHeight w:val="191"/>
        </w:trPr>
        <w:tc>
          <w:tcPr>
            <w:tcW w:w="47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Pr>
          <w:p>
            <w:pPr>
              <w:spacing w:after="0"/>
              <w:rPr>
                <w:sz w:val="16"/>
                <w:szCs w:val="16"/>
                <w:color w:val="auto"/>
              </w:rPr>
            </w:pPr>
          </w:p>
        </w:tc>
        <w:tc>
          <w:tcPr>
            <w:tcW w:w="9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780" w:type="dxa"/>
            <w:vAlign w:val="bottom"/>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gridSpan w:val="2"/>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r>
      <w:tr>
        <w:trPr>
          <w:trHeight w:val="186"/>
        </w:trPr>
        <w:tc>
          <w:tcPr>
            <w:tcW w:w="4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478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r>
      <w:tr>
        <w:trPr>
          <w:trHeight w:val="237"/>
        </w:trPr>
        <w:tc>
          <w:tcPr>
            <w:tcW w:w="478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depletion and amortization</w:t>
            </w:r>
          </w:p>
        </w:tc>
        <w:tc>
          <w:tcPr>
            <w:tcW w:w="920" w:type="dxa"/>
            <w:vAlign w:val="bottom"/>
            <w:tcBorders>
              <w:bottom w:val="single" w:sz="8" w:color="0077C0"/>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0077C0"/>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6,272</w:t>
            </w:r>
          </w:p>
        </w:tc>
        <w:tc>
          <w:tcPr>
            <w:tcW w:w="1020" w:type="dxa"/>
            <w:vAlign w:val="bottom"/>
            <w:tcBorders>
              <w:bottom w:val="single" w:sz="8" w:color="0077C0"/>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120" w:type="dxa"/>
            <w:vAlign w:val="bottom"/>
            <w:tcBorders>
              <w:bottom w:val="single" w:sz="8" w:color="0077C0"/>
            </w:tcBorders>
            <w:shd w:val="clear" w:color="auto" w:fill="CCEEFF"/>
          </w:tcPr>
          <w:p>
            <w:pPr>
              <w:spacing w:after="0"/>
              <w:rPr>
                <w:sz w:val="20"/>
                <w:szCs w:val="20"/>
                <w:color w:val="auto"/>
              </w:rPr>
            </w:pPr>
          </w:p>
        </w:tc>
        <w:tc>
          <w:tcPr>
            <w:tcW w:w="600" w:type="dxa"/>
            <w:vAlign w:val="bottom"/>
            <w:tcBorders>
              <w:bottom w:val="single" w:sz="8" w:color="0077C0"/>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0077C0"/>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18,162</w:t>
            </w:r>
          </w:p>
        </w:tc>
        <w:tc>
          <w:tcPr>
            <w:tcW w:w="680" w:type="dxa"/>
            <w:vAlign w:val="bottom"/>
            <w:tcBorders>
              <w:bottom w:val="single" w:sz="8" w:color="0077C0"/>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14,248</w:t>
            </w:r>
          </w:p>
        </w:tc>
      </w:tr>
    </w:tbl>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depletion and amortization expenses in third quarter increased primarily due to higher rates. Depreciation, depletion and amortization expenses for the nine-month periods increased primarily due to higher production, including from legacy Hess assets, and higher rates.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6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r>
      <w:tr>
        <w:trPr>
          <w:trHeight w:val="196"/>
        </w:trPr>
        <w:tc>
          <w:tcPr>
            <w:tcW w:w="4780" w:type="dxa"/>
            <w:vAlign w:val="bottom"/>
          </w:tcPr>
          <w:p>
            <w:pPr>
              <w:spacing w:after="0"/>
              <w:rPr>
                <w:sz w:val="17"/>
                <w:szCs w:val="17"/>
                <w:color w:val="auto"/>
              </w:rPr>
            </w:pPr>
          </w:p>
        </w:tc>
        <w:tc>
          <w:tcPr>
            <w:tcW w:w="920" w:type="dxa"/>
            <w:vAlign w:val="bottom"/>
            <w:tcBorders>
              <w:bottom w:val="single" w:sz="8" w:color="0077C0"/>
            </w:tcBorders>
          </w:tcPr>
          <w:p>
            <w:pPr>
              <w:spacing w:after="0"/>
              <w:rPr>
                <w:sz w:val="17"/>
                <w:szCs w:val="17"/>
                <w:color w:val="auto"/>
              </w:rPr>
            </w:pPr>
          </w:p>
        </w:tc>
        <w:tc>
          <w:tcPr>
            <w:tcW w:w="1660" w:type="dxa"/>
            <w:vAlign w:val="bottom"/>
            <w:tcBorders>
              <w:bottom w:val="single" w:sz="8" w:color="0077C0"/>
            </w:tcBorders>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0077C0"/>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0077C0"/>
            </w:tcBorders>
          </w:tcPr>
          <w:p>
            <w:pPr>
              <w:spacing w:after="0"/>
              <w:rPr>
                <w:sz w:val="17"/>
                <w:szCs w:val="17"/>
                <w:color w:val="auto"/>
              </w:rPr>
            </w:pPr>
          </w:p>
        </w:tc>
        <w:tc>
          <w:tcPr>
            <w:tcW w:w="1300" w:type="dxa"/>
            <w:vAlign w:val="bottom"/>
            <w:tcBorders>
              <w:bottom w:val="single" w:sz="8" w:color="0077C0"/>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0077C0"/>
            </w:tcBorders>
          </w:tcPr>
          <w:p>
            <w:pPr>
              <w:spacing w:after="0"/>
              <w:rPr>
                <w:sz w:val="17"/>
                <w:szCs w:val="17"/>
                <w:color w:val="auto"/>
              </w:rPr>
            </w:pPr>
          </w:p>
        </w:tc>
      </w:tr>
      <w:tr>
        <w:trPr>
          <w:trHeight w:val="192"/>
        </w:trPr>
        <w:tc>
          <w:tcPr>
            <w:tcW w:w="47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780" w:type="dxa"/>
            <w:vAlign w:val="bottom"/>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60" w:type="dxa"/>
            <w:vAlign w:val="bottom"/>
            <w:tcBorders>
              <w:bottom w:val="single" w:sz="8" w:color="0077C0"/>
            </w:tcBorders>
            <w:gridSpan w:val="2"/>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r>
      <w:tr>
        <w:trPr>
          <w:trHeight w:val="186"/>
        </w:trPr>
        <w:tc>
          <w:tcPr>
            <w:tcW w:w="4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4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478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2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r>
      <w:tr>
        <w:trPr>
          <w:trHeight w:val="237"/>
        </w:trPr>
        <w:tc>
          <w:tcPr>
            <w:tcW w:w="478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Taxes other than on income</w:t>
            </w:r>
          </w:p>
        </w:tc>
        <w:tc>
          <w:tcPr>
            <w:tcW w:w="920" w:type="dxa"/>
            <w:vAlign w:val="bottom"/>
            <w:tcBorders>
              <w:bottom w:val="single" w:sz="8" w:color="0077C0"/>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0077C0"/>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1,310</w:t>
            </w:r>
          </w:p>
        </w:tc>
        <w:tc>
          <w:tcPr>
            <w:tcW w:w="1020" w:type="dxa"/>
            <w:vAlign w:val="bottom"/>
            <w:tcBorders>
              <w:bottom w:val="single" w:sz="8" w:color="0077C0"/>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tcBorders>
              <w:bottom w:val="single" w:sz="8" w:color="0077C0"/>
            </w:tcBorders>
            <w:shd w:val="clear" w:color="auto" w:fill="CCEEFF"/>
          </w:tcPr>
          <w:p>
            <w:pPr>
              <w:spacing w:after="0"/>
              <w:rPr>
                <w:sz w:val="20"/>
                <w:szCs w:val="20"/>
                <w:color w:val="auto"/>
              </w:rPr>
            </w:pPr>
          </w:p>
        </w:tc>
        <w:tc>
          <w:tcPr>
            <w:tcW w:w="940" w:type="dxa"/>
            <w:vAlign w:val="bottom"/>
            <w:tcBorders>
              <w:bottom w:val="single" w:sz="8" w:color="0077C0"/>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0077C0"/>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3,837</w:t>
            </w:r>
          </w:p>
        </w:tc>
        <w:tc>
          <w:tcPr>
            <w:tcW w:w="680" w:type="dxa"/>
            <w:vAlign w:val="bottom"/>
            <w:tcBorders>
              <w:bottom w:val="single" w:sz="8" w:color="0077C0"/>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other than on income for third quarter and for the nine-month periods decreased primarily due to lower excise taxes related to downstream activities.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r>
      <w:tr>
        <w:trPr>
          <w:trHeight w:val="195"/>
        </w:trPr>
        <w:tc>
          <w:tcPr>
            <w:tcW w:w="4780" w:type="dxa"/>
            <w:vAlign w:val="bottom"/>
          </w:tcPr>
          <w:p>
            <w:pPr>
              <w:spacing w:after="0"/>
              <w:rPr>
                <w:sz w:val="16"/>
                <w:szCs w:val="16"/>
                <w:color w:val="auto"/>
              </w:rPr>
            </w:pPr>
          </w:p>
        </w:tc>
        <w:tc>
          <w:tcPr>
            <w:tcW w:w="920" w:type="dxa"/>
            <w:vAlign w:val="bottom"/>
            <w:tcBorders>
              <w:bottom w:val="single" w:sz="8" w:color="0077C0"/>
            </w:tcBorders>
          </w:tcPr>
          <w:p>
            <w:pPr>
              <w:spacing w:after="0"/>
              <w:rPr>
                <w:sz w:val="16"/>
                <w:szCs w:val="16"/>
                <w:color w:val="auto"/>
              </w:rPr>
            </w:pPr>
          </w:p>
        </w:tc>
        <w:tc>
          <w:tcPr>
            <w:tcW w:w="1660" w:type="dxa"/>
            <w:vAlign w:val="bottom"/>
            <w:tcBorders>
              <w:bottom w:val="single" w:sz="8" w:color="0077C0"/>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0077C0"/>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0077C0"/>
            </w:tcBorders>
          </w:tcPr>
          <w:p>
            <w:pPr>
              <w:spacing w:after="0"/>
              <w:rPr>
                <w:sz w:val="16"/>
                <w:szCs w:val="16"/>
                <w:color w:val="auto"/>
              </w:rPr>
            </w:pPr>
          </w:p>
        </w:tc>
        <w:tc>
          <w:tcPr>
            <w:tcW w:w="1300" w:type="dxa"/>
            <w:vAlign w:val="bottom"/>
            <w:tcBorders>
              <w:bottom w:val="single" w:sz="8" w:color="0077C0"/>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0077C0"/>
            </w:tcBorders>
          </w:tcPr>
          <w:p>
            <w:pPr>
              <w:spacing w:after="0"/>
              <w:rPr>
                <w:sz w:val="16"/>
                <w:szCs w:val="16"/>
                <w:color w:val="auto"/>
              </w:rPr>
            </w:pPr>
          </w:p>
        </w:tc>
      </w:tr>
      <w:tr>
        <w:trPr>
          <w:trHeight w:val="191"/>
        </w:trPr>
        <w:tc>
          <w:tcPr>
            <w:tcW w:w="47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780" w:type="dxa"/>
            <w:vAlign w:val="bottom"/>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60" w:type="dxa"/>
            <w:vAlign w:val="bottom"/>
            <w:tcBorders>
              <w:bottom w:val="single" w:sz="8" w:color="0077C0"/>
            </w:tcBorders>
            <w:gridSpan w:val="2"/>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r>
      <w:tr>
        <w:trPr>
          <w:trHeight w:val="186"/>
        </w:trPr>
        <w:tc>
          <w:tcPr>
            <w:tcW w:w="4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4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478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2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r>
      <w:tr>
        <w:trPr>
          <w:trHeight w:val="236"/>
        </w:trPr>
        <w:tc>
          <w:tcPr>
            <w:tcW w:w="478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and debt expense</w:t>
            </w:r>
          </w:p>
        </w:tc>
        <w:tc>
          <w:tcPr>
            <w:tcW w:w="920" w:type="dxa"/>
            <w:vAlign w:val="bottom"/>
            <w:tcBorders>
              <w:bottom w:val="single" w:sz="8" w:color="0077C0"/>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0077C0"/>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304</w:t>
            </w:r>
          </w:p>
        </w:tc>
        <w:tc>
          <w:tcPr>
            <w:tcW w:w="1020" w:type="dxa"/>
            <w:vAlign w:val="bottom"/>
            <w:tcBorders>
              <w:bottom w:val="single" w:sz="8" w:color="0077C0"/>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Borders>
              <w:bottom w:val="single" w:sz="8" w:color="0077C0"/>
            </w:tcBorders>
            <w:shd w:val="clear" w:color="auto" w:fill="CCEEFF"/>
          </w:tcPr>
          <w:p>
            <w:pPr>
              <w:spacing w:after="0"/>
              <w:rPr>
                <w:sz w:val="20"/>
                <w:szCs w:val="20"/>
                <w:color w:val="auto"/>
              </w:rPr>
            </w:pPr>
          </w:p>
        </w:tc>
        <w:tc>
          <w:tcPr>
            <w:tcW w:w="940" w:type="dxa"/>
            <w:vAlign w:val="bottom"/>
            <w:tcBorders>
              <w:bottom w:val="single" w:sz="8" w:color="0077C0"/>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0077C0"/>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1,001</w:t>
            </w:r>
          </w:p>
        </w:tc>
        <w:tc>
          <w:tcPr>
            <w:tcW w:w="680" w:type="dxa"/>
            <w:vAlign w:val="bottom"/>
            <w:tcBorders>
              <w:bottom w:val="single" w:sz="8" w:color="0077C0"/>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r>
    </w:tbl>
    <w:p>
      <w:pPr>
        <w:spacing w:after="0" w:line="11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Interest and debt expenses in third quarter decreased due to lower debt balances compared to third quarter last year. Interest and debt expenses for the nine-month periods increased mainly due to higher average debt balances compared to the same period last year, including the debt assumed from the Hess acquisition.</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6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r>
      <w:tr>
        <w:trPr>
          <w:trHeight w:val="195"/>
        </w:trPr>
        <w:tc>
          <w:tcPr>
            <w:tcW w:w="4780" w:type="dxa"/>
            <w:vAlign w:val="bottom"/>
          </w:tcPr>
          <w:p>
            <w:pPr>
              <w:spacing w:after="0"/>
              <w:rPr>
                <w:sz w:val="16"/>
                <w:szCs w:val="16"/>
                <w:color w:val="auto"/>
              </w:rPr>
            </w:pPr>
          </w:p>
        </w:tc>
        <w:tc>
          <w:tcPr>
            <w:tcW w:w="920" w:type="dxa"/>
            <w:vAlign w:val="bottom"/>
            <w:tcBorders>
              <w:bottom w:val="single" w:sz="8" w:color="0077C0"/>
            </w:tcBorders>
          </w:tcPr>
          <w:p>
            <w:pPr>
              <w:spacing w:after="0"/>
              <w:rPr>
                <w:sz w:val="16"/>
                <w:szCs w:val="16"/>
                <w:color w:val="auto"/>
              </w:rPr>
            </w:pPr>
          </w:p>
        </w:tc>
        <w:tc>
          <w:tcPr>
            <w:tcW w:w="1660" w:type="dxa"/>
            <w:vAlign w:val="bottom"/>
            <w:tcBorders>
              <w:bottom w:val="single" w:sz="8" w:color="0077C0"/>
            </w:tcBorders>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0077C0"/>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0077C0"/>
            </w:tcBorders>
          </w:tcPr>
          <w:p>
            <w:pPr>
              <w:spacing w:after="0"/>
              <w:rPr>
                <w:sz w:val="16"/>
                <w:szCs w:val="16"/>
                <w:color w:val="auto"/>
              </w:rPr>
            </w:pPr>
          </w:p>
        </w:tc>
        <w:tc>
          <w:tcPr>
            <w:tcW w:w="1300" w:type="dxa"/>
            <w:vAlign w:val="bottom"/>
            <w:tcBorders>
              <w:bottom w:val="single" w:sz="8" w:color="0077C0"/>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0077C0"/>
            </w:tcBorders>
          </w:tcPr>
          <w:p>
            <w:pPr>
              <w:spacing w:after="0"/>
              <w:rPr>
                <w:sz w:val="16"/>
                <w:szCs w:val="16"/>
                <w:color w:val="auto"/>
              </w:rPr>
            </w:pPr>
          </w:p>
        </w:tc>
      </w:tr>
      <w:tr>
        <w:trPr>
          <w:trHeight w:val="191"/>
        </w:trPr>
        <w:tc>
          <w:tcPr>
            <w:tcW w:w="47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780" w:type="dxa"/>
            <w:vAlign w:val="bottom"/>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60" w:type="dxa"/>
            <w:vAlign w:val="bottom"/>
            <w:tcBorders>
              <w:bottom w:val="single" w:sz="8" w:color="0077C0"/>
            </w:tcBorders>
            <w:gridSpan w:val="2"/>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r>
      <w:tr>
        <w:trPr>
          <w:trHeight w:val="186"/>
        </w:trPr>
        <w:tc>
          <w:tcPr>
            <w:tcW w:w="4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4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478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2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r>
      <w:tr>
        <w:trPr>
          <w:trHeight w:val="290"/>
        </w:trPr>
        <w:tc>
          <w:tcPr>
            <w:tcW w:w="478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components of net periodic benefit costs</w:t>
            </w:r>
          </w:p>
        </w:tc>
        <w:tc>
          <w:tcPr>
            <w:tcW w:w="920" w:type="dxa"/>
            <w:vAlign w:val="bottom"/>
            <w:tcBorders>
              <w:bottom w:val="single" w:sz="8" w:color="0077C0"/>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0077C0"/>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17</w:t>
            </w:r>
          </w:p>
        </w:tc>
        <w:tc>
          <w:tcPr>
            <w:tcW w:w="1020" w:type="dxa"/>
            <w:vAlign w:val="bottom"/>
            <w:tcBorders>
              <w:bottom w:val="single" w:sz="8" w:color="0077C0"/>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0077C0"/>
            </w:tcBorders>
            <w:shd w:val="clear" w:color="auto" w:fill="CCEEFF"/>
          </w:tcPr>
          <w:p>
            <w:pPr>
              <w:spacing w:after="0"/>
              <w:rPr>
                <w:sz w:val="24"/>
                <w:szCs w:val="24"/>
                <w:color w:val="auto"/>
              </w:rPr>
            </w:pPr>
          </w:p>
        </w:tc>
        <w:tc>
          <w:tcPr>
            <w:tcW w:w="940" w:type="dxa"/>
            <w:vAlign w:val="bottom"/>
            <w:tcBorders>
              <w:bottom w:val="single" w:sz="8" w:color="0077C0"/>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0077C0"/>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95</w:t>
            </w:r>
          </w:p>
        </w:tc>
        <w:tc>
          <w:tcPr>
            <w:tcW w:w="680" w:type="dxa"/>
            <w:vAlign w:val="bottom"/>
            <w:tcBorders>
              <w:bottom w:val="single" w:sz="8" w:color="0077C0"/>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bl>
    <w:p>
      <w:pPr>
        <w:spacing w:after="0" w:line="10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Other components of net periodic benefit costs in third quarter and for the nine-month periods decreased mainly due to higher expected returns on plan assets.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6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r>
      <w:tr>
        <w:trPr>
          <w:trHeight w:val="195"/>
        </w:trPr>
        <w:tc>
          <w:tcPr>
            <w:tcW w:w="4780" w:type="dxa"/>
            <w:vAlign w:val="bottom"/>
          </w:tcPr>
          <w:p>
            <w:pPr>
              <w:spacing w:after="0"/>
              <w:rPr>
                <w:sz w:val="16"/>
                <w:szCs w:val="16"/>
                <w:color w:val="auto"/>
              </w:rPr>
            </w:pPr>
          </w:p>
        </w:tc>
        <w:tc>
          <w:tcPr>
            <w:tcW w:w="920" w:type="dxa"/>
            <w:vAlign w:val="bottom"/>
            <w:tcBorders>
              <w:bottom w:val="single" w:sz="8" w:color="0077C0"/>
            </w:tcBorders>
          </w:tcPr>
          <w:p>
            <w:pPr>
              <w:spacing w:after="0"/>
              <w:rPr>
                <w:sz w:val="16"/>
                <w:szCs w:val="16"/>
                <w:color w:val="auto"/>
              </w:rPr>
            </w:pPr>
          </w:p>
        </w:tc>
        <w:tc>
          <w:tcPr>
            <w:tcW w:w="1660" w:type="dxa"/>
            <w:vAlign w:val="bottom"/>
            <w:tcBorders>
              <w:bottom w:val="single" w:sz="8" w:color="0077C0"/>
            </w:tcBorders>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0077C0"/>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0077C0"/>
            </w:tcBorders>
          </w:tcPr>
          <w:p>
            <w:pPr>
              <w:spacing w:after="0"/>
              <w:rPr>
                <w:sz w:val="16"/>
                <w:szCs w:val="16"/>
                <w:color w:val="auto"/>
              </w:rPr>
            </w:pPr>
          </w:p>
        </w:tc>
        <w:tc>
          <w:tcPr>
            <w:tcW w:w="1300" w:type="dxa"/>
            <w:vAlign w:val="bottom"/>
            <w:tcBorders>
              <w:bottom w:val="single" w:sz="8" w:color="0077C0"/>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0077C0"/>
            </w:tcBorders>
          </w:tcPr>
          <w:p>
            <w:pPr>
              <w:spacing w:after="0"/>
              <w:rPr>
                <w:sz w:val="16"/>
                <w:szCs w:val="16"/>
                <w:color w:val="auto"/>
              </w:rPr>
            </w:pPr>
          </w:p>
        </w:tc>
      </w:tr>
      <w:tr>
        <w:trPr>
          <w:trHeight w:val="191"/>
        </w:trPr>
        <w:tc>
          <w:tcPr>
            <w:tcW w:w="47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780" w:type="dxa"/>
            <w:vAlign w:val="bottom"/>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60" w:type="dxa"/>
            <w:vAlign w:val="bottom"/>
            <w:tcBorders>
              <w:bottom w:val="single" w:sz="8" w:color="0077C0"/>
            </w:tcBorders>
            <w:gridSpan w:val="2"/>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r>
      <w:tr>
        <w:trPr>
          <w:trHeight w:val="186"/>
        </w:trPr>
        <w:tc>
          <w:tcPr>
            <w:tcW w:w="4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4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478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2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r>
      <w:tr>
        <w:trPr>
          <w:trHeight w:val="237"/>
        </w:trPr>
        <w:tc>
          <w:tcPr>
            <w:tcW w:w="478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expense/(benefit)</w:t>
            </w:r>
          </w:p>
        </w:tc>
        <w:tc>
          <w:tcPr>
            <w:tcW w:w="920" w:type="dxa"/>
            <w:vAlign w:val="bottom"/>
            <w:tcBorders>
              <w:bottom w:val="single" w:sz="8" w:color="0077C0"/>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0077C0"/>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3,577</w:t>
            </w:r>
          </w:p>
        </w:tc>
        <w:tc>
          <w:tcPr>
            <w:tcW w:w="1020" w:type="dxa"/>
            <w:vAlign w:val="bottom"/>
            <w:tcBorders>
              <w:bottom w:val="single" w:sz="8" w:color="0077C0"/>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20" w:type="dxa"/>
            <w:vAlign w:val="bottom"/>
            <w:tcBorders>
              <w:bottom w:val="single" w:sz="8" w:color="0077C0"/>
            </w:tcBorders>
            <w:shd w:val="clear" w:color="auto" w:fill="CCEEFF"/>
          </w:tcPr>
          <w:p>
            <w:pPr>
              <w:spacing w:after="0"/>
              <w:rPr>
                <w:sz w:val="20"/>
                <w:szCs w:val="20"/>
                <w:color w:val="auto"/>
              </w:rPr>
            </w:pPr>
          </w:p>
        </w:tc>
        <w:tc>
          <w:tcPr>
            <w:tcW w:w="940" w:type="dxa"/>
            <w:vAlign w:val="bottom"/>
            <w:tcBorders>
              <w:bottom w:val="single" w:sz="8" w:color="0077C0"/>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0077C0"/>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9,700</w:t>
            </w:r>
          </w:p>
        </w:tc>
        <w:tc>
          <w:tcPr>
            <w:tcW w:w="680" w:type="dxa"/>
            <w:vAlign w:val="bottom"/>
            <w:tcBorders>
              <w:bottom w:val="single" w:sz="8" w:color="0077C0"/>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w:t>
            </w:r>
          </w:p>
        </w:tc>
      </w:tr>
    </w:tbl>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increase in income tax expense for third quarter 2026 of $1.8 billion was primarily due to the increase in total income before tax of $8.2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U.S. income before tax increased from $1.3 billion in third quarter 2025 to $7.7 billion in third quarter 2026. This was driven by higher upstream liquids realizations, lower operating expenses, and higher downstream margins on refined product sales. The company’s U.S. income tax increased $1.3 billion between year-over-year periods, from $234 million in 2025 to $1.5 billion in 2026 primarily due to the increase in income.</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International income before tax increased from $4.1 billion in third quarter 2025 to $6.0 billion in third quarter 2026. This $1.9 billion increase in income was primarily driven by higher upstream realizations and higher margins on refined product sales, partly offset by unfavorable timing effects. The company’s international income tax expense increased $0.5 billion between year-over-year periods, from $1.6 billion in 2025 to $2.1 billion in 2026, primarily due to the increase in income partially offset by mix effects, resulting from the absolute level of earnings or losses and whether they arose in higher or lower tax rate jurisdictions.</w:t>
      </w:r>
    </w:p>
    <w:p>
      <w:pPr>
        <w:spacing w:after="0" w:line="6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company’s increase in income tax expense for the first nine months of 2026 of $4.2 billion was primarily due to the increase in the total before-tax income in 2026 of $19.1 billion, partially offset by mix effects resulting from the absolute level of earnings or losses and whether they arose in higher or lower tax rate jurisdictions.</w:t>
      </w:r>
    </w:p>
    <w:p>
      <w:pPr>
        <w:spacing w:after="0" w:line="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U.S. income before tax increased between the nine-month periods, from $4.3 billion in 2025 to $15.9 billion in 2026. This increase in income was primarily driven by increased upstream sales volumes, higher upstream liquids realizations, and higher margins on refined product sales partly offset by higher depreciation, depletion and amortization. The increase in income had a direct impact on the company’s U.S. income tax, resulting in an increase in tax expense of $2.4 billion between the nine-month periods, from $1.0 billion in 2025 to $3.4 billion in 2026.</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International income before tax increased for the nine-month periods from $10.9 billion in 2025 to $18.4 billion in 2026. This increase in income was primarily driven by increased upstream sales volumes, higher upstream liquids realizations, and higher margins on refined product sales, partly offset by higher depreciation, depletion and amortization and unfavorable timing effects. The increase in income partly offset by mix effects, resulting from the absolute level of earnings or losses and whether they arose in higher or lower tax rate jurisdictions, primarily drove the $1.8 billion increase in international income tax expense between year-over-year periods, from $4.5 billion in 2025 to $6.3 billion in 2026.</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 information related to the company’s effective income tax rate is included in </w:t>
      </w:r>
      <w:r>
        <w:rPr>
          <w:rFonts w:ascii="Times New Roman" w:cs="Times New Roman" w:eastAsia="Times New Roman" w:hAnsi="Times New Roman"/>
          <w:sz w:val="18"/>
          <w:szCs w:val="18"/>
          <w:u w:val="single" w:color="auto"/>
          <w:color w:val="0000FF"/>
        </w:rPr>
        <w:t>Note 10 Income Taxes</w:t>
      </w:r>
      <w:r>
        <w:rPr>
          <w:rFonts w:ascii="Times New Roman" w:cs="Times New Roman" w:eastAsia="Times New Roman" w:hAnsi="Times New Roman"/>
          <w:sz w:val="18"/>
          <w:szCs w:val="18"/>
          <w:color w:val="auto"/>
        </w:rPr>
        <w:t xml:space="preserve">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Operating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comparison of selected operating data:</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Selected Operating Data </w:t>
      </w:r>
      <w:r>
        <w:rPr>
          <w:rFonts w:ascii="Times New Roman" w:cs="Times New Roman" w:eastAsia="Times New Roman" w:hAnsi="Times New Roman"/>
          <w:sz w:val="23"/>
          <w:szCs w:val="23"/>
          <w:b w:val="1"/>
          <w:bCs w:val="1"/>
          <w:color w:val="auto"/>
          <w:vertAlign w:val="superscript"/>
        </w:rPr>
        <w:t>(1) (2)</w:t>
      </w:r>
    </w:p>
    <w:tbl>
      <w:tblPr>
        <w:tblLayout w:type="fixed"/>
        <w:tblInd w:w="0" w:type="dxa"/>
        <w:tblCellMar>
          <w:top w:w="0" w:type="dxa"/>
          <w:left w:w="0" w:type="dxa"/>
          <w:bottom w:w="0" w:type="dxa"/>
          <w:right w:w="0" w:type="dxa"/>
        </w:tblCellMar>
      </w:tblPr>
      <w:tr>
        <w:trPr>
          <w:trHeight w:val="131"/>
        </w:trPr>
        <w:tc>
          <w:tcPr>
            <w:tcW w:w="47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00" w:type="dxa"/>
            <w:vAlign w:val="bottom"/>
            <w:gridSpan w:val="4"/>
          </w:tcPr>
          <w:p>
            <w:pPr>
              <w:ind w:left="28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1"/>
                <w:szCs w:val="11"/>
                <w:color w:val="auto"/>
              </w:rPr>
            </w:pPr>
          </w:p>
        </w:tc>
        <w:tc>
          <w:tcPr>
            <w:tcW w:w="2100" w:type="dxa"/>
            <w:vAlign w:val="bottom"/>
            <w:gridSpan w:val="3"/>
          </w:tcPr>
          <w:p>
            <w:pPr>
              <w:jc w:val="right"/>
              <w:ind w:right="471"/>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4"/>
        </w:trPr>
        <w:tc>
          <w:tcPr>
            <w:tcW w:w="47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60" w:type="dxa"/>
            <w:vAlign w:val="bottom"/>
            <w:tcBorders>
              <w:bottom w:val="single" w:sz="8" w:color="0077C0"/>
            </w:tcBorders>
          </w:tcPr>
          <w:p>
            <w:pPr>
              <w:spacing w:after="0"/>
              <w:rPr>
                <w:sz w:val="16"/>
                <w:szCs w:val="16"/>
                <w:color w:val="auto"/>
              </w:rPr>
            </w:pPr>
          </w:p>
        </w:tc>
        <w:tc>
          <w:tcPr>
            <w:tcW w:w="1380" w:type="dxa"/>
            <w:vAlign w:val="bottom"/>
            <w:tcBorders>
              <w:bottom w:val="single" w:sz="8" w:color="0077C0"/>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0077C0"/>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0077C0"/>
            </w:tcBorders>
          </w:tcPr>
          <w:p>
            <w:pPr>
              <w:spacing w:after="0"/>
              <w:rPr>
                <w:sz w:val="16"/>
                <w:szCs w:val="16"/>
                <w:color w:val="auto"/>
              </w:rPr>
            </w:pPr>
          </w:p>
        </w:tc>
        <w:tc>
          <w:tcPr>
            <w:tcW w:w="1380" w:type="dxa"/>
            <w:vAlign w:val="bottom"/>
            <w:tcBorders>
              <w:bottom w:val="single" w:sz="8" w:color="0077C0"/>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0077C0"/>
            </w:tcBorders>
          </w:tcPr>
          <w:p>
            <w:pPr>
              <w:spacing w:after="0"/>
              <w:rPr>
                <w:sz w:val="16"/>
                <w:szCs w:val="16"/>
                <w:color w:val="auto"/>
              </w:rPr>
            </w:pPr>
          </w:p>
        </w:tc>
      </w:tr>
      <w:tr>
        <w:trPr>
          <w:trHeight w:val="193"/>
        </w:trPr>
        <w:tc>
          <w:tcPr>
            <w:tcW w:w="4700" w:type="dxa"/>
            <w:vAlign w:val="bottom"/>
          </w:tcPr>
          <w:p>
            <w:pPr>
              <w:spacing w:after="0"/>
              <w:rPr>
                <w:sz w:val="16"/>
                <w:szCs w:val="16"/>
                <w:color w:val="auto"/>
              </w:rPr>
            </w:pPr>
          </w:p>
        </w:tc>
        <w:tc>
          <w:tcPr>
            <w:tcW w:w="162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260" w:type="dxa"/>
            <w:vAlign w:val="bottom"/>
          </w:tcPr>
          <w:p>
            <w:pPr>
              <w:spacing w:after="0"/>
              <w:rPr>
                <w:sz w:val="16"/>
                <w:szCs w:val="16"/>
                <w:color w:val="auto"/>
              </w:rPr>
            </w:pPr>
          </w:p>
        </w:tc>
        <w:tc>
          <w:tcPr>
            <w:tcW w:w="9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7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7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700" w:type="dxa"/>
            <w:vAlign w:val="bottom"/>
            <w:tcBorders>
              <w:bottom w:val="single" w:sz="8" w:color="0077C0"/>
            </w:tcBorders>
          </w:tcPr>
          <w:p>
            <w:pPr>
              <w:spacing w:after="0"/>
              <w:rPr>
                <w:sz w:val="2"/>
                <w:szCs w:val="2"/>
                <w:color w:val="auto"/>
              </w:rPr>
            </w:pPr>
          </w:p>
        </w:tc>
        <w:tc>
          <w:tcPr>
            <w:tcW w:w="162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48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48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r>
      <w:tr>
        <w:trPr>
          <w:trHeight w:val="23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U.S. Upstream</w:t>
            </w: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3"/>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crude oil and natural gas liquids production</w:t>
            </w:r>
          </w:p>
        </w:tc>
        <w:tc>
          <w:tcPr>
            <w:tcW w:w="1620" w:type="dxa"/>
            <w:vAlign w:val="bottom"/>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color w:val="auto"/>
              </w:rPr>
              <w:t>MBD</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1,456</w:t>
            </w:r>
          </w:p>
        </w:tc>
        <w:tc>
          <w:tcPr>
            <w:tcW w:w="4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1,469</w:t>
            </w: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43"/>
        </w:trPr>
        <w:tc>
          <w:tcPr>
            <w:tcW w:w="4700" w:type="dxa"/>
            <w:vAlign w:val="bottom"/>
          </w:tcPr>
          <w:p>
            <w:pPr>
              <w:ind w:left="220"/>
              <w:spacing w:after="0" w:line="243" w:lineRule="exact"/>
              <w:rPr>
                <w:sz w:val="20"/>
                <w:szCs w:val="20"/>
                <w:color w:val="auto"/>
              </w:rPr>
            </w:pPr>
            <w:r>
              <w:rPr>
                <w:rFonts w:ascii="Times New Roman" w:cs="Times New Roman" w:eastAsia="Times New Roman" w:hAnsi="Times New Roman"/>
                <w:sz w:val="18"/>
                <w:szCs w:val="18"/>
                <w:color w:val="auto"/>
              </w:rPr>
              <w:t>Net natural gas production</w:t>
            </w:r>
            <w:r>
              <w:rPr>
                <w:rFonts w:ascii="Times New Roman" w:cs="Times New Roman" w:eastAsia="Times New Roman" w:hAnsi="Times New Roman"/>
                <w:sz w:val="23"/>
                <w:szCs w:val="23"/>
                <w:color w:val="auto"/>
                <w:vertAlign w:val="superscript"/>
              </w:rPr>
              <w:t>(3)</w:t>
            </w:r>
          </w:p>
        </w:tc>
        <w:tc>
          <w:tcPr>
            <w:tcW w:w="162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MMCFD</w:t>
            </w: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3,522</w:t>
            </w: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3,474</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r>
      <w:tr>
        <w:trPr>
          <w:trHeight w:val="243"/>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oil-equivalent production</w:t>
            </w:r>
          </w:p>
        </w:tc>
        <w:tc>
          <w:tcPr>
            <w:tcW w:w="1620" w:type="dxa"/>
            <w:vAlign w:val="bottom"/>
            <w:shd w:val="clear" w:color="auto" w:fill="CCEEFF"/>
          </w:tcPr>
          <w:p>
            <w:pPr>
              <w:jc w:val="center"/>
              <w:ind w:left="628"/>
              <w:spacing w:after="0"/>
              <w:rPr>
                <w:sz w:val="20"/>
                <w:szCs w:val="20"/>
                <w:color w:val="auto"/>
              </w:rPr>
            </w:pPr>
            <w:r>
              <w:rPr>
                <w:rFonts w:ascii="Times New Roman" w:cs="Times New Roman" w:eastAsia="Times New Roman" w:hAnsi="Times New Roman"/>
                <w:sz w:val="14"/>
                <w:szCs w:val="14"/>
                <w:color w:val="auto"/>
              </w:rPr>
              <w:t>MBOED</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2,043</w:t>
            </w:r>
          </w:p>
        </w:tc>
        <w:tc>
          <w:tcPr>
            <w:tcW w:w="4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2,048</w:t>
            </w: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r>
      <w:tr>
        <w:trPr>
          <w:trHeight w:val="243"/>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of natural gas</w:t>
            </w:r>
          </w:p>
        </w:tc>
        <w:tc>
          <w:tcPr>
            <w:tcW w:w="162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MMCFD</w:t>
            </w: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5,982</w:t>
            </w: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5,950</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5,683</w:t>
            </w:r>
          </w:p>
        </w:tc>
      </w:tr>
      <w:tr>
        <w:trPr>
          <w:trHeight w:val="243"/>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of natural gas liquids</w:t>
            </w:r>
          </w:p>
        </w:tc>
        <w:tc>
          <w:tcPr>
            <w:tcW w:w="1620" w:type="dxa"/>
            <w:vAlign w:val="bottom"/>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color w:val="auto"/>
              </w:rPr>
              <w:t>MBD</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569</w:t>
            </w:r>
          </w:p>
        </w:tc>
        <w:tc>
          <w:tcPr>
            <w:tcW w:w="4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575</w:t>
            </w: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43"/>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 from net production</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Crude</w:t>
            </w:r>
          </w:p>
        </w:tc>
        <w:tc>
          <w:tcPr>
            <w:tcW w:w="1620" w:type="dxa"/>
            <w:vAlign w:val="bottom"/>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color w:val="auto"/>
                <w:w w:val="99"/>
              </w:rPr>
              <w:t>$/BBL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83.44</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82.77</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w:t>
            </w:r>
          </w:p>
        </w:tc>
      </w:tr>
      <w:tr>
        <w:trPr>
          <w:trHeight w:val="24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NGLs</w:t>
            </w:r>
          </w:p>
        </w:tc>
        <w:tc>
          <w:tcPr>
            <w:tcW w:w="162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w w:val="99"/>
              </w:rPr>
              <w:t>$/BBL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22.41</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20.75</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r>
      <w:tr>
        <w:trPr>
          <w:trHeight w:val="243"/>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Liquids (weighted average of Crude and NGLs)</w:t>
            </w:r>
          </w:p>
        </w:tc>
        <w:tc>
          <w:tcPr>
            <w:tcW w:w="1620" w:type="dxa"/>
            <w:vAlign w:val="bottom"/>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color w:val="auto"/>
                <w:w w:val="99"/>
              </w:rPr>
              <w:t>$/BBL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62.72</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61.92</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w:t>
            </w:r>
          </w:p>
        </w:tc>
      </w:tr>
      <w:tr>
        <w:trPr>
          <w:trHeight w:val="24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162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$/MCF</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1.88</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1.74</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 Upstream</w:t>
            </w:r>
          </w:p>
        </w:tc>
        <w:tc>
          <w:tcPr>
            <w:tcW w:w="16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43"/>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crude oil and natural gas liquids production</w:t>
            </w:r>
          </w:p>
        </w:tc>
        <w:tc>
          <w:tcPr>
            <w:tcW w:w="162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MBD</w:t>
            </w: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1,010</w:t>
            </w: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1,026</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243"/>
        </w:trPr>
        <w:tc>
          <w:tcPr>
            <w:tcW w:w="4700" w:type="dxa"/>
            <w:vAlign w:val="bottom"/>
            <w:shd w:val="clear" w:color="auto" w:fill="CCEEFF"/>
          </w:tcPr>
          <w:p>
            <w:pPr>
              <w:ind w:left="220"/>
              <w:spacing w:after="0" w:line="243" w:lineRule="exact"/>
              <w:rPr>
                <w:sz w:val="20"/>
                <w:szCs w:val="20"/>
                <w:color w:val="auto"/>
              </w:rPr>
            </w:pPr>
            <w:r>
              <w:rPr>
                <w:rFonts w:ascii="Times New Roman" w:cs="Times New Roman" w:eastAsia="Times New Roman" w:hAnsi="Times New Roman"/>
                <w:sz w:val="18"/>
                <w:szCs w:val="18"/>
                <w:color w:val="auto"/>
              </w:rPr>
              <w:t>Net natural gas production</w:t>
            </w:r>
            <w:r>
              <w:rPr>
                <w:rFonts w:ascii="Times New Roman" w:cs="Times New Roman" w:eastAsia="Times New Roman" w:hAnsi="Times New Roman"/>
                <w:sz w:val="23"/>
                <w:szCs w:val="23"/>
                <w:color w:val="auto"/>
                <w:vertAlign w:val="superscript"/>
              </w:rPr>
              <w:t>(3)</w:t>
            </w:r>
          </w:p>
        </w:tc>
        <w:tc>
          <w:tcPr>
            <w:tcW w:w="1620" w:type="dxa"/>
            <w:vAlign w:val="bottom"/>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color w:val="auto"/>
              </w:rPr>
              <w:t>MMCFD</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5,563</w:t>
            </w:r>
          </w:p>
        </w:tc>
        <w:tc>
          <w:tcPr>
            <w:tcW w:w="4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5,373</w:t>
            </w: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w:t>
            </w:r>
          </w:p>
        </w:tc>
      </w:tr>
      <w:tr>
        <w:trPr>
          <w:trHeight w:val="243"/>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oil-equivalent production</w:t>
            </w:r>
          </w:p>
        </w:tc>
        <w:tc>
          <w:tcPr>
            <w:tcW w:w="1620" w:type="dxa"/>
            <w:vAlign w:val="bottom"/>
          </w:tcPr>
          <w:p>
            <w:pPr>
              <w:jc w:val="center"/>
              <w:ind w:left="628"/>
              <w:spacing w:after="0"/>
              <w:rPr>
                <w:sz w:val="20"/>
                <w:szCs w:val="20"/>
                <w:color w:val="auto"/>
              </w:rPr>
            </w:pPr>
            <w:r>
              <w:rPr>
                <w:rFonts w:ascii="Times New Roman" w:cs="Times New Roman" w:eastAsia="Times New Roman" w:hAnsi="Times New Roman"/>
                <w:sz w:val="14"/>
                <w:szCs w:val="14"/>
                <w:color w:val="auto"/>
              </w:rPr>
              <w:t>MBOED</w:t>
            </w: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1,937</w:t>
            </w: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1,922</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r>
      <w:tr>
        <w:trPr>
          <w:trHeight w:val="243"/>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of natural gas</w:t>
            </w:r>
          </w:p>
        </w:tc>
        <w:tc>
          <w:tcPr>
            <w:tcW w:w="1620" w:type="dxa"/>
            <w:vAlign w:val="bottom"/>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color w:val="auto"/>
              </w:rPr>
              <w:t>MMCFD</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6,175</w:t>
            </w:r>
          </w:p>
        </w:tc>
        <w:tc>
          <w:tcPr>
            <w:tcW w:w="4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5,715</w:t>
            </w: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w:t>
            </w:r>
          </w:p>
        </w:tc>
      </w:tr>
      <w:tr>
        <w:trPr>
          <w:trHeight w:val="243"/>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of natural gas liquids</w:t>
            </w:r>
          </w:p>
        </w:tc>
        <w:tc>
          <w:tcPr>
            <w:tcW w:w="162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MBD</w:t>
            </w: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148</w:t>
            </w: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144</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43"/>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 from liftings</w:t>
            </w:r>
          </w:p>
        </w:tc>
        <w:tc>
          <w:tcPr>
            <w:tcW w:w="16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4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Crude</w:t>
            </w:r>
          </w:p>
        </w:tc>
        <w:tc>
          <w:tcPr>
            <w:tcW w:w="162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w w:val="99"/>
              </w:rPr>
              <w:t>$/BBL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88.29</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1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89.55</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64.96</w:t>
            </w:r>
          </w:p>
        </w:tc>
      </w:tr>
      <w:tr>
        <w:trPr>
          <w:trHeight w:val="243"/>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NGLs</w:t>
            </w:r>
          </w:p>
        </w:tc>
        <w:tc>
          <w:tcPr>
            <w:tcW w:w="1620" w:type="dxa"/>
            <w:vAlign w:val="bottom"/>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color w:val="auto"/>
                <w:w w:val="99"/>
              </w:rPr>
              <w:t>$/BBL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27.44</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26.47</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r>
      <w:tr>
        <w:trPr>
          <w:trHeight w:val="24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Liquids (weighted average of Crude and NGLs)</w:t>
            </w:r>
          </w:p>
        </w:tc>
        <w:tc>
          <w:tcPr>
            <w:tcW w:w="162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w w:val="99"/>
              </w:rPr>
              <w:t>$/BBL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86.09</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1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86.94</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63.14</w:t>
            </w:r>
          </w:p>
        </w:tc>
      </w:tr>
      <w:tr>
        <w:trPr>
          <w:trHeight w:val="243"/>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1620" w:type="dxa"/>
            <w:vAlign w:val="bottom"/>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color w:val="auto"/>
              </w:rPr>
              <w:t>$/MCF</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9.44</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8.14</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U.S. and International Upstream</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oil-equivalent production</w:t>
            </w:r>
          </w:p>
        </w:tc>
        <w:tc>
          <w:tcPr>
            <w:tcW w:w="1620" w:type="dxa"/>
            <w:vAlign w:val="bottom"/>
            <w:shd w:val="clear" w:color="auto" w:fill="CCEEFF"/>
          </w:tcPr>
          <w:p>
            <w:pPr>
              <w:jc w:val="center"/>
              <w:ind w:left="628"/>
              <w:spacing w:after="0"/>
              <w:rPr>
                <w:sz w:val="20"/>
                <w:szCs w:val="20"/>
                <w:color w:val="auto"/>
              </w:rPr>
            </w:pPr>
            <w:r>
              <w:rPr>
                <w:rFonts w:ascii="Times New Roman" w:cs="Times New Roman" w:eastAsia="Times New Roman" w:hAnsi="Times New Roman"/>
                <w:sz w:val="14"/>
                <w:szCs w:val="14"/>
                <w:color w:val="auto"/>
              </w:rPr>
              <w:t>MBOED</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3,980</w:t>
            </w:r>
          </w:p>
        </w:tc>
        <w:tc>
          <w:tcPr>
            <w:tcW w:w="4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3,970</w:t>
            </w: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U.S. Downstream</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4700" w:type="dxa"/>
            <w:vAlign w:val="bottom"/>
            <w:shd w:val="clear" w:color="auto" w:fill="CCEEFF"/>
          </w:tcPr>
          <w:p>
            <w:pPr>
              <w:ind w:left="220"/>
              <w:spacing w:after="0" w:line="243" w:lineRule="exact"/>
              <w:rPr>
                <w:sz w:val="20"/>
                <w:szCs w:val="20"/>
                <w:color w:val="auto"/>
              </w:rPr>
            </w:pPr>
            <w:r>
              <w:rPr>
                <w:rFonts w:ascii="Times New Roman" w:cs="Times New Roman" w:eastAsia="Times New Roman" w:hAnsi="Times New Roman"/>
                <w:sz w:val="18"/>
                <w:szCs w:val="18"/>
                <w:color w:val="auto"/>
              </w:rPr>
              <w:t>Gasoline sales</w:t>
            </w:r>
            <w:r>
              <w:rPr>
                <w:rFonts w:ascii="Times New Roman" w:cs="Times New Roman" w:eastAsia="Times New Roman" w:hAnsi="Times New Roman"/>
                <w:sz w:val="23"/>
                <w:szCs w:val="23"/>
                <w:color w:val="auto"/>
                <w:vertAlign w:val="superscript"/>
              </w:rPr>
              <w:t>(4)</w:t>
            </w:r>
          </w:p>
        </w:tc>
        <w:tc>
          <w:tcPr>
            <w:tcW w:w="1620" w:type="dxa"/>
            <w:vAlign w:val="bottom"/>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color w:val="auto"/>
              </w:rPr>
              <w:t>MBD</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670</w:t>
            </w:r>
          </w:p>
        </w:tc>
        <w:tc>
          <w:tcPr>
            <w:tcW w:w="4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655</w:t>
            </w: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43"/>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refined product sales</w:t>
            </w:r>
          </w:p>
        </w:tc>
        <w:tc>
          <w:tcPr>
            <w:tcW w:w="1620" w:type="dxa"/>
            <w:vAlign w:val="bottom"/>
            <w:tcBorders>
              <w:bottom w:val="single" w:sz="8" w:color="CCEEFF"/>
            </w:tcBorders>
          </w:tcPr>
          <w:p>
            <w:pPr>
              <w:jc w:val="center"/>
              <w:ind w:left="608"/>
              <w:spacing w:after="0"/>
              <w:rPr>
                <w:sz w:val="20"/>
                <w:szCs w:val="20"/>
                <w:color w:val="auto"/>
              </w:rPr>
            </w:pPr>
            <w:r>
              <w:rPr>
                <w:rFonts w:ascii="Times New Roman" w:cs="Times New Roman" w:eastAsia="Times New Roman" w:hAnsi="Times New Roman"/>
                <w:sz w:val="14"/>
                <w:szCs w:val="14"/>
                <w:color w:val="auto"/>
              </w:rPr>
              <w:t>MBD</w:t>
            </w:r>
          </w:p>
        </w:tc>
        <w:tc>
          <w:tcPr>
            <w:tcW w:w="260" w:type="dxa"/>
            <w:vAlign w:val="bottom"/>
            <w:tcBorders>
              <w:bottom w:val="single" w:sz="8" w:color="0077C0"/>
            </w:tcBorders>
          </w:tcPr>
          <w:p>
            <w:pPr>
              <w:spacing w:after="0"/>
              <w:rPr>
                <w:sz w:val="21"/>
                <w:szCs w:val="21"/>
                <w:color w:val="auto"/>
              </w:rPr>
            </w:pPr>
          </w:p>
        </w:tc>
        <w:tc>
          <w:tcPr>
            <w:tcW w:w="900" w:type="dxa"/>
            <w:vAlign w:val="bottom"/>
            <w:tcBorders>
              <w:bottom w:val="single" w:sz="8" w:color="0077C0"/>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634</w:t>
            </w:r>
          </w:p>
        </w:tc>
        <w:tc>
          <w:tcPr>
            <w:tcW w:w="480" w:type="dxa"/>
            <w:vAlign w:val="bottom"/>
            <w:tcBorders>
              <w:bottom w:val="single" w:sz="8" w:color="0077C0"/>
            </w:tcBorders>
          </w:tcPr>
          <w:p>
            <w:pPr>
              <w:spacing w:after="0"/>
              <w:rPr>
                <w:sz w:val="21"/>
                <w:szCs w:val="21"/>
                <w:color w:val="auto"/>
              </w:rPr>
            </w:pP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0077C0"/>
            </w:tcBorders>
          </w:tcPr>
          <w:p>
            <w:pPr>
              <w:spacing w:after="0"/>
              <w:rPr>
                <w:sz w:val="21"/>
                <w:szCs w:val="21"/>
                <w:color w:val="auto"/>
              </w:rPr>
            </w:pPr>
          </w:p>
        </w:tc>
        <w:tc>
          <w:tcPr>
            <w:tcW w:w="900" w:type="dxa"/>
            <w:vAlign w:val="bottom"/>
            <w:tcBorders>
              <w:bottom w:val="single" w:sz="8" w:color="0077C0"/>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642</w:t>
            </w:r>
          </w:p>
        </w:tc>
        <w:tc>
          <w:tcPr>
            <w:tcW w:w="480" w:type="dxa"/>
            <w:vAlign w:val="bottom"/>
            <w:tcBorders>
              <w:bottom w:val="single" w:sz="8" w:color="0077C0"/>
            </w:tcBorders>
          </w:tcPr>
          <w:p>
            <w:pPr>
              <w:spacing w:after="0"/>
              <w:rPr>
                <w:sz w:val="21"/>
                <w:szCs w:val="21"/>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37"/>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refined product sales</w:t>
            </w:r>
          </w:p>
        </w:tc>
        <w:tc>
          <w:tcPr>
            <w:tcW w:w="1620" w:type="dxa"/>
            <w:vAlign w:val="bottom"/>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color w:val="auto"/>
              </w:rPr>
              <w:t>MBD</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1,304</w:t>
            </w: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1,297</w:t>
            </w:r>
          </w:p>
        </w:tc>
        <w:tc>
          <w:tcPr>
            <w:tcW w:w="4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r>
      <w:tr>
        <w:trPr>
          <w:trHeight w:val="243"/>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of natural gas</w:t>
            </w:r>
          </w:p>
        </w:tc>
        <w:tc>
          <w:tcPr>
            <w:tcW w:w="162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MMCFD</w:t>
            </w: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22</w:t>
            </w: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26</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of natural gas liquids</w:t>
            </w:r>
          </w:p>
        </w:tc>
        <w:tc>
          <w:tcPr>
            <w:tcW w:w="1620" w:type="dxa"/>
            <w:vAlign w:val="bottom"/>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color w:val="auto"/>
              </w:rPr>
              <w:t>MBD</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37</w:t>
            </w:r>
          </w:p>
        </w:tc>
        <w:tc>
          <w:tcPr>
            <w:tcW w:w="4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35</w:t>
            </w: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Refinery crude unit inputs</w:t>
            </w:r>
          </w:p>
        </w:tc>
        <w:tc>
          <w:tcPr>
            <w:tcW w:w="162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MBD</w:t>
            </w: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1,093</w:t>
            </w: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1,072</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 Downstream</w:t>
            </w:r>
          </w:p>
        </w:tc>
        <w:tc>
          <w:tcPr>
            <w:tcW w:w="16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43"/>
        </w:trPr>
        <w:tc>
          <w:tcPr>
            <w:tcW w:w="4700" w:type="dxa"/>
            <w:vAlign w:val="bottom"/>
          </w:tcPr>
          <w:p>
            <w:pPr>
              <w:ind w:left="220"/>
              <w:spacing w:after="0" w:line="243" w:lineRule="exact"/>
              <w:rPr>
                <w:sz w:val="20"/>
                <w:szCs w:val="20"/>
                <w:color w:val="auto"/>
              </w:rPr>
            </w:pPr>
            <w:r>
              <w:rPr>
                <w:rFonts w:ascii="Times New Roman" w:cs="Times New Roman" w:eastAsia="Times New Roman" w:hAnsi="Times New Roman"/>
                <w:sz w:val="18"/>
                <w:szCs w:val="18"/>
                <w:color w:val="auto"/>
              </w:rPr>
              <w:t>Gasoline sales</w:t>
            </w:r>
            <w:r>
              <w:rPr>
                <w:rFonts w:ascii="Times New Roman" w:cs="Times New Roman" w:eastAsia="Times New Roman" w:hAnsi="Times New Roman"/>
                <w:sz w:val="23"/>
                <w:szCs w:val="23"/>
                <w:color w:val="auto"/>
                <w:vertAlign w:val="superscript"/>
              </w:rPr>
              <w:t>(4)</w:t>
            </w:r>
          </w:p>
        </w:tc>
        <w:tc>
          <w:tcPr>
            <w:tcW w:w="162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MBD</w:t>
            </w: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257</w:t>
            </w: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273</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43"/>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refined product sales</w:t>
            </w:r>
          </w:p>
        </w:tc>
        <w:tc>
          <w:tcPr>
            <w:tcW w:w="1620" w:type="dxa"/>
            <w:vAlign w:val="bottom"/>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color w:val="auto"/>
              </w:rPr>
              <w:t>MBD</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740</w:t>
            </w:r>
          </w:p>
        </w:tc>
        <w:tc>
          <w:tcPr>
            <w:tcW w:w="4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744</w:t>
            </w: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43"/>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Share of affiliate sales</w:t>
            </w:r>
          </w:p>
        </w:tc>
        <w:tc>
          <w:tcPr>
            <w:tcW w:w="1620" w:type="dxa"/>
            <w:vAlign w:val="bottom"/>
            <w:tcBorders>
              <w:bottom w:val="single" w:sz="8" w:color="CCEEFF"/>
            </w:tcBorders>
          </w:tcPr>
          <w:p>
            <w:pPr>
              <w:jc w:val="center"/>
              <w:ind w:left="608"/>
              <w:spacing w:after="0"/>
              <w:rPr>
                <w:sz w:val="20"/>
                <w:szCs w:val="20"/>
                <w:color w:val="auto"/>
              </w:rPr>
            </w:pPr>
            <w:r>
              <w:rPr>
                <w:rFonts w:ascii="Times New Roman" w:cs="Times New Roman" w:eastAsia="Times New Roman" w:hAnsi="Times New Roman"/>
                <w:sz w:val="14"/>
                <w:szCs w:val="14"/>
                <w:color w:val="auto"/>
              </w:rPr>
              <w:t>MBD</w:t>
            </w:r>
          </w:p>
        </w:tc>
        <w:tc>
          <w:tcPr>
            <w:tcW w:w="260" w:type="dxa"/>
            <w:vAlign w:val="bottom"/>
            <w:tcBorders>
              <w:bottom w:val="single" w:sz="8" w:color="0077C0"/>
            </w:tcBorders>
          </w:tcPr>
          <w:p>
            <w:pPr>
              <w:spacing w:after="0"/>
              <w:rPr>
                <w:sz w:val="21"/>
                <w:szCs w:val="21"/>
                <w:color w:val="auto"/>
              </w:rPr>
            </w:pPr>
          </w:p>
        </w:tc>
        <w:tc>
          <w:tcPr>
            <w:tcW w:w="900" w:type="dxa"/>
            <w:vAlign w:val="bottom"/>
            <w:tcBorders>
              <w:bottom w:val="single" w:sz="8" w:color="0077C0"/>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391</w:t>
            </w:r>
          </w:p>
        </w:tc>
        <w:tc>
          <w:tcPr>
            <w:tcW w:w="480" w:type="dxa"/>
            <w:vAlign w:val="bottom"/>
            <w:tcBorders>
              <w:bottom w:val="single" w:sz="8" w:color="0077C0"/>
            </w:tcBorders>
          </w:tcPr>
          <w:p>
            <w:pPr>
              <w:spacing w:after="0"/>
              <w:rPr>
                <w:sz w:val="21"/>
                <w:szCs w:val="21"/>
                <w:color w:val="auto"/>
              </w:rPr>
            </w:pP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0077C0"/>
            </w:tcBorders>
          </w:tcPr>
          <w:p>
            <w:pPr>
              <w:spacing w:after="0"/>
              <w:rPr>
                <w:sz w:val="21"/>
                <w:szCs w:val="21"/>
                <w:color w:val="auto"/>
              </w:rPr>
            </w:pPr>
          </w:p>
        </w:tc>
        <w:tc>
          <w:tcPr>
            <w:tcW w:w="900" w:type="dxa"/>
            <w:vAlign w:val="bottom"/>
            <w:tcBorders>
              <w:bottom w:val="single" w:sz="8" w:color="0077C0"/>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371</w:t>
            </w:r>
          </w:p>
        </w:tc>
        <w:tc>
          <w:tcPr>
            <w:tcW w:w="480" w:type="dxa"/>
            <w:vAlign w:val="bottom"/>
            <w:tcBorders>
              <w:bottom w:val="single" w:sz="8" w:color="0077C0"/>
            </w:tcBorders>
          </w:tcPr>
          <w:p>
            <w:pPr>
              <w:spacing w:after="0"/>
              <w:rPr>
                <w:sz w:val="21"/>
                <w:szCs w:val="21"/>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3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refined product sales</w:t>
            </w:r>
          </w:p>
        </w:tc>
        <w:tc>
          <w:tcPr>
            <w:tcW w:w="1620" w:type="dxa"/>
            <w:vAlign w:val="bottom"/>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color w:val="auto"/>
              </w:rPr>
              <w:t>MBD</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1,388</w:t>
            </w: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1,388</w:t>
            </w:r>
          </w:p>
        </w:tc>
        <w:tc>
          <w:tcPr>
            <w:tcW w:w="4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r>
      <w:tr>
        <w:trPr>
          <w:trHeight w:val="243"/>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of natural gas</w:t>
            </w:r>
          </w:p>
        </w:tc>
        <w:tc>
          <w:tcPr>
            <w:tcW w:w="162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MMCFD</w:t>
            </w: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of natural gas liquids</w:t>
            </w:r>
          </w:p>
        </w:tc>
        <w:tc>
          <w:tcPr>
            <w:tcW w:w="1620" w:type="dxa"/>
            <w:vAlign w:val="bottom"/>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color w:val="auto"/>
              </w:rPr>
              <w:t>MBD</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150</w:t>
            </w:r>
          </w:p>
        </w:tc>
        <w:tc>
          <w:tcPr>
            <w:tcW w:w="4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122</w:t>
            </w: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3"/>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Refinery crude unit inputs</w:t>
            </w:r>
          </w:p>
        </w:tc>
        <w:tc>
          <w:tcPr>
            <w:tcW w:w="162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MBD</w:t>
            </w: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665</w:t>
            </w: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626</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80" w:hanging="154"/>
        <w:spacing w:after="0" w:line="234" w:lineRule="auto"/>
        <w:tabs>
          <w:tab w:leader="none" w:pos="180" w:val="left"/>
        </w:tabs>
        <w:numPr>
          <w:ilvl w:val="0"/>
          <w:numId w:val="2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Includes company share of equity affiliates.</w:t>
      </w:r>
    </w:p>
    <w:p>
      <w:pPr>
        <w:spacing w:after="0" w:line="68" w:lineRule="exact"/>
        <w:rPr>
          <w:rFonts w:ascii="Times New Roman" w:cs="Times New Roman" w:eastAsia="Times New Roman" w:hAnsi="Times New Roman"/>
          <w:sz w:val="18"/>
          <w:szCs w:val="18"/>
          <w:color w:val="auto"/>
          <w:vertAlign w:val="superscript"/>
        </w:rPr>
      </w:pPr>
    </w:p>
    <w:p>
      <w:pPr>
        <w:ind w:left="360" w:right="20" w:hanging="334"/>
        <w:spacing w:after="0" w:line="208" w:lineRule="auto"/>
        <w:tabs>
          <w:tab w:leader="none" w:pos="205" w:val="left"/>
        </w:tabs>
        <w:numPr>
          <w:ilvl w:val="0"/>
          <w:numId w:val="2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MBD — thousands of barrels per day; MMCFD — millions of cubic feet per day; BBL — Barrel; MCF — thousands of cubic feet; oil-equivalent gas conversion ratio is 6,000 cubic feet of natural gas = 1 barrel of crude oil; MBOED — thousands of barrels of oil-equivalent per day.</w:t>
      </w:r>
    </w:p>
    <w:p>
      <w:pPr>
        <w:spacing w:after="0" w:line="36" w:lineRule="exact"/>
        <w:rPr>
          <w:rFonts w:ascii="Times New Roman" w:cs="Times New Roman" w:eastAsia="Times New Roman" w:hAnsi="Times New Roman"/>
          <w:sz w:val="18"/>
          <w:szCs w:val="18"/>
          <w:color w:val="auto"/>
          <w:vertAlign w:val="superscript"/>
        </w:rPr>
      </w:pPr>
    </w:p>
    <w:p>
      <w:pPr>
        <w:ind w:left="200" w:hanging="174"/>
        <w:spacing w:after="0"/>
        <w:tabs>
          <w:tab w:leader="none" w:pos="200" w:val="left"/>
        </w:tabs>
        <w:numPr>
          <w:ilvl w:val="0"/>
          <w:numId w:val="2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Includes natural gas consumed in operations (MMCFD):</w:t>
      </w:r>
    </w:p>
    <w:p>
      <w:pPr>
        <w:spacing w:after="0" w:line="65" w:lineRule="exact"/>
        <w:rPr>
          <w:sz w:val="20"/>
          <w:szCs w:val="20"/>
          <w:color w:val="auto"/>
        </w:rPr>
      </w:pPr>
    </w:p>
    <w:tbl>
      <w:tblPr>
        <w:tblLayout w:type="fixed"/>
        <w:tblInd w:w="480" w:type="dxa"/>
        <w:tblCellMar>
          <w:top w:w="0" w:type="dxa"/>
          <w:left w:w="0" w:type="dxa"/>
          <w:bottom w:w="0" w:type="dxa"/>
          <w:right w:w="0" w:type="dxa"/>
        </w:tblCellMar>
      </w:tblPr>
      <w:tr>
        <w:trPr>
          <w:trHeight w:val="178"/>
        </w:trPr>
        <w:tc>
          <w:tcPr>
            <w:tcW w:w="3700" w:type="dxa"/>
            <w:vAlign w:val="bottom"/>
          </w:tcPr>
          <w:p>
            <w:pPr>
              <w:spacing w:after="0"/>
              <w:rPr>
                <w:sz w:val="20"/>
                <w:szCs w:val="20"/>
                <w:color w:val="auto"/>
              </w:rPr>
            </w:pPr>
            <w:r>
              <w:rPr>
                <w:rFonts w:ascii="Times New Roman" w:cs="Times New Roman" w:eastAsia="Times New Roman" w:hAnsi="Times New Roman"/>
                <w:sz w:val="13"/>
                <w:szCs w:val="13"/>
                <w:color w:val="auto"/>
              </w:rPr>
              <w:t>United States</w:t>
            </w:r>
          </w:p>
        </w:tc>
        <w:tc>
          <w:tcPr>
            <w:tcW w:w="3740" w:type="dxa"/>
            <w:vAlign w:val="bottom"/>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62</w:t>
            </w:r>
          </w:p>
        </w:tc>
        <w:tc>
          <w:tcPr>
            <w:tcW w:w="1280" w:type="dxa"/>
            <w:vAlign w:val="bottom"/>
          </w:tcPr>
          <w:p>
            <w:pPr>
              <w:jc w:val="right"/>
              <w:ind w:right="493"/>
              <w:spacing w:after="0"/>
              <w:rPr>
                <w:sz w:val="20"/>
                <w:szCs w:val="20"/>
                <w:color w:val="auto"/>
              </w:rPr>
            </w:pPr>
            <w:r>
              <w:rPr>
                <w:rFonts w:ascii="Times New Roman" w:cs="Times New Roman" w:eastAsia="Times New Roman" w:hAnsi="Times New Roman"/>
                <w:sz w:val="13"/>
                <w:szCs w:val="13"/>
                <w:color w:val="auto"/>
              </w:rPr>
              <w:t>77</w:t>
            </w:r>
          </w:p>
        </w:tc>
        <w:tc>
          <w:tcPr>
            <w:tcW w:w="1260" w:type="dxa"/>
            <w:vAlign w:val="bottom"/>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68</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3"/>
                <w:szCs w:val="13"/>
                <w:color w:val="auto"/>
              </w:rPr>
              <w:t>International</w:t>
            </w:r>
          </w:p>
        </w:tc>
        <w:tc>
          <w:tcPr>
            <w:tcW w:w="3740" w:type="dxa"/>
            <w:vAlign w:val="bottom"/>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576</w:t>
            </w:r>
          </w:p>
        </w:tc>
        <w:tc>
          <w:tcPr>
            <w:tcW w:w="1280" w:type="dxa"/>
            <w:vAlign w:val="bottom"/>
          </w:tcPr>
          <w:p>
            <w:pPr>
              <w:jc w:val="right"/>
              <w:ind w:right="493"/>
              <w:spacing w:after="0"/>
              <w:rPr>
                <w:sz w:val="20"/>
                <w:szCs w:val="20"/>
                <w:color w:val="auto"/>
              </w:rPr>
            </w:pPr>
            <w:r>
              <w:rPr>
                <w:rFonts w:ascii="Times New Roman" w:cs="Times New Roman" w:eastAsia="Times New Roman" w:hAnsi="Times New Roman"/>
                <w:sz w:val="13"/>
                <w:szCs w:val="13"/>
                <w:color w:val="auto"/>
              </w:rPr>
              <w:t>592</w:t>
            </w:r>
          </w:p>
        </w:tc>
        <w:tc>
          <w:tcPr>
            <w:tcW w:w="1260" w:type="dxa"/>
            <w:vAlign w:val="bottom"/>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578</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w:t>
            </w:r>
          </w:p>
        </w:tc>
      </w:tr>
    </w:tbl>
    <w:p>
      <w:pPr>
        <w:ind w:left="200" w:hanging="174"/>
        <w:spacing w:after="0" w:line="234" w:lineRule="auto"/>
        <w:tabs>
          <w:tab w:leader="none" w:pos="200" w:val="left"/>
        </w:tabs>
        <w:numPr>
          <w:ilvl w:val="0"/>
          <w:numId w:val="2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Includes branded and unbranded gasoline.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Cash, cash equivalents and marketable securities </w:t>
      </w:r>
      <w:r>
        <w:rPr>
          <w:rFonts w:ascii="Times New Roman" w:cs="Times New Roman" w:eastAsia="Times New Roman" w:hAnsi="Times New Roman"/>
          <w:sz w:val="18"/>
          <w:szCs w:val="18"/>
          <w:color w:val="auto"/>
        </w:rPr>
        <w:t>totaled $12.8 billion at September 30, 2026, and $6.3 billion at year-end 2025. The company holds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with a diverse group of major financial institutions and has processes and safeguards in place to manage its cash balances and mitigate the risk of loss. Cash provided by operating activities in the first nine months of 2026 was $41.2 billion, compared with $23.2 billion in the year-ago period, primarily reflecting higher commodity prices, downstream margins, and increased cash distributions from TCO. Capital expenditures totaled $12.6 billion in the first nine months of 2026, compared with $12.1 billion in the year-ago period</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Proceeds and deposits related to asset sales and returns of investment totaled $1.1 billion in the first nine months of 2026, compared to $1.5 billion in the year-ago period. Net repayment (borrowing) of loans by equity affiliates included a net inflow of $2.0 billion in the first nine months of 2026, mainly due to loan repayments from TCO, compared with $798 million in the year-ago period.</w:t>
      </w:r>
    </w:p>
    <w:p>
      <w:pPr>
        <w:spacing w:after="0" w:line="55"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company paid dividends of $10.5 billion to common stockholders during the first nine months of 2026. In October 2026,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a quarterly dividend of $1.78 per common share, payable in December 2026.</w:t>
      </w:r>
    </w:p>
    <w:p>
      <w:pPr>
        <w:spacing w:after="0" w:line="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8"/>
          <w:szCs w:val="18"/>
          <w:i w:val="1"/>
          <w:iCs w:val="1"/>
          <w:color w:val="auto"/>
        </w:rPr>
        <w:t xml:space="preserve">Debt and Finance Lease Liabilities </w:t>
      </w:r>
      <w:r>
        <w:rPr>
          <w:rFonts w:ascii="Times New Roman" w:cs="Times New Roman" w:eastAsia="Times New Roman" w:hAnsi="Times New Roman"/>
          <w:sz w:val="18"/>
          <w:szCs w:val="18"/>
          <w:color w:val="auto"/>
        </w:rPr>
        <w:t>Chevron’s total debt and finance lease liabilities were $33.5 billion at September 30, 2026, down from $40.8 billion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2025. The decrease was primarily due to maturing long-term notes, a finance lease repayment, and lower commercial paper balances.</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primary source for working capital needs is its commercial paper program. The outstanding balance for the company’s commercial paper program at September 30, 2026, was $808 million, compared with $4.6 billion at December 31, 2025. The company’s debt and finance lease liabilities due within one year, consisting primarily of commercial paper, the current portion of long-term debt and redeemable long-term obligations, totaled $9.6 billion at September 30, 2026, and $10.9 billion at December 31, 2025. Of these amounts, $8.9 billion at September 30, 2026, and $9.9 billion at December 31, 2025, were reclassified to long-term debt. At September 30, 2026, settlement of these obligations was not expected to require the use of working capital within one year, as the company had the intent and the ability, as evidenced by committed credit facilities, to continually refinance them.</w:t>
      </w:r>
    </w:p>
    <w:p>
      <w:pPr>
        <w:spacing w:after="0" w:line="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2026, the company had $11.4 billion in 364-day committed credit facilities with various major banks that enable the refinancing of short-term obligations. The credit facilities allow the company the option to convert outstanding short-term obligations into a term loan for a period of up to one year from the facilities’ termination date. This supports commercial paper borrowing and can also be used for general corporate purposes. The company’s practice has been to replace expiring commitments with new commitments on substantially the same terms, maintaining levels management believes appropriate. Any borrowings under the facilities would be unsecured indebtedness at interest rates based on the Secured Overnight Financing Rate (SOFR), or an average of base lending rates published by specified banks and on terms reflecting the company’s strong credit rating. No borrowings were outstanding under these facilities at September 30, 2026. In addition, the company has an automatic shelf registration statement that expires in November 2027 for an unspecified amount of nonconvertible debt securities issued by Chevron Corporation or CUSA.</w:t>
      </w:r>
    </w:p>
    <w:p>
      <w:pPr>
        <w:spacing w:after="0" w:line="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major debt rating agencies routinely evaluate the company’s debt, and the company’s cost of borrowing can increase or decrease depending on these debt ratings. The company has outstanding bonds issued by Chevron Corporation, CUSA, Texaco Capital Inc., Noble Energy, Inc., and Hess Corporation. The securities that are the obligations of, or guaranteed by, Chevron Corporation carry an AA- rating by Standard and Poor’s Corporation (S&amp;P) and an Aa2 rating by Moody’s Investors Service (Moody’s). The company’s U.S. commercial paper is rated A-1+ by S&amp;P and P-1 by Moody’s. All of these ratings denote high-quality, investment-grade securities.</w:t>
      </w:r>
    </w:p>
    <w:p>
      <w:pPr>
        <w:spacing w:after="0" w:line="5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company’s future debt level is dependent primarily on results of operations, cash that may be generated from asset dispositions, the capital program, lending commitments to affiliates, loan repayments from affiliates, and shareholder distributions. Based on its high-quality debt ratings, the company believes that it has substantial borrowing capacity to meet unanticipated cash requirements. During extended periods of 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prices for crude oil and natural gas and narrow margins for refined products and commodity chemicals, the company has the flexibility to modify capital spending plans, discontinue or curtail the stock repurchase program, sell assets, and increase borrowings to continue paying the common stock dividend. The company remains committed to retaining high-quality debt ratings.</w:t>
      </w:r>
    </w:p>
    <w:p>
      <w:pPr>
        <w:spacing w:after="0" w:line="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Summarized Financial Information for Guarantee of Securities of Subsidiaries </w:t>
      </w:r>
      <w:r>
        <w:rPr>
          <w:rFonts w:ascii="Times New Roman" w:cs="Times New Roman" w:eastAsia="Times New Roman" w:hAnsi="Times New Roman"/>
          <w:sz w:val="18"/>
          <w:szCs w:val="18"/>
          <w:color w:val="auto"/>
        </w:rPr>
        <w:t>CUSA issued bonds that are fully and unconditionally guaranteed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basis by Chevron Corporation (together, the “Obligor Group”). The tables below contain summary financial information for Chevron Corporation, as Guarantor, excluding its consolidated subsidiaries, and CUSA, as the issuer, excluding its consolidated subsidiaries. The summary financial information of the Obligor Group is presented on a combined basis, and transactions between the combined entities have been eliminated. Financial information for non-guarantor entities has been excluded.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60" w:type="dxa"/>
            <w:vAlign w:val="bottom"/>
          </w:tcPr>
          <w:p>
            <w:pPr>
              <w:spacing w:after="0"/>
              <w:rPr>
                <w:sz w:val="13"/>
                <w:szCs w:val="13"/>
                <w:color w:val="auto"/>
              </w:rPr>
            </w:pPr>
          </w:p>
        </w:tc>
        <w:tc>
          <w:tcPr>
            <w:tcW w:w="174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5"/>
        </w:trPr>
        <w:tc>
          <w:tcPr>
            <w:tcW w:w="7100" w:type="dxa"/>
            <w:vAlign w:val="bottom"/>
          </w:tcPr>
          <w:p>
            <w:pPr>
              <w:spacing w:after="0"/>
              <w:rPr>
                <w:sz w:val="16"/>
                <w:szCs w:val="16"/>
                <w:color w:val="auto"/>
              </w:rPr>
            </w:pPr>
          </w:p>
        </w:tc>
        <w:tc>
          <w:tcPr>
            <w:tcW w:w="240" w:type="dxa"/>
            <w:vAlign w:val="bottom"/>
            <w:tcBorders>
              <w:bottom w:val="single" w:sz="8" w:color="0077C0"/>
            </w:tcBorders>
          </w:tcPr>
          <w:p>
            <w:pPr>
              <w:spacing w:after="0"/>
              <w:rPr>
                <w:sz w:val="16"/>
                <w:szCs w:val="16"/>
                <w:color w:val="auto"/>
              </w:rPr>
            </w:pPr>
          </w:p>
        </w:tc>
        <w:tc>
          <w:tcPr>
            <w:tcW w:w="1800" w:type="dxa"/>
            <w:vAlign w:val="bottom"/>
            <w:tcBorders>
              <w:bottom w:val="single" w:sz="8" w:color="0077C0"/>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60" w:type="dxa"/>
            <w:vAlign w:val="bottom"/>
            <w:tcBorders>
              <w:bottom w:val="single" w:sz="8" w:color="0077C0"/>
            </w:tcBorders>
          </w:tcPr>
          <w:p>
            <w:pPr>
              <w:spacing w:after="0"/>
              <w:rPr>
                <w:sz w:val="16"/>
                <w:szCs w:val="16"/>
                <w:color w:val="auto"/>
              </w:rPr>
            </w:pPr>
          </w:p>
        </w:tc>
        <w:tc>
          <w:tcPr>
            <w:tcW w:w="1740" w:type="dxa"/>
            <w:vAlign w:val="bottom"/>
            <w:tcBorders>
              <w:bottom w:val="single" w:sz="8" w:color="0077C0"/>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91"/>
        </w:trPr>
        <w:tc>
          <w:tcPr>
            <w:tcW w:w="7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00" w:type="dxa"/>
            <w:vAlign w:val="bottom"/>
            <w:gridSpan w:val="3"/>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(Millions of dollars) (unaudited)</w:t>
            </w:r>
          </w:p>
        </w:tc>
      </w:tr>
      <w:tr>
        <w:trPr>
          <w:trHeight w:val="23"/>
        </w:trPr>
        <w:tc>
          <w:tcPr>
            <w:tcW w:w="710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1800" w:type="dxa"/>
            <w:vAlign w:val="bottom"/>
            <w:tcBorders>
              <w:bottom w:val="single" w:sz="8" w:color="0077C0"/>
            </w:tcBorders>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1740" w:type="dxa"/>
            <w:vAlign w:val="bottom"/>
            <w:tcBorders>
              <w:bottom w:val="single" w:sz="8" w:color="0077C0"/>
            </w:tcBorders>
          </w:tcPr>
          <w:p>
            <w:pPr>
              <w:spacing w:after="0"/>
              <w:rPr>
                <w:sz w:val="2"/>
                <w:szCs w:val="2"/>
                <w:color w:val="auto"/>
              </w:rPr>
            </w:pPr>
          </w:p>
        </w:tc>
      </w:tr>
      <w:tr>
        <w:trPr>
          <w:trHeight w:val="23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other operating 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89,313</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92,272</w:t>
            </w: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other operating revenues - related party</w:t>
            </w:r>
          </w:p>
        </w:tc>
        <w:tc>
          <w:tcPr>
            <w:tcW w:w="240" w:type="dxa"/>
            <w:vAlign w:val="bottom"/>
          </w:tcPr>
          <w:p>
            <w:pPr>
              <w:spacing w:after="0"/>
              <w:rPr>
                <w:sz w:val="21"/>
                <w:szCs w:val="21"/>
                <w:color w:val="auto"/>
              </w:rPr>
            </w:pPr>
          </w:p>
        </w:tc>
        <w:tc>
          <w:tcPr>
            <w:tcW w:w="180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43,155</w:t>
            </w:r>
          </w:p>
        </w:tc>
        <w:tc>
          <w:tcPr>
            <w:tcW w:w="3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36,700</w:t>
            </w:r>
          </w:p>
        </w:tc>
      </w:tr>
      <w:tr>
        <w:trPr>
          <w:trHeight w:val="24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other deductions</w:t>
            </w:r>
          </w:p>
        </w:tc>
        <w:tc>
          <w:tcPr>
            <w:tcW w:w="24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77,390</w:t>
            </w:r>
          </w:p>
        </w:tc>
        <w:tc>
          <w:tcPr>
            <w:tcW w:w="36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92,316</w:t>
            </w: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other deductions - related party</w:t>
            </w:r>
          </w:p>
        </w:tc>
        <w:tc>
          <w:tcPr>
            <w:tcW w:w="240" w:type="dxa"/>
            <w:vAlign w:val="bottom"/>
          </w:tcPr>
          <w:p>
            <w:pPr>
              <w:spacing w:after="0"/>
              <w:rPr>
                <w:sz w:val="21"/>
                <w:szCs w:val="21"/>
                <w:color w:val="auto"/>
              </w:rPr>
            </w:pPr>
          </w:p>
        </w:tc>
        <w:tc>
          <w:tcPr>
            <w:tcW w:w="180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46,265</w:t>
            </w:r>
          </w:p>
        </w:tc>
        <w:tc>
          <w:tcPr>
            <w:tcW w:w="3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33,229</w:t>
            </w:r>
          </w:p>
        </w:tc>
      </w:tr>
      <w:tr>
        <w:trPr>
          <w:trHeight w:val="243"/>
        </w:trPr>
        <w:tc>
          <w:tcPr>
            <w:tcW w:w="710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0077C0"/>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tcBorders>
              <w:bottom w:val="single" w:sz="8" w:color="0077C0"/>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25,870</w:t>
            </w:r>
          </w:p>
        </w:tc>
        <w:tc>
          <w:tcPr>
            <w:tcW w:w="360" w:type="dxa"/>
            <w:vAlign w:val="bottom"/>
            <w:tcBorders>
              <w:bottom w:val="single" w:sz="8" w:color="0077C0"/>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40,967</w:t>
            </w:r>
          </w:p>
        </w:tc>
      </w:tr>
      <w:tr>
        <w:trPr>
          <w:trHeight w:val="844"/>
        </w:trPr>
        <w:tc>
          <w:tcPr>
            <w:tcW w:w="7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At September 30,</w:t>
            </w:r>
          </w:p>
        </w:tc>
        <w:tc>
          <w:tcPr>
            <w:tcW w:w="360" w:type="dxa"/>
            <w:vAlign w:val="bottom"/>
          </w:tcPr>
          <w:p>
            <w:pPr>
              <w:spacing w:after="0"/>
              <w:rPr>
                <w:sz w:val="24"/>
                <w:szCs w:val="24"/>
                <w:color w:val="auto"/>
              </w:rPr>
            </w:pPr>
          </w:p>
        </w:tc>
        <w:tc>
          <w:tcPr>
            <w:tcW w:w="174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At December 31,</w:t>
            </w:r>
          </w:p>
        </w:tc>
      </w:tr>
      <w:tr>
        <w:trPr>
          <w:trHeight w:val="196"/>
        </w:trPr>
        <w:tc>
          <w:tcPr>
            <w:tcW w:w="7100" w:type="dxa"/>
            <w:vAlign w:val="bottom"/>
          </w:tcPr>
          <w:p>
            <w:pPr>
              <w:spacing w:after="0"/>
              <w:rPr>
                <w:sz w:val="17"/>
                <w:szCs w:val="17"/>
                <w:color w:val="auto"/>
              </w:rPr>
            </w:pPr>
          </w:p>
        </w:tc>
        <w:tc>
          <w:tcPr>
            <w:tcW w:w="240" w:type="dxa"/>
            <w:vAlign w:val="bottom"/>
            <w:tcBorders>
              <w:bottom w:val="single" w:sz="8" w:color="0077C0"/>
            </w:tcBorders>
          </w:tcPr>
          <w:p>
            <w:pPr>
              <w:spacing w:after="0"/>
              <w:rPr>
                <w:sz w:val="17"/>
                <w:szCs w:val="17"/>
                <w:color w:val="auto"/>
              </w:rPr>
            </w:pPr>
          </w:p>
        </w:tc>
        <w:tc>
          <w:tcPr>
            <w:tcW w:w="1800" w:type="dxa"/>
            <w:vAlign w:val="bottom"/>
            <w:tcBorders>
              <w:bottom w:val="single" w:sz="8" w:color="0077C0"/>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60" w:type="dxa"/>
            <w:vAlign w:val="bottom"/>
            <w:tcBorders>
              <w:bottom w:val="single" w:sz="8" w:color="0077C0"/>
            </w:tcBorders>
          </w:tcPr>
          <w:p>
            <w:pPr>
              <w:spacing w:after="0"/>
              <w:rPr>
                <w:sz w:val="17"/>
                <w:szCs w:val="17"/>
                <w:color w:val="auto"/>
              </w:rPr>
            </w:pPr>
          </w:p>
        </w:tc>
        <w:tc>
          <w:tcPr>
            <w:tcW w:w="1740" w:type="dxa"/>
            <w:vAlign w:val="bottom"/>
            <w:tcBorders>
              <w:bottom w:val="single" w:sz="8" w:color="0077C0"/>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2"/>
        </w:trPr>
        <w:tc>
          <w:tcPr>
            <w:tcW w:w="7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00" w:type="dxa"/>
            <w:vAlign w:val="bottom"/>
            <w:gridSpan w:val="3"/>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(Millions of dollars) (unaudited)</w:t>
            </w:r>
          </w:p>
        </w:tc>
      </w:tr>
      <w:tr>
        <w:trPr>
          <w:trHeight w:val="23"/>
        </w:trPr>
        <w:tc>
          <w:tcPr>
            <w:tcW w:w="710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1800" w:type="dxa"/>
            <w:vAlign w:val="bottom"/>
            <w:tcBorders>
              <w:bottom w:val="single" w:sz="8" w:color="0077C0"/>
            </w:tcBorders>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1740" w:type="dxa"/>
            <w:vAlign w:val="bottom"/>
            <w:tcBorders>
              <w:bottom w:val="single" w:sz="8" w:color="0077C0"/>
            </w:tcBorders>
          </w:tcPr>
          <w:p>
            <w:pPr>
              <w:spacing w:after="0"/>
              <w:rPr>
                <w:sz w:val="2"/>
                <w:szCs w:val="2"/>
                <w:color w:val="auto"/>
              </w:rPr>
            </w:pPr>
          </w:p>
        </w:tc>
      </w:tr>
      <w:tr>
        <w:trPr>
          <w:trHeight w:val="23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27,595</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17,315</w:t>
            </w: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 - related party</w:t>
            </w:r>
          </w:p>
        </w:tc>
        <w:tc>
          <w:tcPr>
            <w:tcW w:w="240" w:type="dxa"/>
            <w:vAlign w:val="bottom"/>
          </w:tcPr>
          <w:p>
            <w:pPr>
              <w:spacing w:after="0"/>
              <w:rPr>
                <w:sz w:val="21"/>
                <w:szCs w:val="21"/>
                <w:color w:val="auto"/>
              </w:rPr>
            </w:pPr>
          </w:p>
        </w:tc>
        <w:tc>
          <w:tcPr>
            <w:tcW w:w="180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4,918</w:t>
            </w:r>
          </w:p>
        </w:tc>
        <w:tc>
          <w:tcPr>
            <w:tcW w:w="3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r>
      <w:tr>
        <w:trPr>
          <w:trHeight w:val="24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59,899</w:t>
            </w:r>
          </w:p>
        </w:tc>
        <w:tc>
          <w:tcPr>
            <w:tcW w:w="36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58,530</w:t>
            </w: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1"/>
                <w:szCs w:val="21"/>
                <w:color w:val="auto"/>
              </w:rPr>
            </w:pPr>
          </w:p>
        </w:tc>
        <w:tc>
          <w:tcPr>
            <w:tcW w:w="180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26,420</w:t>
            </w:r>
          </w:p>
        </w:tc>
        <w:tc>
          <w:tcPr>
            <w:tcW w:w="3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26,388</w:t>
            </w:r>
          </w:p>
        </w:tc>
      </w:tr>
      <w:tr>
        <w:trPr>
          <w:trHeight w:val="24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 - related party</w:t>
            </w:r>
          </w:p>
        </w:tc>
        <w:tc>
          <w:tcPr>
            <w:tcW w:w="24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22,456</w:t>
            </w:r>
          </w:p>
        </w:tc>
        <w:tc>
          <w:tcPr>
            <w:tcW w:w="36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18,033</w:t>
            </w: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21"/>
                <w:szCs w:val="21"/>
                <w:color w:val="auto"/>
              </w:rPr>
            </w:pPr>
          </w:p>
        </w:tc>
        <w:tc>
          <w:tcPr>
            <w:tcW w:w="180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27,799</w:t>
            </w:r>
          </w:p>
        </w:tc>
        <w:tc>
          <w:tcPr>
            <w:tcW w:w="3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29,539</w:t>
            </w:r>
          </w:p>
        </w:tc>
      </w:tr>
      <w:tr>
        <w:trPr>
          <w:trHeight w:val="243"/>
        </w:trPr>
        <w:tc>
          <w:tcPr>
            <w:tcW w:w="710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equity (deficit)</w:t>
            </w:r>
          </w:p>
        </w:tc>
        <w:tc>
          <w:tcPr>
            <w:tcW w:w="240" w:type="dxa"/>
            <w:vAlign w:val="bottom"/>
            <w:tcBorders>
              <w:bottom w:val="single" w:sz="8" w:color="0077C0"/>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tcBorders>
              <w:bottom w:val="single" w:sz="8" w:color="0077C0"/>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15,737</w:t>
            </w:r>
          </w:p>
        </w:tc>
        <w:tc>
          <w:tcPr>
            <w:tcW w:w="360" w:type="dxa"/>
            <w:vAlign w:val="bottom"/>
            <w:tcBorders>
              <w:bottom w:val="single" w:sz="8" w:color="0077C0"/>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r>
    </w:tbl>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Common Stock Repurchase Program </w:t>
      </w:r>
      <w:r>
        <w:rPr>
          <w:rFonts w:ascii="Times New Roman" w:cs="Times New Roman" w:eastAsia="Times New Roman" w:hAnsi="Times New Roman"/>
          <w:sz w:val="18"/>
          <w:szCs w:val="18"/>
          <w:color w:val="auto"/>
        </w:rPr>
        <w:t>On January 25, 2023, the Board of Directors authorized the repurchase of the company’s shares of common stock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aggregate amount of $75 billion (the “2023 Program”). The 2023 Program took effect on April 1, 2023, and does not have a fixed expiration date. In the aggregate, the company has repurchased 294 million shares for $46.5 billion under the 2023 Program, including 12.9 million shares repurchased for $2.5 billion in third quarter 2026. Chevron expects share repurchases in fourth quarter 2026 to be between $2.5-$3.0 billion.</w:t>
      </w:r>
    </w:p>
    <w:p>
      <w:pPr>
        <w:spacing w:after="0" w:line="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Repurchases may be made from time to time in the open market, by block purchases, in privately negotiated transactions or in such other manner as determined by the company. The timing of the repurchases and the actual amount repurchased will depend on a variety of factors, including the market price of the company’s shares, general market and economic conditions, and other factors. The stock repurchase program and any forward guidance as to expected repurchases do not obligate the company to acquire any particular amount of common stock, and the program may be discontinued or resumed at any time.</w:t>
      </w:r>
    </w:p>
    <w:p>
      <w:pPr>
        <w:spacing w:after="0" w:line="4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8"/>
          <w:szCs w:val="18"/>
          <w:i w:val="1"/>
          <w:iCs w:val="1"/>
          <w:color w:val="auto"/>
        </w:rPr>
        <w:t xml:space="preserve">Noncontrolling Interests </w:t>
      </w:r>
      <w:r>
        <w:rPr>
          <w:rFonts w:ascii="Times New Roman" w:cs="Times New Roman" w:eastAsia="Times New Roman" w:hAnsi="Times New Roman"/>
          <w:sz w:val="18"/>
          <w:szCs w:val="18"/>
          <w:color w:val="auto"/>
        </w:rPr>
        <w:t>The company had noncontrolling interests of $5.7 billion at both September 30, 2026, and December 31, 2025, including non-controlling interest in Hess Midstream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Ratios and Metrics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414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At September 30,</w:t>
            </w:r>
          </w:p>
        </w:tc>
        <w:tc>
          <w:tcPr>
            <w:tcW w:w="660" w:type="dxa"/>
            <w:vAlign w:val="bottom"/>
          </w:tcPr>
          <w:p>
            <w:pPr>
              <w:spacing w:after="0"/>
              <w:rPr>
                <w:sz w:val="13"/>
                <w:szCs w:val="13"/>
                <w:color w:val="auto"/>
              </w:rPr>
            </w:pP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360" w:type="dxa"/>
            <w:vAlign w:val="bottom"/>
          </w:tcPr>
          <w:p>
            <w:pPr>
              <w:spacing w:after="0"/>
              <w:rPr>
                <w:sz w:val="13"/>
                <w:szCs w:val="13"/>
                <w:color w:val="auto"/>
              </w:rPr>
            </w:pPr>
          </w:p>
        </w:tc>
      </w:tr>
      <w:tr>
        <w:trPr>
          <w:trHeight w:val="195"/>
        </w:trPr>
        <w:tc>
          <w:tcPr>
            <w:tcW w:w="4500" w:type="dxa"/>
            <w:vAlign w:val="bottom"/>
            <w:tcBorders>
              <w:bottom w:val="single" w:sz="8" w:color="0077C0"/>
            </w:tcBorders>
          </w:tcPr>
          <w:p>
            <w:pPr>
              <w:spacing w:after="0"/>
              <w:rPr>
                <w:sz w:val="16"/>
                <w:szCs w:val="16"/>
                <w:color w:val="auto"/>
              </w:rPr>
            </w:pPr>
          </w:p>
        </w:tc>
        <w:tc>
          <w:tcPr>
            <w:tcW w:w="4140" w:type="dxa"/>
            <w:vAlign w:val="bottom"/>
            <w:tcBorders>
              <w:bottom w:val="single" w:sz="8" w:color="0077C0"/>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0077C0"/>
            </w:tcBorders>
          </w:tcPr>
          <w:p>
            <w:pPr>
              <w:spacing w:after="0"/>
              <w:rPr>
                <w:sz w:val="16"/>
                <w:szCs w:val="16"/>
                <w:color w:val="auto"/>
              </w:rPr>
            </w:pPr>
          </w:p>
        </w:tc>
        <w:tc>
          <w:tcPr>
            <w:tcW w:w="1580" w:type="dxa"/>
            <w:vAlign w:val="bottom"/>
            <w:tcBorders>
              <w:bottom w:val="single" w:sz="8" w:color="0077C0"/>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0077C0"/>
            </w:tcBorders>
          </w:tcPr>
          <w:p>
            <w:pPr>
              <w:spacing w:after="0"/>
              <w:rPr>
                <w:sz w:val="16"/>
                <w:szCs w:val="16"/>
                <w:color w:val="auto"/>
              </w:rPr>
            </w:pPr>
          </w:p>
        </w:tc>
      </w:tr>
      <w:tr>
        <w:trPr>
          <w:trHeight w:val="242"/>
        </w:trPr>
        <w:tc>
          <w:tcPr>
            <w:tcW w:w="4500" w:type="dxa"/>
            <w:vAlign w:val="bottom"/>
            <w:shd w:val="clear" w:color="auto" w:fill="CCEEFF"/>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Current Ratio </w:t>
            </w:r>
            <w:r>
              <w:rPr>
                <w:rFonts w:ascii="Times New Roman" w:cs="Times New Roman" w:eastAsia="Times New Roman" w:hAnsi="Times New Roman"/>
                <w:sz w:val="23"/>
                <w:szCs w:val="23"/>
                <w:color w:val="auto"/>
                <w:vertAlign w:val="superscript"/>
              </w:rPr>
              <w:t>(1)</w:t>
            </w:r>
          </w:p>
        </w:tc>
        <w:tc>
          <w:tcPr>
            <w:tcW w:w="480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1.3</w:t>
            </w:r>
          </w:p>
        </w:tc>
        <w:tc>
          <w:tcPr>
            <w:tcW w:w="194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Ratio</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6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45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Net Debt Ratio </w:t>
            </w:r>
            <w:r>
              <w:rPr>
                <w:rFonts w:ascii="Times New Roman" w:cs="Times New Roman" w:eastAsia="Times New Roman" w:hAnsi="Times New Roman"/>
                <w:sz w:val="23"/>
                <w:szCs w:val="23"/>
                <w:color w:val="auto"/>
                <w:vertAlign w:val="superscript"/>
              </w:rPr>
              <w:t>(2)</w:t>
            </w:r>
          </w:p>
        </w:tc>
        <w:tc>
          <w:tcPr>
            <w:tcW w:w="4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6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Debt-to-CFFO</w:t>
            </w:r>
          </w:p>
        </w:tc>
        <w:tc>
          <w:tcPr>
            <w:tcW w:w="480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0.6x</w:t>
            </w:r>
          </w:p>
        </w:tc>
        <w:tc>
          <w:tcPr>
            <w:tcW w:w="1940" w:type="dxa"/>
            <w:vAlign w:val="bottom"/>
            <w:gridSpan w:val="2"/>
          </w:tcPr>
          <w:p>
            <w:pPr>
              <w:jc w:val="right"/>
              <w:ind w:right="259"/>
              <w:spacing w:after="0"/>
              <w:rPr>
                <w:sz w:val="20"/>
                <w:szCs w:val="20"/>
                <w:color w:val="auto"/>
              </w:rPr>
            </w:pPr>
            <w:r>
              <w:rPr>
                <w:rFonts w:ascii="Times New Roman" w:cs="Times New Roman" w:eastAsia="Times New Roman" w:hAnsi="Times New Roman"/>
                <w:sz w:val="18"/>
                <w:szCs w:val="18"/>
                <w:color w:val="auto"/>
              </w:rPr>
              <w:t>1.2x</w:t>
            </w:r>
          </w:p>
        </w:tc>
      </w:tr>
      <w:tr>
        <w:trPr>
          <w:trHeight w:val="243"/>
        </w:trPr>
        <w:tc>
          <w:tcPr>
            <w:tcW w:w="4500" w:type="dxa"/>
            <w:vAlign w:val="bottom"/>
            <w:tcBorders>
              <w:bottom w:val="single" w:sz="8" w:color="0077C0"/>
            </w:tcBorders>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Net debt-to-CFFO </w:t>
            </w:r>
            <w:r>
              <w:rPr>
                <w:rFonts w:ascii="Times New Roman" w:cs="Times New Roman" w:eastAsia="Times New Roman" w:hAnsi="Times New Roman"/>
                <w:sz w:val="23"/>
                <w:szCs w:val="23"/>
                <w:color w:val="auto"/>
                <w:vertAlign w:val="superscript"/>
              </w:rPr>
              <w:t>(3)</w:t>
            </w:r>
          </w:p>
        </w:tc>
        <w:tc>
          <w:tcPr>
            <w:tcW w:w="4800" w:type="dxa"/>
            <w:vAlign w:val="bottom"/>
            <w:tcBorders>
              <w:bottom w:val="single" w:sz="8" w:color="0077C0"/>
            </w:tcBorders>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0.4x</w:t>
            </w:r>
          </w:p>
        </w:tc>
        <w:tc>
          <w:tcPr>
            <w:tcW w:w="1940" w:type="dxa"/>
            <w:vAlign w:val="bottom"/>
            <w:tcBorders>
              <w:bottom w:val="single" w:sz="8" w:color="0077C0"/>
            </w:tcBorders>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1.0x</w:t>
            </w:r>
          </w:p>
        </w:tc>
      </w:tr>
    </w:tbl>
    <w:p>
      <w:pPr>
        <w:spacing w:after="0" w:line="55" w:lineRule="exact"/>
        <w:rPr>
          <w:sz w:val="20"/>
          <w:szCs w:val="20"/>
          <w:color w:val="auto"/>
        </w:rPr>
      </w:pPr>
    </w:p>
    <w:p>
      <w:pPr>
        <w:ind w:left="160" w:hanging="152"/>
        <w:spacing w:after="0"/>
        <w:tabs>
          <w:tab w:leader="none" w:pos="1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At September 30, 2026, the book value of inventory was lower than replacement cost.</w:t>
      </w:r>
    </w:p>
    <w:p>
      <w:pPr>
        <w:spacing w:after="0" w:line="30" w:lineRule="exact"/>
        <w:rPr>
          <w:rFonts w:ascii="Times New Roman" w:cs="Times New Roman" w:eastAsia="Times New Roman" w:hAnsi="Times New Roman"/>
          <w:sz w:val="19"/>
          <w:szCs w:val="19"/>
          <w:color w:val="auto"/>
          <w:vertAlign w:val="superscript"/>
        </w:rPr>
      </w:pPr>
    </w:p>
    <w:p>
      <w:pPr>
        <w:jc w:val="both"/>
        <w:ind w:left="80" w:hanging="72"/>
        <w:spacing w:after="0" w:line="267" w:lineRule="auto"/>
        <w:tabs>
          <w:tab w:leader="none" w:pos="145" w:val="left"/>
        </w:tabs>
        <w:numPr>
          <w:ilvl w:val="0"/>
          <w:numId w:val="2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Debt Ratio for September 30, 2026, is calculated as short-term debt of $0.7 billion plus long-term debt of $32.8 billion (together, “total debt”) less cash and cash equivalents, time deposits, and marketable securities of $12.8 billion as a percentage of total debt less cash and cash equivalents, time deposits, and marketable securities, plus Chevron Corporation Stockholders’ Equity of $194.3 billion. For the December 31, 2025, calculation, please refer to page 52 of Chevron’s 2025 Annual Report on Form 10-K.</w:t>
      </w:r>
    </w:p>
    <w:p>
      <w:pPr>
        <w:jc w:val="both"/>
        <w:ind w:left="80" w:hanging="72"/>
        <w:spacing w:after="0" w:line="281" w:lineRule="auto"/>
        <w:tabs>
          <w:tab w:leader="none" w:pos="157" w:val="left"/>
        </w:tabs>
        <w:numPr>
          <w:ilvl w:val="0"/>
          <w:numId w:val="2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debt-to-CFFO for September 30, 2026, is calculated as short-term debt of $0.7 billion plus long-term debt of $32.8 billion (together, “total debt”) less cash and cash equivalents, time deposits, and marketable securities of $12.8 billion divided by net cash provided by operating activities (CFFO) for the trailing 12 months of $52.0 billion. For the December 31, 2025, calculation, please refer to page 52 of Chevron’s 2025 Annual Report on Form 10-K.</w:t>
      </w:r>
    </w:p>
    <w:p>
      <w:pPr>
        <w:spacing w:after="0" w:line="100"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69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22225</wp:posOffset>
            </wp:positionV>
            <wp:extent cx="26149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00" w:type="dxa"/>
            <w:vAlign w:val="bottom"/>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980" w:type="dxa"/>
            <w:vAlign w:val="bottom"/>
          </w:tcPr>
          <w:p>
            <w:pPr>
              <w:spacing w:after="0"/>
              <w:rPr>
                <w:sz w:val="2"/>
                <w:szCs w:val="2"/>
                <w:color w:val="auto"/>
              </w:rPr>
            </w:pPr>
          </w:p>
        </w:tc>
        <w:tc>
          <w:tcPr>
            <w:tcW w:w="1260" w:type="dxa"/>
            <w:vAlign w:val="bottom"/>
            <w:tcBorders>
              <w:bottom w:val="single" w:sz="8" w:color="0077C0"/>
            </w:tcBorders>
          </w:tcPr>
          <w:p>
            <w:pPr>
              <w:spacing w:after="0"/>
              <w:rPr>
                <w:sz w:val="2"/>
                <w:szCs w:val="2"/>
                <w:color w:val="auto"/>
              </w:rPr>
            </w:pPr>
          </w:p>
        </w:tc>
        <w:tc>
          <w:tcPr>
            <w:tcW w:w="1560" w:type="dxa"/>
            <w:vAlign w:val="bottom"/>
            <w:tcBorders>
              <w:bottom w:val="single" w:sz="8" w:color="0077C0"/>
            </w:tcBorders>
            <w:gridSpan w:val="2"/>
          </w:tcPr>
          <w:p>
            <w:pPr>
              <w:spacing w:after="0"/>
              <w:rPr>
                <w:sz w:val="2"/>
                <w:szCs w:val="2"/>
                <w:color w:val="auto"/>
              </w:rPr>
            </w:pPr>
          </w:p>
        </w:tc>
        <w:tc>
          <w:tcPr>
            <w:tcW w:w="1300" w:type="dxa"/>
            <w:vAlign w:val="bottom"/>
            <w:tcBorders>
              <w:bottom w:val="single" w:sz="8" w:color="0077C0"/>
            </w:tcBorders>
          </w:tcPr>
          <w:p>
            <w:pPr>
              <w:spacing w:after="0"/>
              <w:rPr>
                <w:sz w:val="2"/>
                <w:szCs w:val="2"/>
                <w:color w:val="auto"/>
              </w:rPr>
            </w:pPr>
          </w:p>
        </w:tc>
      </w:tr>
      <w:tr>
        <w:trPr>
          <w:trHeight w:val="186"/>
        </w:trPr>
        <w:tc>
          <w:tcPr>
            <w:tcW w:w="6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300" w:type="dxa"/>
            <w:vAlign w:val="bottom"/>
          </w:tcPr>
          <w:p>
            <w:pPr>
              <w:spacing w:after="0"/>
              <w:rPr>
                <w:sz w:val="16"/>
                <w:szCs w:val="16"/>
                <w:color w:val="auto"/>
              </w:rPr>
            </w:pPr>
          </w:p>
        </w:tc>
      </w:tr>
      <w:tr>
        <w:trPr>
          <w:trHeight w:val="23"/>
        </w:trPr>
        <w:tc>
          <w:tcPr>
            <w:tcW w:w="6980" w:type="dxa"/>
            <w:vAlign w:val="bottom"/>
            <w:tcBorders>
              <w:bottom w:val="single" w:sz="8" w:color="0077C0"/>
            </w:tcBorders>
          </w:tcPr>
          <w:p>
            <w:pPr>
              <w:spacing w:after="0"/>
              <w:rPr>
                <w:sz w:val="2"/>
                <w:szCs w:val="2"/>
                <w:color w:val="auto"/>
              </w:rPr>
            </w:pPr>
          </w:p>
        </w:tc>
        <w:tc>
          <w:tcPr>
            <w:tcW w:w="1260" w:type="dxa"/>
            <w:vAlign w:val="bottom"/>
            <w:tcBorders>
              <w:bottom w:val="single" w:sz="8" w:color="0077C0"/>
            </w:tcBorders>
          </w:tcPr>
          <w:p>
            <w:pPr>
              <w:spacing w:after="0"/>
              <w:rPr>
                <w:sz w:val="2"/>
                <w:szCs w:val="2"/>
                <w:color w:val="auto"/>
              </w:rPr>
            </w:pPr>
          </w:p>
        </w:tc>
        <w:tc>
          <w:tcPr>
            <w:tcW w:w="80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c>
          <w:tcPr>
            <w:tcW w:w="1300" w:type="dxa"/>
            <w:vAlign w:val="bottom"/>
            <w:tcBorders>
              <w:bottom w:val="single" w:sz="8" w:color="0077C0"/>
            </w:tcBorders>
          </w:tcPr>
          <w:p>
            <w:pPr>
              <w:spacing w:after="0"/>
              <w:rPr>
                <w:sz w:val="2"/>
                <w:szCs w:val="2"/>
                <w:color w:val="auto"/>
              </w:rPr>
            </w:pPr>
          </w:p>
        </w:tc>
      </w:tr>
      <w:tr>
        <w:trPr>
          <w:trHeight w:val="237"/>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6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41,161</w:t>
            </w:r>
          </w:p>
        </w:tc>
        <w:tc>
          <w:tcPr>
            <w:tcW w:w="7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w w:val="96"/>
              </w:rPr>
              <w:t>23,150</w:t>
            </w:r>
          </w:p>
        </w:tc>
      </w:tr>
      <w:tr>
        <w:trPr>
          <w:trHeight w:val="243"/>
        </w:trPr>
        <w:tc>
          <w:tcPr>
            <w:tcW w:w="6980" w:type="dxa"/>
            <w:vAlign w:val="bottom"/>
            <w:tcBorders>
              <w:bottom w:val="single" w:sz="8" w:color="0077C0"/>
            </w:tcBorders>
          </w:tcPr>
          <w:p>
            <w:pPr>
              <w:spacing w:after="0"/>
              <w:rPr>
                <w:sz w:val="20"/>
                <w:szCs w:val="20"/>
                <w:color w:val="auto"/>
              </w:rPr>
            </w:pPr>
            <w:r>
              <w:rPr>
                <w:rFonts w:ascii="Times New Roman" w:cs="Times New Roman" w:eastAsia="Times New Roman" w:hAnsi="Times New Roman"/>
                <w:sz w:val="18"/>
                <w:szCs w:val="18"/>
                <w:color w:val="auto"/>
              </w:rPr>
              <w:t>Less: Capital expenditures</w:t>
            </w:r>
          </w:p>
        </w:tc>
        <w:tc>
          <w:tcPr>
            <w:tcW w:w="1260" w:type="dxa"/>
            <w:vAlign w:val="bottom"/>
            <w:tcBorders>
              <w:bottom w:val="single" w:sz="8" w:color="0077C0"/>
            </w:tcBorders>
          </w:tcPr>
          <w:p>
            <w:pPr>
              <w:spacing w:after="0"/>
              <w:rPr>
                <w:sz w:val="21"/>
                <w:szCs w:val="21"/>
                <w:color w:val="auto"/>
              </w:rPr>
            </w:pPr>
          </w:p>
        </w:tc>
        <w:tc>
          <w:tcPr>
            <w:tcW w:w="8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(12,612)</w:t>
            </w:r>
          </w:p>
        </w:tc>
        <w:tc>
          <w:tcPr>
            <w:tcW w:w="760" w:type="dxa"/>
            <w:vAlign w:val="bottom"/>
            <w:tcBorders>
              <w:bottom w:val="single" w:sz="8" w:color="0077C0"/>
            </w:tcBorders>
          </w:tcPr>
          <w:p>
            <w:pPr>
              <w:spacing w:after="0"/>
              <w:rPr>
                <w:sz w:val="21"/>
                <w:szCs w:val="21"/>
                <w:color w:val="auto"/>
              </w:rPr>
            </w:pPr>
          </w:p>
        </w:tc>
        <w:tc>
          <w:tcPr>
            <w:tcW w:w="1300" w:type="dxa"/>
            <w:vAlign w:val="bottom"/>
            <w:tcBorders>
              <w:bottom w:val="single" w:sz="8" w:color="0077C0"/>
            </w:tcBorders>
          </w:tcPr>
          <w:p>
            <w:pPr>
              <w:jc w:val="center"/>
              <w:ind w:left="555"/>
              <w:spacing w:after="0"/>
              <w:rPr>
                <w:sz w:val="20"/>
                <w:szCs w:val="20"/>
                <w:color w:val="auto"/>
              </w:rPr>
            </w:pPr>
            <w:r>
              <w:rPr>
                <w:rFonts w:ascii="Times New Roman" w:cs="Times New Roman" w:eastAsia="Times New Roman" w:hAnsi="Times New Roman"/>
                <w:sz w:val="18"/>
                <w:szCs w:val="18"/>
                <w:color w:val="auto"/>
              </w:rPr>
              <w:t>(12,083)</w:t>
            </w:r>
          </w:p>
        </w:tc>
      </w:tr>
      <w:tr>
        <w:trPr>
          <w:trHeight w:val="237"/>
        </w:trPr>
        <w:tc>
          <w:tcPr>
            <w:tcW w:w="6980" w:type="dxa"/>
            <w:vAlign w:val="bottom"/>
            <w:tcBorders>
              <w:bottom w:val="single" w:sz="8" w:color="0077C0"/>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260" w:type="dxa"/>
            <w:vAlign w:val="bottom"/>
            <w:tcBorders>
              <w:bottom w:val="single" w:sz="8" w:color="0077C0"/>
            </w:tcBorders>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0077C0"/>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28,549</w:t>
            </w:r>
          </w:p>
        </w:tc>
        <w:tc>
          <w:tcPr>
            <w:tcW w:w="760" w:type="dxa"/>
            <w:vAlign w:val="bottom"/>
            <w:tcBorders>
              <w:bottom w:val="single" w:sz="8" w:color="0077C0"/>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0077C0"/>
            </w:tcBorders>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w w:val="96"/>
              </w:rPr>
              <w:t>11,067</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Pension Obligations </w:t>
      </w:r>
      <w:r>
        <w:rPr>
          <w:rFonts w:ascii="Times New Roman" w:cs="Times New Roman" w:eastAsia="Times New Roman" w:hAnsi="Times New Roman"/>
          <w:sz w:val="18"/>
          <w:szCs w:val="18"/>
          <w:color w:val="auto"/>
        </w:rPr>
        <w:t>Information related to pension plan contributions is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Note 8 Employee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Consolidated Financial Statements.</w:t>
      </w:r>
    </w:p>
    <w:p>
      <w:pPr>
        <w:spacing w:after="0" w:line="10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The company’s capital expenditures (capex) primarily include additions to fixed assets or investments for the company</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s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and are disclosed in the Consolidated Statement of Cash Flows. Capex in the first nine months of 2026 was $529 million higher than the prior year primarily due to spend associated with legacy Hess assets, partially offset by lower spend in the Permian Basin.</w:t>
      </w:r>
    </w:p>
    <w:p>
      <w:pPr>
        <w:spacing w:after="0" w:line="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Affiliate Capital Expenditures </w:t>
      </w:r>
      <w:r>
        <w:rPr>
          <w:rFonts w:ascii="Times New Roman" w:cs="Times New Roman" w:eastAsia="Times New Roman" w:hAnsi="Times New Roman"/>
          <w:sz w:val="18"/>
          <w:szCs w:val="18"/>
          <w:color w:val="auto"/>
        </w:rPr>
        <w:t>The company’s affiliate capital expenditures (affiliate capex) primarily include additions to fixed assets or investments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affiliate’s financial statements and do not require cash outlays by the company. Affiliate capex in the first nine months of 2026 was $441 million lower than the prior year primarily due to lower spend at CPChem and 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Capex and Affiliate Capex by Business Segment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6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260" w:type="dxa"/>
            <w:vAlign w:val="bottom"/>
            <w:gridSpan w:val="3"/>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940" w:type="dxa"/>
            <w:vAlign w:val="bottom"/>
          </w:tcPr>
          <w:p>
            <w:pPr>
              <w:spacing w:after="0"/>
              <w:rPr>
                <w:sz w:val="17"/>
                <w:szCs w:val="17"/>
                <w:color w:val="auto"/>
              </w:rPr>
            </w:pPr>
          </w:p>
        </w:tc>
        <w:tc>
          <w:tcPr>
            <w:tcW w:w="300" w:type="dxa"/>
            <w:vAlign w:val="bottom"/>
            <w:tcBorders>
              <w:bottom w:val="single" w:sz="8" w:color="0077C0"/>
            </w:tcBorders>
          </w:tcPr>
          <w:p>
            <w:pPr>
              <w:spacing w:after="0"/>
              <w:rPr>
                <w:sz w:val="17"/>
                <w:szCs w:val="17"/>
                <w:color w:val="auto"/>
              </w:rPr>
            </w:pPr>
          </w:p>
        </w:tc>
        <w:tc>
          <w:tcPr>
            <w:tcW w:w="1440" w:type="dxa"/>
            <w:vAlign w:val="bottom"/>
            <w:tcBorders>
              <w:bottom w:val="single" w:sz="8" w:color="0077C0"/>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0077C0"/>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0077C0"/>
            </w:tcBorders>
          </w:tcPr>
          <w:p>
            <w:pPr>
              <w:spacing w:after="0"/>
              <w:rPr>
                <w:sz w:val="17"/>
                <w:szCs w:val="17"/>
                <w:color w:val="auto"/>
              </w:rPr>
            </w:pPr>
          </w:p>
        </w:tc>
        <w:tc>
          <w:tcPr>
            <w:tcW w:w="1460" w:type="dxa"/>
            <w:vAlign w:val="bottom"/>
            <w:tcBorders>
              <w:bottom w:val="single" w:sz="8" w:color="0077C0"/>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0077C0"/>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6"/>
                <w:szCs w:val="16"/>
                <w:color w:val="auto"/>
              </w:rPr>
            </w:pPr>
          </w:p>
        </w:tc>
        <w:tc>
          <w:tcPr>
            <w:tcW w:w="8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6"/>
                <w:szCs w:val="16"/>
                <w:color w:val="auto"/>
              </w:rPr>
            </w:pPr>
          </w:p>
        </w:tc>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Capex</w:t>
            </w:r>
          </w:p>
        </w:tc>
        <w:tc>
          <w:tcPr>
            <w:tcW w:w="30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800" w:type="dxa"/>
            <w:vAlign w:val="bottom"/>
            <w:tcBorders>
              <w:bottom w:val="single" w:sz="8" w:color="0077C0"/>
            </w:tcBorders>
          </w:tcPr>
          <w:p>
            <w:pPr>
              <w:spacing w:after="0"/>
              <w:rPr>
                <w:sz w:val="2"/>
                <w:szCs w:val="2"/>
                <w:color w:val="auto"/>
              </w:rPr>
            </w:pPr>
          </w:p>
        </w:tc>
        <w:tc>
          <w:tcPr>
            <w:tcW w:w="1460" w:type="dxa"/>
            <w:vAlign w:val="bottom"/>
            <w:tcBorders>
              <w:bottom w:val="single" w:sz="8" w:color="0077C0"/>
            </w:tcBorders>
            <w:gridSpan w:val="3"/>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8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0077C0"/>
            </w:tcBorders>
            <w:vMerge w:val="continue"/>
          </w:tcPr>
          <w:p>
            <w:pPr>
              <w:spacing w:after="0"/>
              <w:rPr>
                <w:sz w:val="19"/>
                <w:szCs w:val="19"/>
                <w:color w:val="auto"/>
              </w:rPr>
            </w:pPr>
          </w:p>
        </w:tc>
        <w:tc>
          <w:tcPr>
            <w:tcW w:w="300" w:type="dxa"/>
            <w:vAlign w:val="bottom"/>
            <w:tcBorders>
              <w:bottom w:val="single" w:sz="8" w:color="0077C0"/>
            </w:tcBorders>
          </w:tcPr>
          <w:p>
            <w:pPr>
              <w:spacing w:after="0"/>
              <w:rPr>
                <w:sz w:val="19"/>
                <w:szCs w:val="19"/>
                <w:color w:val="auto"/>
              </w:rPr>
            </w:pPr>
          </w:p>
        </w:tc>
        <w:tc>
          <w:tcPr>
            <w:tcW w:w="940" w:type="dxa"/>
            <w:vAlign w:val="bottom"/>
            <w:tcBorders>
              <w:bottom w:val="single" w:sz="8" w:color="0077C0"/>
            </w:tcBorders>
          </w:tcPr>
          <w:p>
            <w:pPr>
              <w:spacing w:after="0"/>
              <w:rPr>
                <w:sz w:val="19"/>
                <w:szCs w:val="19"/>
                <w:color w:val="auto"/>
              </w:rPr>
            </w:pPr>
          </w:p>
        </w:tc>
        <w:tc>
          <w:tcPr>
            <w:tcW w:w="500" w:type="dxa"/>
            <w:vAlign w:val="bottom"/>
            <w:tcBorders>
              <w:bottom w:val="single" w:sz="8" w:color="0077C0"/>
            </w:tcBorders>
          </w:tcPr>
          <w:p>
            <w:pPr>
              <w:spacing w:after="0"/>
              <w:rPr>
                <w:sz w:val="19"/>
                <w:szCs w:val="19"/>
                <w:color w:val="auto"/>
              </w:rPr>
            </w:pPr>
          </w:p>
        </w:tc>
        <w:tc>
          <w:tcPr>
            <w:tcW w:w="2260" w:type="dxa"/>
            <w:vAlign w:val="bottom"/>
            <w:tcBorders>
              <w:bottom w:val="single" w:sz="8" w:color="0077C0"/>
            </w:tcBorders>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500" w:type="dxa"/>
            <w:vAlign w:val="bottom"/>
            <w:tcBorders>
              <w:bottom w:val="single" w:sz="8" w:color="0077C0"/>
            </w:tcBorders>
          </w:tcPr>
          <w:p>
            <w:pPr>
              <w:spacing w:after="0"/>
              <w:rPr>
                <w:sz w:val="19"/>
                <w:szCs w:val="19"/>
                <w:color w:val="auto"/>
              </w:rPr>
            </w:pPr>
          </w:p>
        </w:tc>
        <w:tc>
          <w:tcPr>
            <w:tcW w:w="800" w:type="dxa"/>
            <w:vAlign w:val="bottom"/>
            <w:tcBorders>
              <w:bottom w:val="single" w:sz="8" w:color="0077C0"/>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Upstream</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1,667</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6,046</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0" w:type="dxa"/>
            <w:vAlign w:val="bottom"/>
          </w:tcPr>
          <w:p>
            <w:pPr>
              <w:spacing w:after="0"/>
              <w:rPr>
                <w:sz w:val="1"/>
                <w:szCs w:val="1"/>
                <w:color w:val="auto"/>
              </w:rPr>
            </w:pPr>
          </w:p>
        </w:tc>
      </w:tr>
      <w:tr>
        <w:trPr>
          <w:trHeight w:val="24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Downstream</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250</w:t>
            </w: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490</w:t>
            </w: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43"/>
        </w:trPr>
        <w:tc>
          <w:tcPr>
            <w:tcW w:w="5940" w:type="dxa"/>
            <w:vAlign w:val="bottom"/>
            <w:tcBorders>
              <w:bottom w:val="single" w:sz="8" w:color="0077C0"/>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 Other</w:t>
            </w:r>
          </w:p>
        </w:tc>
        <w:tc>
          <w:tcPr>
            <w:tcW w:w="300" w:type="dxa"/>
            <w:vAlign w:val="bottom"/>
            <w:tcBorders>
              <w:bottom w:val="single" w:sz="8" w:color="0077C0"/>
            </w:tcBorders>
            <w:shd w:val="clear" w:color="auto" w:fill="CCEEFF"/>
          </w:tcPr>
          <w:p>
            <w:pPr>
              <w:spacing w:after="0"/>
              <w:rPr>
                <w:sz w:val="21"/>
                <w:szCs w:val="21"/>
                <w:color w:val="auto"/>
              </w:rPr>
            </w:pPr>
          </w:p>
        </w:tc>
        <w:tc>
          <w:tcPr>
            <w:tcW w:w="940" w:type="dxa"/>
            <w:vAlign w:val="bottom"/>
            <w:tcBorders>
              <w:bottom w:val="single" w:sz="8" w:color="0077C0"/>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95</w:t>
            </w:r>
          </w:p>
        </w:tc>
        <w:tc>
          <w:tcPr>
            <w:tcW w:w="500" w:type="dxa"/>
            <w:vAlign w:val="bottom"/>
            <w:tcBorders>
              <w:bottom w:val="single" w:sz="8" w:color="0077C0"/>
            </w:tcBorders>
            <w:shd w:val="clear" w:color="auto" w:fill="CCEEFF"/>
          </w:tcPr>
          <w:p>
            <w:pPr>
              <w:spacing w:after="0"/>
              <w:rPr>
                <w:sz w:val="21"/>
                <w:szCs w:val="21"/>
                <w:color w:val="auto"/>
              </w:rPr>
            </w:pPr>
          </w:p>
        </w:tc>
        <w:tc>
          <w:tcPr>
            <w:tcW w:w="8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Borders>
              <w:bottom w:val="single" w:sz="8" w:color="0077C0"/>
            </w:tcBorders>
            <w:shd w:val="clear" w:color="auto" w:fill="CCEEFF"/>
          </w:tcPr>
          <w:p>
            <w:pPr>
              <w:spacing w:after="0"/>
              <w:rPr>
                <w:sz w:val="21"/>
                <w:szCs w:val="21"/>
                <w:color w:val="auto"/>
              </w:rPr>
            </w:pPr>
          </w:p>
        </w:tc>
        <w:tc>
          <w:tcPr>
            <w:tcW w:w="280" w:type="dxa"/>
            <w:vAlign w:val="bottom"/>
            <w:tcBorders>
              <w:bottom w:val="single" w:sz="8" w:color="0077C0"/>
            </w:tcBorders>
            <w:shd w:val="clear" w:color="auto" w:fill="CCEEFF"/>
          </w:tcPr>
          <w:p>
            <w:pPr>
              <w:spacing w:after="0"/>
              <w:rPr>
                <w:sz w:val="21"/>
                <w:szCs w:val="21"/>
                <w:color w:val="auto"/>
              </w:rPr>
            </w:pPr>
          </w:p>
        </w:tc>
        <w:tc>
          <w:tcPr>
            <w:tcW w:w="960" w:type="dxa"/>
            <w:vAlign w:val="bottom"/>
            <w:tcBorders>
              <w:bottom w:val="single" w:sz="8" w:color="0077C0"/>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244</w:t>
            </w:r>
          </w:p>
        </w:tc>
        <w:tc>
          <w:tcPr>
            <w:tcW w:w="500" w:type="dxa"/>
            <w:vAlign w:val="bottom"/>
            <w:tcBorders>
              <w:bottom w:val="single" w:sz="8" w:color="0077C0"/>
            </w:tcBorders>
            <w:shd w:val="clear" w:color="auto" w:fill="CCEEFF"/>
          </w:tcPr>
          <w:p>
            <w:pPr>
              <w:spacing w:after="0"/>
              <w:rPr>
                <w:sz w:val="21"/>
                <w:szCs w:val="21"/>
                <w:color w:val="auto"/>
              </w:rPr>
            </w:pPr>
          </w:p>
        </w:tc>
        <w:tc>
          <w:tcPr>
            <w:tcW w:w="8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37"/>
        </w:trPr>
        <w:tc>
          <w:tcPr>
            <w:tcW w:w="59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United States</w:t>
            </w:r>
          </w:p>
        </w:tc>
        <w:tc>
          <w:tcPr>
            <w:tcW w:w="300" w:type="dxa"/>
            <w:vAlign w:val="bottom"/>
            <w:tcBorders>
              <w:bottom w:val="single" w:sz="8" w:color="0077C0"/>
            </w:tcBorders>
          </w:tcPr>
          <w:p>
            <w:pPr>
              <w:spacing w:after="0"/>
              <w:rPr>
                <w:sz w:val="20"/>
                <w:szCs w:val="20"/>
                <w:color w:val="auto"/>
              </w:rPr>
            </w:pPr>
          </w:p>
        </w:tc>
        <w:tc>
          <w:tcPr>
            <w:tcW w:w="940" w:type="dxa"/>
            <w:vAlign w:val="bottom"/>
            <w:tcBorders>
              <w:bottom w:val="single" w:sz="8" w:color="0077C0"/>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2,012</w:t>
            </w:r>
          </w:p>
        </w:tc>
        <w:tc>
          <w:tcPr>
            <w:tcW w:w="500" w:type="dxa"/>
            <w:vAlign w:val="bottom"/>
            <w:tcBorders>
              <w:bottom w:val="single" w:sz="8" w:color="0077C0"/>
            </w:tcBorders>
          </w:tcPr>
          <w:p>
            <w:pPr>
              <w:spacing w:after="0"/>
              <w:rPr>
                <w:sz w:val="20"/>
                <w:szCs w:val="20"/>
                <w:color w:val="auto"/>
              </w:rPr>
            </w:pPr>
          </w:p>
        </w:tc>
        <w:tc>
          <w:tcPr>
            <w:tcW w:w="8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20" w:type="dxa"/>
            <w:vAlign w:val="bottom"/>
            <w:tcBorders>
              <w:bottom w:val="single" w:sz="8" w:color="0077C0"/>
            </w:tcBorders>
          </w:tcPr>
          <w:p>
            <w:pPr>
              <w:spacing w:after="0"/>
              <w:rPr>
                <w:sz w:val="20"/>
                <w:szCs w:val="20"/>
                <w:color w:val="auto"/>
              </w:rPr>
            </w:pPr>
          </w:p>
        </w:tc>
        <w:tc>
          <w:tcPr>
            <w:tcW w:w="280" w:type="dxa"/>
            <w:vAlign w:val="bottom"/>
            <w:tcBorders>
              <w:bottom w:val="single" w:sz="8" w:color="0077C0"/>
            </w:tcBorders>
          </w:tcPr>
          <w:p>
            <w:pPr>
              <w:spacing w:after="0"/>
              <w:rPr>
                <w:sz w:val="20"/>
                <w:szCs w:val="20"/>
                <w:color w:val="auto"/>
              </w:rPr>
            </w:pPr>
          </w:p>
        </w:tc>
        <w:tc>
          <w:tcPr>
            <w:tcW w:w="960" w:type="dxa"/>
            <w:vAlign w:val="bottom"/>
            <w:tcBorders>
              <w:bottom w:val="single" w:sz="8" w:color="0077C0"/>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6,780</w:t>
            </w:r>
          </w:p>
        </w:tc>
        <w:tc>
          <w:tcPr>
            <w:tcW w:w="500" w:type="dxa"/>
            <w:vAlign w:val="bottom"/>
            <w:tcBorders>
              <w:bottom w:val="single" w:sz="8" w:color="0077C0"/>
            </w:tcBorders>
          </w:tcPr>
          <w:p>
            <w:pPr>
              <w:spacing w:after="0"/>
              <w:rPr>
                <w:sz w:val="20"/>
                <w:szCs w:val="20"/>
                <w:color w:val="auto"/>
              </w:rPr>
            </w:pPr>
          </w:p>
        </w:tc>
        <w:tc>
          <w:tcPr>
            <w:tcW w:w="8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7,937</w:t>
            </w:r>
          </w:p>
        </w:tc>
        <w:tc>
          <w:tcPr>
            <w:tcW w:w="0" w:type="dxa"/>
            <w:vAlign w:val="bottom"/>
          </w:tcPr>
          <w:p>
            <w:pPr>
              <w:spacing w:after="0"/>
              <w:rPr>
                <w:sz w:val="1"/>
                <w:szCs w:val="1"/>
                <w:color w:val="auto"/>
              </w:rPr>
            </w:pPr>
          </w:p>
        </w:tc>
      </w:tr>
      <w:tr>
        <w:trPr>
          <w:trHeight w:val="23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Upstream</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1,920</w:t>
            </w: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5,632</w:t>
            </w: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Downstream</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64</w:t>
            </w: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163</w:t>
            </w: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43"/>
        </w:trPr>
        <w:tc>
          <w:tcPr>
            <w:tcW w:w="5940" w:type="dxa"/>
            <w:vAlign w:val="bottom"/>
            <w:tcBorders>
              <w:bottom w:val="single" w:sz="8" w:color="0077C0"/>
            </w:tcBorders>
          </w:tcPr>
          <w:p>
            <w:pPr>
              <w:ind w:left="220"/>
              <w:spacing w:after="0"/>
              <w:rPr>
                <w:sz w:val="20"/>
                <w:szCs w:val="20"/>
                <w:color w:val="auto"/>
              </w:rPr>
            </w:pPr>
            <w:r>
              <w:rPr>
                <w:rFonts w:ascii="Times New Roman" w:cs="Times New Roman" w:eastAsia="Times New Roman" w:hAnsi="Times New Roman"/>
                <w:sz w:val="18"/>
                <w:szCs w:val="18"/>
                <w:color w:val="auto"/>
              </w:rPr>
              <w:t>All Other</w:t>
            </w:r>
          </w:p>
        </w:tc>
        <w:tc>
          <w:tcPr>
            <w:tcW w:w="300" w:type="dxa"/>
            <w:vAlign w:val="bottom"/>
            <w:tcBorders>
              <w:bottom w:val="single" w:sz="8" w:color="0077C0"/>
            </w:tcBorders>
          </w:tcPr>
          <w:p>
            <w:pPr>
              <w:spacing w:after="0"/>
              <w:rPr>
                <w:sz w:val="21"/>
                <w:szCs w:val="21"/>
                <w:color w:val="auto"/>
              </w:rPr>
            </w:pPr>
          </w:p>
        </w:tc>
        <w:tc>
          <w:tcPr>
            <w:tcW w:w="940" w:type="dxa"/>
            <w:vAlign w:val="bottom"/>
            <w:tcBorders>
              <w:bottom w:val="single" w:sz="8" w:color="0077C0"/>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15</w:t>
            </w:r>
          </w:p>
        </w:tc>
        <w:tc>
          <w:tcPr>
            <w:tcW w:w="500" w:type="dxa"/>
            <w:vAlign w:val="bottom"/>
            <w:tcBorders>
              <w:bottom w:val="single" w:sz="8" w:color="0077C0"/>
            </w:tcBorders>
          </w:tcPr>
          <w:p>
            <w:pPr>
              <w:spacing w:after="0"/>
              <w:rPr>
                <w:sz w:val="21"/>
                <w:szCs w:val="21"/>
                <w:color w:val="auto"/>
              </w:rPr>
            </w:pPr>
          </w:p>
        </w:tc>
        <w:tc>
          <w:tcPr>
            <w:tcW w:w="8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0077C0"/>
            </w:tcBorders>
          </w:tcPr>
          <w:p>
            <w:pPr>
              <w:spacing w:after="0"/>
              <w:rPr>
                <w:sz w:val="21"/>
                <w:szCs w:val="21"/>
                <w:color w:val="auto"/>
              </w:rPr>
            </w:pPr>
          </w:p>
        </w:tc>
        <w:tc>
          <w:tcPr>
            <w:tcW w:w="280" w:type="dxa"/>
            <w:vAlign w:val="bottom"/>
            <w:tcBorders>
              <w:bottom w:val="single" w:sz="8" w:color="0077C0"/>
            </w:tcBorders>
          </w:tcPr>
          <w:p>
            <w:pPr>
              <w:spacing w:after="0"/>
              <w:rPr>
                <w:sz w:val="21"/>
                <w:szCs w:val="21"/>
                <w:color w:val="auto"/>
              </w:rPr>
            </w:pPr>
          </w:p>
        </w:tc>
        <w:tc>
          <w:tcPr>
            <w:tcW w:w="960" w:type="dxa"/>
            <w:vAlign w:val="bottom"/>
            <w:tcBorders>
              <w:bottom w:val="single" w:sz="8" w:color="0077C0"/>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37</w:t>
            </w:r>
          </w:p>
        </w:tc>
        <w:tc>
          <w:tcPr>
            <w:tcW w:w="500" w:type="dxa"/>
            <w:vAlign w:val="bottom"/>
            <w:tcBorders>
              <w:bottom w:val="single" w:sz="8" w:color="0077C0"/>
            </w:tcBorders>
          </w:tcPr>
          <w:p>
            <w:pPr>
              <w:spacing w:after="0"/>
              <w:rPr>
                <w:sz w:val="21"/>
                <w:szCs w:val="21"/>
                <w:color w:val="auto"/>
              </w:rPr>
            </w:pPr>
          </w:p>
        </w:tc>
        <w:tc>
          <w:tcPr>
            <w:tcW w:w="8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7"/>
        </w:trPr>
        <w:tc>
          <w:tcPr>
            <w:tcW w:w="594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International</w:t>
            </w:r>
          </w:p>
        </w:tc>
        <w:tc>
          <w:tcPr>
            <w:tcW w:w="300" w:type="dxa"/>
            <w:vAlign w:val="bottom"/>
            <w:tcBorders>
              <w:bottom w:val="single" w:sz="8" w:color="0077C0"/>
            </w:tcBorders>
            <w:shd w:val="clear" w:color="auto" w:fill="CCEEFF"/>
          </w:tcPr>
          <w:p>
            <w:pPr>
              <w:spacing w:after="0"/>
              <w:rPr>
                <w:sz w:val="20"/>
                <w:szCs w:val="20"/>
                <w:color w:val="auto"/>
              </w:rPr>
            </w:pPr>
          </w:p>
        </w:tc>
        <w:tc>
          <w:tcPr>
            <w:tcW w:w="940" w:type="dxa"/>
            <w:vAlign w:val="bottom"/>
            <w:tcBorders>
              <w:bottom w:val="single" w:sz="8" w:color="0077C0"/>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1,999</w:t>
            </w:r>
          </w:p>
        </w:tc>
        <w:tc>
          <w:tcPr>
            <w:tcW w:w="500" w:type="dxa"/>
            <w:vAlign w:val="bottom"/>
            <w:tcBorders>
              <w:bottom w:val="single" w:sz="8" w:color="0077C0"/>
            </w:tcBorders>
            <w:shd w:val="clear" w:color="auto" w:fill="CCEEFF"/>
          </w:tcPr>
          <w:p>
            <w:pPr>
              <w:spacing w:after="0"/>
              <w:rPr>
                <w:sz w:val="20"/>
                <w:szCs w:val="20"/>
                <w:color w:val="auto"/>
              </w:rPr>
            </w:pPr>
          </w:p>
        </w:tc>
        <w:tc>
          <w:tcPr>
            <w:tcW w:w="8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220" w:type="dxa"/>
            <w:vAlign w:val="bottom"/>
            <w:tcBorders>
              <w:bottom w:val="single" w:sz="8" w:color="0077C0"/>
            </w:tcBorders>
            <w:shd w:val="clear" w:color="auto" w:fill="CCEEFF"/>
          </w:tcPr>
          <w:p>
            <w:pPr>
              <w:spacing w:after="0"/>
              <w:rPr>
                <w:sz w:val="20"/>
                <w:szCs w:val="20"/>
                <w:color w:val="auto"/>
              </w:rPr>
            </w:pPr>
          </w:p>
        </w:tc>
        <w:tc>
          <w:tcPr>
            <w:tcW w:w="280" w:type="dxa"/>
            <w:vAlign w:val="bottom"/>
            <w:tcBorders>
              <w:bottom w:val="single" w:sz="8" w:color="0077C0"/>
            </w:tcBorders>
            <w:shd w:val="clear" w:color="auto" w:fill="CCEEFF"/>
          </w:tcPr>
          <w:p>
            <w:pPr>
              <w:spacing w:after="0"/>
              <w:rPr>
                <w:sz w:val="20"/>
                <w:szCs w:val="20"/>
                <w:color w:val="auto"/>
              </w:rPr>
            </w:pPr>
          </w:p>
        </w:tc>
        <w:tc>
          <w:tcPr>
            <w:tcW w:w="960" w:type="dxa"/>
            <w:vAlign w:val="bottom"/>
            <w:tcBorders>
              <w:bottom w:val="single" w:sz="8" w:color="0077C0"/>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5,832</w:t>
            </w:r>
          </w:p>
        </w:tc>
        <w:tc>
          <w:tcPr>
            <w:tcW w:w="500" w:type="dxa"/>
            <w:vAlign w:val="bottom"/>
            <w:tcBorders>
              <w:bottom w:val="single" w:sz="8" w:color="0077C0"/>
            </w:tcBorders>
            <w:shd w:val="clear" w:color="auto" w:fill="CCEEFF"/>
          </w:tcPr>
          <w:p>
            <w:pPr>
              <w:spacing w:after="0"/>
              <w:rPr>
                <w:sz w:val="20"/>
                <w:szCs w:val="20"/>
                <w:color w:val="auto"/>
              </w:rPr>
            </w:pPr>
          </w:p>
        </w:tc>
        <w:tc>
          <w:tcPr>
            <w:tcW w:w="8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0" w:type="dxa"/>
            <w:vAlign w:val="bottom"/>
          </w:tcPr>
          <w:p>
            <w:pPr>
              <w:spacing w:after="0"/>
              <w:rPr>
                <w:sz w:val="1"/>
                <w:szCs w:val="1"/>
                <w:color w:val="auto"/>
              </w:rPr>
            </w:pPr>
          </w:p>
        </w:tc>
      </w:tr>
      <w:tr>
        <w:trPr>
          <w:trHeight w:val="237"/>
        </w:trPr>
        <w:tc>
          <w:tcPr>
            <w:tcW w:w="59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Capex</w:t>
            </w:r>
          </w:p>
        </w:tc>
        <w:tc>
          <w:tcPr>
            <w:tcW w:w="300" w:type="dxa"/>
            <w:vAlign w:val="bottom"/>
            <w:tcBorders>
              <w:bottom w:val="single" w:sz="8" w:color="0077C0"/>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0077C0"/>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4,011</w:t>
            </w:r>
          </w:p>
        </w:tc>
        <w:tc>
          <w:tcPr>
            <w:tcW w:w="500" w:type="dxa"/>
            <w:vAlign w:val="bottom"/>
            <w:tcBorders>
              <w:bottom w:val="single" w:sz="8" w:color="0077C0"/>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220" w:type="dxa"/>
            <w:vAlign w:val="bottom"/>
            <w:tcBorders>
              <w:bottom w:val="single" w:sz="8" w:color="0077C0"/>
            </w:tcBorders>
          </w:tcPr>
          <w:p>
            <w:pPr>
              <w:spacing w:after="0"/>
              <w:rPr>
                <w:sz w:val="20"/>
                <w:szCs w:val="20"/>
                <w:color w:val="auto"/>
              </w:rPr>
            </w:pPr>
          </w:p>
        </w:tc>
        <w:tc>
          <w:tcPr>
            <w:tcW w:w="280" w:type="dxa"/>
            <w:vAlign w:val="bottom"/>
            <w:tcBorders>
              <w:bottom w:val="single" w:sz="8" w:color="0077C0"/>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0077C0"/>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12,612</w:t>
            </w:r>
          </w:p>
        </w:tc>
        <w:tc>
          <w:tcPr>
            <w:tcW w:w="500" w:type="dxa"/>
            <w:vAlign w:val="bottom"/>
            <w:tcBorders>
              <w:bottom w:val="single" w:sz="8" w:color="0077C0"/>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12,083</w:t>
            </w:r>
          </w:p>
        </w:tc>
        <w:tc>
          <w:tcPr>
            <w:tcW w:w="0" w:type="dxa"/>
            <w:vAlign w:val="bottom"/>
          </w:tcPr>
          <w:p>
            <w:pPr>
              <w:spacing w:after="0"/>
              <w:rPr>
                <w:sz w:val="1"/>
                <w:szCs w:val="1"/>
                <w:color w:val="auto"/>
              </w:rPr>
            </w:pPr>
          </w:p>
        </w:tc>
      </w:tr>
      <w:tr>
        <w:trPr>
          <w:trHeight w:val="23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Affiliate Capex</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Upstream</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155</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381</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43"/>
        </w:trPr>
        <w:tc>
          <w:tcPr>
            <w:tcW w:w="5940" w:type="dxa"/>
            <w:vAlign w:val="bottom"/>
            <w:tcBorders>
              <w:bottom w:val="single" w:sz="8" w:color="0077C0"/>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Downstream</w:t>
            </w:r>
          </w:p>
        </w:tc>
        <w:tc>
          <w:tcPr>
            <w:tcW w:w="300" w:type="dxa"/>
            <w:vAlign w:val="bottom"/>
            <w:tcBorders>
              <w:bottom w:val="single" w:sz="8" w:color="0077C0"/>
            </w:tcBorders>
            <w:shd w:val="clear" w:color="auto" w:fill="CCEEFF"/>
          </w:tcPr>
          <w:p>
            <w:pPr>
              <w:spacing w:after="0"/>
              <w:rPr>
                <w:sz w:val="21"/>
                <w:szCs w:val="21"/>
                <w:color w:val="auto"/>
              </w:rPr>
            </w:pPr>
          </w:p>
        </w:tc>
        <w:tc>
          <w:tcPr>
            <w:tcW w:w="940" w:type="dxa"/>
            <w:vAlign w:val="bottom"/>
            <w:tcBorders>
              <w:bottom w:val="single" w:sz="8" w:color="0077C0"/>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205</w:t>
            </w:r>
          </w:p>
        </w:tc>
        <w:tc>
          <w:tcPr>
            <w:tcW w:w="500" w:type="dxa"/>
            <w:vAlign w:val="bottom"/>
            <w:tcBorders>
              <w:bottom w:val="single" w:sz="8" w:color="0077C0"/>
            </w:tcBorders>
            <w:shd w:val="clear" w:color="auto" w:fill="CCEEFF"/>
          </w:tcPr>
          <w:p>
            <w:pPr>
              <w:spacing w:after="0"/>
              <w:rPr>
                <w:sz w:val="21"/>
                <w:szCs w:val="21"/>
                <w:color w:val="auto"/>
              </w:rPr>
            </w:pPr>
          </w:p>
        </w:tc>
        <w:tc>
          <w:tcPr>
            <w:tcW w:w="8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tcBorders>
              <w:bottom w:val="single" w:sz="8" w:color="0077C0"/>
            </w:tcBorders>
            <w:shd w:val="clear" w:color="auto" w:fill="CCEEFF"/>
          </w:tcPr>
          <w:p>
            <w:pPr>
              <w:spacing w:after="0"/>
              <w:rPr>
                <w:sz w:val="21"/>
                <w:szCs w:val="21"/>
                <w:color w:val="auto"/>
              </w:rPr>
            </w:pPr>
          </w:p>
        </w:tc>
        <w:tc>
          <w:tcPr>
            <w:tcW w:w="280" w:type="dxa"/>
            <w:vAlign w:val="bottom"/>
            <w:tcBorders>
              <w:bottom w:val="single" w:sz="8" w:color="0077C0"/>
            </w:tcBorders>
            <w:shd w:val="clear" w:color="auto" w:fill="CCEEFF"/>
          </w:tcPr>
          <w:p>
            <w:pPr>
              <w:spacing w:after="0"/>
              <w:rPr>
                <w:sz w:val="21"/>
                <w:szCs w:val="21"/>
                <w:color w:val="auto"/>
              </w:rPr>
            </w:pPr>
          </w:p>
        </w:tc>
        <w:tc>
          <w:tcPr>
            <w:tcW w:w="960" w:type="dxa"/>
            <w:vAlign w:val="bottom"/>
            <w:tcBorders>
              <w:bottom w:val="single" w:sz="8" w:color="0077C0"/>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537</w:t>
            </w:r>
          </w:p>
        </w:tc>
        <w:tc>
          <w:tcPr>
            <w:tcW w:w="500" w:type="dxa"/>
            <w:vAlign w:val="bottom"/>
            <w:tcBorders>
              <w:bottom w:val="single" w:sz="8" w:color="0077C0"/>
            </w:tcBorders>
            <w:shd w:val="clear" w:color="auto" w:fill="CCEEFF"/>
          </w:tcPr>
          <w:p>
            <w:pPr>
              <w:spacing w:after="0"/>
              <w:rPr>
                <w:sz w:val="21"/>
                <w:szCs w:val="21"/>
                <w:color w:val="auto"/>
              </w:rPr>
            </w:pPr>
          </w:p>
        </w:tc>
        <w:tc>
          <w:tcPr>
            <w:tcW w:w="800" w:type="dxa"/>
            <w:vAlign w:val="bottom"/>
            <w:tcBorders>
              <w:bottom w:val="single" w:sz="8" w:color="0077C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36"/>
        </w:trPr>
        <w:tc>
          <w:tcPr>
            <w:tcW w:w="59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Affiliate Capex</w:t>
            </w:r>
          </w:p>
        </w:tc>
        <w:tc>
          <w:tcPr>
            <w:tcW w:w="300" w:type="dxa"/>
            <w:vAlign w:val="bottom"/>
            <w:tcBorders>
              <w:bottom w:val="single" w:sz="8" w:color="0077C0"/>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0077C0"/>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360</w:t>
            </w:r>
          </w:p>
        </w:tc>
        <w:tc>
          <w:tcPr>
            <w:tcW w:w="500" w:type="dxa"/>
            <w:vAlign w:val="bottom"/>
            <w:tcBorders>
              <w:bottom w:val="single" w:sz="8" w:color="0077C0"/>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20" w:type="dxa"/>
            <w:vAlign w:val="bottom"/>
            <w:tcBorders>
              <w:bottom w:val="single" w:sz="8" w:color="0077C0"/>
            </w:tcBorders>
          </w:tcPr>
          <w:p>
            <w:pPr>
              <w:spacing w:after="0"/>
              <w:rPr>
                <w:sz w:val="20"/>
                <w:szCs w:val="20"/>
                <w:color w:val="auto"/>
              </w:rPr>
            </w:pPr>
          </w:p>
        </w:tc>
        <w:tc>
          <w:tcPr>
            <w:tcW w:w="280" w:type="dxa"/>
            <w:vAlign w:val="bottom"/>
            <w:tcBorders>
              <w:bottom w:val="single" w:sz="8" w:color="0077C0"/>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0077C0"/>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918</w:t>
            </w:r>
          </w:p>
        </w:tc>
        <w:tc>
          <w:tcPr>
            <w:tcW w:w="500" w:type="dxa"/>
            <w:vAlign w:val="bottom"/>
            <w:tcBorders>
              <w:bottom w:val="single" w:sz="8" w:color="0077C0"/>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 and Significant Litigation</w:t>
      </w:r>
    </w:p>
    <w:p>
      <w:pPr>
        <w:spacing w:after="0" w:line="106" w:lineRule="exact"/>
        <w:rPr>
          <w:sz w:val="20"/>
          <w:szCs w:val="20"/>
          <w:color w:val="auto"/>
        </w:rPr>
      </w:pPr>
    </w:p>
    <w:p>
      <w:pPr>
        <w:ind w:right="1060"/>
        <w:spacing w:after="0" w:line="367" w:lineRule="auto"/>
        <w:rPr>
          <w:sz w:val="20"/>
          <w:szCs w:val="20"/>
          <w:color w:val="auto"/>
        </w:rPr>
      </w:pPr>
      <w:r>
        <w:rPr>
          <w:rFonts w:ascii="Times New Roman" w:cs="Times New Roman" w:eastAsia="Times New Roman" w:hAnsi="Times New Roman"/>
          <w:sz w:val="18"/>
          <w:szCs w:val="18"/>
          <w:i w:val="1"/>
          <w:iCs w:val="1"/>
          <w:color w:val="auto"/>
        </w:rPr>
        <w:t xml:space="preserve">Climate Change </w:t>
      </w:r>
      <w:r>
        <w:rPr>
          <w:rFonts w:ascii="Times New Roman" w:cs="Times New Roman" w:eastAsia="Times New Roman" w:hAnsi="Times New Roman"/>
          <w:sz w:val="18"/>
          <w:szCs w:val="18"/>
          <w:color w:val="auto"/>
        </w:rPr>
        <w:t>Information related to climate change-related matters is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Note 11 Litigation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heading “Climate Change.”</w:t>
      </w:r>
      <w:r>
        <w:rPr>
          <w:rFonts w:ascii="Times New Roman" w:cs="Times New Roman" w:eastAsia="Times New Roman" w:hAnsi="Times New Roman"/>
          <w:sz w:val="18"/>
          <w:szCs w:val="18"/>
          <w:i w:val="1"/>
          <w:iCs w:val="1"/>
          <w:color w:val="auto"/>
        </w:rPr>
        <w:t xml:space="preserve"> Louisiana </w:t>
      </w:r>
      <w:r>
        <w:rPr>
          <w:rFonts w:ascii="Times New Roman" w:cs="Times New Roman" w:eastAsia="Times New Roman" w:hAnsi="Times New Roman"/>
          <w:sz w:val="18"/>
          <w:szCs w:val="18"/>
          <w:color w:val="auto"/>
        </w:rPr>
        <w:t>Information related to Louisiana coastal matters is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Note 11 Litigation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heading “Louisiana.”</w:t>
      </w:r>
    </w:p>
    <w:p>
      <w:pPr>
        <w:spacing w:after="0" w:line="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Information related to income tax contingencies is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Note 10 Income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Note 12 Other Contingencies and Commitments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heading “Income Taxes.”</w:t>
      </w:r>
    </w:p>
    <w:p>
      <w:pPr>
        <w:spacing w:after="0" w:line="5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Guarantees </w:t>
      </w:r>
      <w:r>
        <w:rPr>
          <w:rFonts w:ascii="Times New Roman" w:cs="Times New Roman" w:eastAsia="Times New Roman" w:hAnsi="Times New Roman"/>
          <w:sz w:val="18"/>
          <w:szCs w:val="18"/>
          <w:color w:val="auto"/>
        </w:rPr>
        <w:t>Information related to the company’s guarantees is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Note 12 Other Contingencies and Commitments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heading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Indemnification </w:t>
      </w:r>
      <w:r>
        <w:rPr>
          <w:rFonts w:ascii="Times New Roman" w:cs="Times New Roman" w:eastAsia="Times New Roman" w:hAnsi="Times New Roman"/>
          <w:sz w:val="18"/>
          <w:szCs w:val="18"/>
          <w:color w:val="auto"/>
        </w:rPr>
        <w:t>Information related to indemnification is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Note 12 Other Contingencies and Commitments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heading “Indemnification.”</w:t>
      </w:r>
    </w:p>
    <w:p>
      <w:pPr>
        <w:spacing w:after="0" w:line="10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Long-Term Unconditional Purchase Obligations and Commitments, Including Throughput and Take-or-Pay Agreements </w:t>
      </w:r>
      <w:r>
        <w:rPr>
          <w:rFonts w:ascii="Times New Roman" w:cs="Times New Roman" w:eastAsia="Times New Roman" w:hAnsi="Times New Roman"/>
          <w:sz w:val="18"/>
          <w:szCs w:val="18"/>
          <w:color w:val="auto"/>
        </w:rPr>
        <w:t>Information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company’s long-term unconditional purchase obligations and commitments is included in </w:t>
      </w:r>
      <w:r>
        <w:rPr>
          <w:rFonts w:ascii="Times New Roman" w:cs="Times New Roman" w:eastAsia="Times New Roman" w:hAnsi="Times New Roman"/>
          <w:sz w:val="18"/>
          <w:szCs w:val="18"/>
          <w:u w:val="single" w:color="auto"/>
          <w:color w:val="0000FF"/>
        </w:rPr>
        <w:t>Note 12 Other Contingencies and Commitments</w:t>
      </w:r>
      <w:r>
        <w:rPr>
          <w:rFonts w:ascii="Times New Roman" w:cs="Times New Roman" w:eastAsia="Times New Roman" w:hAnsi="Times New Roman"/>
          <w:sz w:val="18"/>
          <w:szCs w:val="18"/>
          <w:color w:val="auto"/>
        </w:rPr>
        <w:t xml:space="preserve"> under the heading “Long-Term Unconditional Purchase Obligations and Commitments, Including Throughput and Take-or-Pay Agreements.”</w:t>
      </w:r>
    </w:p>
    <w:p>
      <w:pPr>
        <w:spacing w:after="0" w:line="4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8"/>
          <w:szCs w:val="18"/>
          <w:i w:val="1"/>
          <w:iCs w:val="1"/>
          <w:color w:val="auto"/>
        </w:rPr>
        <w:t xml:space="preserve">Environmental </w:t>
      </w:r>
      <w:r>
        <w:rPr>
          <w:rFonts w:ascii="Times New Roman" w:cs="Times New Roman" w:eastAsia="Times New Roman" w:hAnsi="Times New Roman"/>
          <w:sz w:val="18"/>
          <w:szCs w:val="18"/>
          <w:color w:val="auto"/>
        </w:rPr>
        <w:t>Information related to environmental matters is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Note 12 Other Contingencies and Commitments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heading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w:t>
      </w:r>
    </w:p>
    <w:p>
      <w:pPr>
        <w:spacing w:after="0" w:line="2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8"/>
          <w:szCs w:val="18"/>
          <w:i w:val="1"/>
          <w:iCs w:val="1"/>
          <w:color w:val="auto"/>
        </w:rPr>
        <w:t xml:space="preserve">Acquisition and Disposition of Assets </w:t>
      </w:r>
      <w:r>
        <w:rPr>
          <w:rFonts w:ascii="Times New Roman" w:cs="Times New Roman" w:eastAsia="Times New Roman" w:hAnsi="Times New Roman"/>
          <w:sz w:val="18"/>
          <w:szCs w:val="18"/>
          <w:color w:val="auto"/>
        </w:rPr>
        <w:t>Information related to the company’s acquisition and disposition of assets is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Note 12 Other Contingencies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and Commitments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under the headings “Decommissioning Obligations for Previously Divested Assets” and “Other Contingencies.”</w:t>
      </w:r>
    </w:p>
    <w:p>
      <w:pPr>
        <w:spacing w:after="0" w:line="2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8"/>
          <w:szCs w:val="18"/>
          <w:i w:val="1"/>
          <w:iCs w:val="1"/>
          <w:color w:val="auto"/>
        </w:rPr>
        <w:t xml:space="preserve">Other Contingencies </w:t>
      </w:r>
      <w:r>
        <w:rPr>
          <w:rFonts w:ascii="Times New Roman" w:cs="Times New Roman" w:eastAsia="Times New Roman" w:hAnsi="Times New Roman"/>
          <w:sz w:val="18"/>
          <w:szCs w:val="18"/>
          <w:color w:val="auto"/>
        </w:rPr>
        <w:t>Information related to the company’s other contingencies is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Note 12 Other Contingencies and Commitments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heading “Other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Chevron is exposed to market risks described in Management’s Discussion and Analysis of Financial Condition and Results of Operations - Financial and Derivative Instrument Market Risk in Chevron’s 2025 Annual Report on Form 10-K. Information about volatility in commodity prices associated with the ongoing conflict in the Middle East and its impact is discussed in </w:t>
      </w:r>
      <w:r>
        <w:rPr>
          <w:rFonts w:ascii="Times New Roman" w:cs="Times New Roman" w:eastAsia="Times New Roman" w:hAnsi="Times New Roman"/>
          <w:sz w:val="18"/>
          <w:szCs w:val="18"/>
          <w:u w:val="single" w:color="auto"/>
          <w:color w:val="0000FF"/>
        </w:rPr>
        <w:t>Note 14. Financial and Derivative Instruments</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Evaluation of disclosure controls and procedures</w:t>
      </w:r>
    </w:p>
    <w:p>
      <w:pPr>
        <w:spacing w:after="0" w:line="1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company’s management has evaluated, with the participation of the Chief Executive Officer and Chief Financial Officer, the effectiveness of the company’s disclosure controls and procedures (as defined in Rules 13a-15(e) and 15d-15(e) under the Securities Exchange Act of 1934, as amended) as of the end of the period covered by this report. Based on this evaluation, the Chief Executive Officer and Chief Financial Officer concluded that the company’s disclosure controls and procedures were effective as of September 30, 2026.</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Changes in internal control over financial reporting</w:t>
      </w:r>
    </w:p>
    <w:p>
      <w:pPr>
        <w:spacing w:after="0" w:line="104"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During the quarter ended September 30, 2026,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Item 103 of Regulation S-K promulgated by the U.S. Securities and Exchange Commission (SEC) requires disclosure of certain legal proceedings that involve governmental authorities as a party and that the company reasonably believes would result in $1.0 million or more of monetary sanctions, exclusive of interest and costs, under federal, state and local laws that have been enacted or adopted regulating the discharge of materials into the environment or primarily for the purpose of protecting the environment. The following proceedings include those matters relating to third quarter 2026 and any material developments with respect to matters previously reported in Chevron’s 2025 Annual Report on Form 10-K.</w:t>
      </w:r>
    </w:p>
    <w:p>
      <w:pPr>
        <w:spacing w:after="0" w:line="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previously disclosed, in February 2025, the United States Department of Justice notified Hess of alleged Clean Water Act violations relating to Hess’s National Pollutant Discharge Elimination System permit covering operations in Hess facilities in the Gulf of America. Resolution of the alleged violations resulted in the payment of a civil penalty of $2,100,000 in October 2026.</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2021, the United States Environmental Protection Agency conducted Clean Air Act compliance inspections at Chevron’s refinery in Pascagoula, Mississippi and issued an inspection report. The United States Department of Justice, the Mississippi Department of Environmental Quality and Chevron have been engaged in discussions relating to the inspection conclusions and allegations of noncompliance with certain Clean Air Act regulations, including the Benzene Waste Operations National Emission Standards for Hazardous Air Pollutants, as well as compliance under the 2005 New Source Review (NSR) Consent Decree. Chevron has not yet received a civil penalty demand or a demand for stipulated penalties under the NSR Consent Decree. Although Chevron cannot predict the ultimate outcome of this matter, resolution of the alleged violations may result in the payment of civil and/or stipulated penalties of $1.0 million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see information related to other legal proceedings in </w:t>
      </w:r>
      <w:r>
        <w:rPr>
          <w:rFonts w:ascii="Times New Roman" w:cs="Times New Roman" w:eastAsia="Times New Roman" w:hAnsi="Times New Roman"/>
          <w:sz w:val="18"/>
          <w:szCs w:val="18"/>
          <w:u w:val="single" w:color="auto"/>
          <w:color w:val="0000FF"/>
        </w:rPr>
        <w:t>Note 11 Litigation</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Some inherent risks could materially impact the company’s results of operations or financial condition. Information about risk factors for the nine months ended September 30, 2026, does not differ materially from that set forth under the heading “Risk Factors” on pages 21 through 27 of the company’s 2025 Annual Report on Form 10-K, other than as reflected in the risk factor below.</w:t>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Delays in, or the failure to complete, the transaction with Hess Midstream LP could prevent the company from realizing all or part of the anticipated benefits of the transaction. </w:t>
      </w:r>
      <w:r>
        <w:rPr>
          <w:rFonts w:ascii="Times New Roman" w:cs="Times New Roman" w:eastAsia="Times New Roman" w:hAnsi="Times New Roman"/>
          <w:sz w:val="18"/>
          <w:szCs w:val="18"/>
          <w:color w:val="auto"/>
        </w:rPr>
        <w:t>On October 6, 2026, the company entered into agreements with Hess Midstream LP (Hess Midstream) to transfer its ownership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interests in Hess Midstream and contribute DJ Basin crude midstream assets to Hess Midstream, in exchange for the restructuring and amendment of certain long-term commercial arrangements. This transaction is subject to customary closing conditions and regulatory approvals and is expected to close by year-end 2026. Any delay in closing, or failure to close, could prevent the company from realizing some or all of the anticipated benefits on the projected timeline, or at all, including the expected reduction of approximately 50 percent in Bakken unit midstream costs, as well as improved earnings and return on capital employed.</w:t>
      </w:r>
    </w:p>
    <w:p>
      <w:pPr>
        <w:spacing w:after="0" w:line="12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CHEVRON CORPORATION</w:t>
      </w:r>
    </w:p>
    <w:p>
      <w:pPr>
        <w:spacing w:after="0" w:line="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02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8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020" w:type="dxa"/>
            <w:vAlign w:val="bottom"/>
          </w:tcPr>
          <w:p>
            <w:pPr>
              <w:jc w:val="center"/>
              <w:ind w:right="2"/>
              <w:spacing w:after="0" w:line="146" w:lineRule="exact"/>
              <w:rPr>
                <w:sz w:val="20"/>
                <w:szCs w:val="20"/>
                <w:color w:val="auto"/>
              </w:rPr>
            </w:pPr>
            <w:r>
              <w:rPr>
                <w:rFonts w:ascii="Times New Roman" w:cs="Times New Roman" w:eastAsia="Times New Roman" w:hAnsi="Times New Roman"/>
                <w:sz w:val="14"/>
                <w:szCs w:val="14"/>
                <w:b w:val="1"/>
                <w:bCs w:val="1"/>
                <w:color w:val="auto"/>
              </w:rPr>
              <w:t>Dollar Value of Shares</w:t>
            </w:r>
          </w:p>
        </w:tc>
        <w:tc>
          <w:tcPr>
            <w:tcW w:w="0" w:type="dxa"/>
            <w:vAlign w:val="bottom"/>
          </w:tcPr>
          <w:p>
            <w:pPr>
              <w:spacing w:after="0"/>
              <w:rPr>
                <w:sz w:val="1"/>
                <w:szCs w:val="1"/>
                <w:color w:val="auto"/>
              </w:rPr>
            </w:pPr>
          </w:p>
        </w:tc>
      </w:tr>
      <w:tr>
        <w:trPr>
          <w:trHeight w:val="137"/>
        </w:trPr>
        <w:tc>
          <w:tcPr>
            <w:tcW w:w="3360" w:type="dxa"/>
            <w:vAlign w:val="bottom"/>
          </w:tcPr>
          <w:p>
            <w:pPr>
              <w:spacing w:after="0"/>
              <w:rPr>
                <w:sz w:val="11"/>
                <w:szCs w:val="11"/>
                <w:color w:val="auto"/>
              </w:rPr>
            </w:pPr>
          </w:p>
        </w:tc>
        <w:tc>
          <w:tcPr>
            <w:tcW w:w="2240" w:type="dxa"/>
            <w:vAlign w:val="bottom"/>
            <w:vMerge w:val="restart"/>
          </w:tcPr>
          <w:p>
            <w:pPr>
              <w:jc w:val="center"/>
              <w:ind w:left="17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34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80" w:type="dxa"/>
            <w:vAlign w:val="bottom"/>
            <w:vMerge w:val="continue"/>
          </w:tcPr>
          <w:p>
            <w:pPr>
              <w:spacing w:after="0"/>
              <w:rPr>
                <w:sz w:val="11"/>
                <w:szCs w:val="11"/>
                <w:color w:val="auto"/>
              </w:rPr>
            </w:pPr>
          </w:p>
        </w:tc>
        <w:tc>
          <w:tcPr>
            <w:tcW w:w="2020" w:type="dxa"/>
            <w:vAlign w:val="bottom"/>
          </w:tcPr>
          <w:p>
            <w:pPr>
              <w:jc w:val="center"/>
              <w:ind w:right="22"/>
              <w:spacing w:after="0" w:line="137"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2280" w:type="dxa"/>
            <w:vAlign w:val="bottom"/>
          </w:tcPr>
          <w:p>
            <w:pPr>
              <w:jc w:val="center"/>
              <w:ind w:right="59"/>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020" w:type="dxa"/>
            <w:vAlign w:val="bottom"/>
          </w:tcPr>
          <w:p>
            <w:pPr>
              <w:jc w:val="center"/>
              <w:ind w:right="2"/>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8"/>
        </w:trPr>
        <w:tc>
          <w:tcPr>
            <w:tcW w:w="336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40" w:type="dxa"/>
            <w:vAlign w:val="bottom"/>
          </w:tcPr>
          <w:p>
            <w:pPr>
              <w:jc w:val="center"/>
              <w:ind w:left="198"/>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34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2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0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9"/>
              </w:rPr>
              <w:t xml:space="preserve">the 2023 Program </w:t>
            </w:r>
            <w:r>
              <w:rPr>
                <w:rFonts w:ascii="Times New Roman" w:cs="Times New Roman" w:eastAsia="Times New Roman" w:hAnsi="Times New Roman"/>
                <w:sz w:val="17"/>
                <w:szCs w:val="17"/>
                <w:b w:val="1"/>
                <w:bCs w:val="1"/>
                <w:color w:val="auto"/>
                <w:w w:val="99"/>
                <w:vertAlign w:val="superscript"/>
              </w:rPr>
              <w:t>(2)</w:t>
            </w:r>
          </w:p>
        </w:tc>
        <w:tc>
          <w:tcPr>
            <w:tcW w:w="0" w:type="dxa"/>
            <w:vAlign w:val="bottom"/>
          </w:tcPr>
          <w:p>
            <w:pPr>
              <w:spacing w:after="0"/>
              <w:rPr>
                <w:sz w:val="1"/>
                <w:szCs w:val="1"/>
                <w:color w:val="auto"/>
              </w:rPr>
            </w:pPr>
          </w:p>
        </w:tc>
      </w:tr>
      <w:tr>
        <w:trPr>
          <w:trHeight w:val="203"/>
        </w:trPr>
        <w:tc>
          <w:tcPr>
            <w:tcW w:w="3360" w:type="dxa"/>
            <w:vAlign w:val="bottom"/>
            <w:tcBorders>
              <w:bottom w:val="single" w:sz="8" w:color="0077C0"/>
            </w:tcBorders>
            <w:vMerge w:val="continue"/>
          </w:tcPr>
          <w:p>
            <w:pPr>
              <w:spacing w:after="0"/>
              <w:rPr>
                <w:sz w:val="17"/>
                <w:szCs w:val="17"/>
                <w:color w:val="auto"/>
              </w:rPr>
            </w:pPr>
          </w:p>
        </w:tc>
        <w:tc>
          <w:tcPr>
            <w:tcW w:w="2240" w:type="dxa"/>
            <w:vAlign w:val="bottom"/>
            <w:tcBorders>
              <w:bottom w:val="single" w:sz="8" w:color="0077C0"/>
            </w:tcBorders>
          </w:tcPr>
          <w:p>
            <w:pPr>
              <w:jc w:val="center"/>
              <w:ind w:left="198"/>
              <w:spacing w:after="0" w:line="202" w:lineRule="exact"/>
              <w:rPr>
                <w:sz w:val="20"/>
                <w:szCs w:val="20"/>
                <w:color w:val="auto"/>
              </w:rPr>
            </w:pPr>
            <w:r>
              <w:rPr>
                <w:rFonts w:ascii="Times New Roman" w:cs="Times New Roman" w:eastAsia="Times New Roman" w:hAnsi="Times New Roman"/>
                <w:sz w:val="14"/>
                <w:szCs w:val="14"/>
                <w:b w:val="1"/>
                <w:bCs w:val="1"/>
                <w:color w:val="auto"/>
                <w:w w:val="93"/>
              </w:rPr>
              <w:t xml:space="preserve">Purchased </w:t>
            </w:r>
            <w:r>
              <w:rPr>
                <w:rFonts w:ascii="Times New Roman" w:cs="Times New Roman" w:eastAsia="Times New Roman" w:hAnsi="Times New Roman"/>
                <w:sz w:val="18"/>
                <w:szCs w:val="18"/>
                <w:b w:val="1"/>
                <w:bCs w:val="1"/>
                <w:color w:val="auto"/>
                <w:w w:val="93"/>
                <w:vertAlign w:val="superscript"/>
              </w:rPr>
              <w:t>(1,2)</w:t>
            </w:r>
          </w:p>
        </w:tc>
        <w:tc>
          <w:tcPr>
            <w:tcW w:w="1340" w:type="dxa"/>
            <w:vAlign w:val="bottom"/>
            <w:tcBorders>
              <w:bottom w:val="single" w:sz="8" w:color="0077C0"/>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80" w:type="dxa"/>
            <w:vAlign w:val="bottom"/>
            <w:tcBorders>
              <w:bottom w:val="single" w:sz="8" w:color="0077C0"/>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Announced Program</w:t>
            </w:r>
          </w:p>
        </w:tc>
        <w:tc>
          <w:tcPr>
            <w:tcW w:w="2020" w:type="dxa"/>
            <w:vAlign w:val="bottom"/>
            <w:tcBorders>
              <w:bottom w:val="single" w:sz="8" w:color="0077C0"/>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(Billions of dollars)</w:t>
            </w:r>
          </w:p>
        </w:tc>
        <w:tc>
          <w:tcPr>
            <w:tcW w:w="0" w:type="dxa"/>
            <w:vAlign w:val="bottom"/>
          </w:tcPr>
          <w:p>
            <w:pPr>
              <w:spacing w:after="0"/>
              <w:rPr>
                <w:sz w:val="1"/>
                <w:szCs w:val="1"/>
                <w:color w:val="auto"/>
              </w:rPr>
            </w:pPr>
          </w:p>
        </w:tc>
      </w:tr>
      <w:tr>
        <w:trPr>
          <w:trHeight w:val="23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July 31, 2026</w:t>
            </w:r>
          </w:p>
        </w:tc>
        <w:tc>
          <w:tcPr>
            <w:tcW w:w="224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4,872,157</w:t>
            </w:r>
          </w:p>
        </w:tc>
        <w:tc>
          <w:tcPr>
            <w:tcW w:w="1340" w:type="dxa"/>
            <w:vAlign w:val="bottom"/>
            <w:shd w:val="clear" w:color="auto" w:fill="CCEEFF"/>
          </w:tcPr>
          <w:p>
            <w:pPr>
              <w:jc w:val="center"/>
              <w:ind w:right="38"/>
              <w:spacing w:after="0"/>
              <w:rPr>
                <w:sz w:val="20"/>
                <w:szCs w:val="20"/>
                <w:color w:val="auto"/>
              </w:rPr>
            </w:pPr>
            <w:r>
              <w:rPr>
                <w:rFonts w:ascii="Times New Roman" w:cs="Times New Roman" w:eastAsia="Times New Roman" w:hAnsi="Times New Roman"/>
                <w:sz w:val="18"/>
                <w:szCs w:val="18"/>
                <w:color w:val="auto"/>
                <w:w w:val="99"/>
              </w:rPr>
              <w:t>$180.07</w:t>
            </w:r>
          </w:p>
        </w:tc>
        <w:tc>
          <w:tcPr>
            <w:tcW w:w="22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4,864,800</w:t>
            </w:r>
          </w:p>
        </w:tc>
        <w:tc>
          <w:tcPr>
            <w:tcW w:w="2020" w:type="dxa"/>
            <w:vAlign w:val="bottom"/>
            <w:shd w:val="clear" w:color="auto" w:fill="CCEEFF"/>
          </w:tcPr>
          <w:p>
            <w:pPr>
              <w:jc w:val="center"/>
              <w:ind w:right="22"/>
              <w:spacing w:after="0"/>
              <w:rPr>
                <w:sz w:val="20"/>
                <w:szCs w:val="20"/>
                <w:color w:val="auto"/>
              </w:rPr>
            </w:pPr>
            <w:r>
              <w:rPr>
                <w:rFonts w:ascii="Times New Roman" w:cs="Times New Roman" w:eastAsia="Times New Roman" w:hAnsi="Times New Roman"/>
                <w:sz w:val="18"/>
                <w:szCs w:val="18"/>
                <w:color w:val="auto"/>
                <w:w w:val="98"/>
              </w:rPr>
              <w:t>$30.2</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 August 31, 2026</w:t>
            </w:r>
          </w:p>
        </w:tc>
        <w:tc>
          <w:tcPr>
            <w:tcW w:w="224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3,355,101</w:t>
            </w:r>
          </w:p>
        </w:tc>
        <w:tc>
          <w:tcPr>
            <w:tcW w:w="1340" w:type="dxa"/>
            <w:vAlign w:val="bottom"/>
          </w:tcPr>
          <w:p>
            <w:pPr>
              <w:jc w:val="center"/>
              <w:ind w:right="38"/>
              <w:spacing w:after="0"/>
              <w:rPr>
                <w:sz w:val="20"/>
                <w:szCs w:val="20"/>
                <w:color w:val="auto"/>
              </w:rPr>
            </w:pPr>
            <w:r>
              <w:rPr>
                <w:rFonts w:ascii="Times New Roman" w:cs="Times New Roman" w:eastAsia="Times New Roman" w:hAnsi="Times New Roman"/>
                <w:sz w:val="18"/>
                <w:szCs w:val="18"/>
                <w:color w:val="auto"/>
                <w:w w:val="99"/>
              </w:rPr>
              <w:t>$196.69</w:t>
            </w:r>
          </w:p>
        </w:tc>
        <w:tc>
          <w:tcPr>
            <w:tcW w:w="228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3,353,700</w:t>
            </w:r>
          </w:p>
        </w:tc>
        <w:tc>
          <w:tcPr>
            <w:tcW w:w="2020" w:type="dxa"/>
            <w:vAlign w:val="bottom"/>
          </w:tcPr>
          <w:p>
            <w:pPr>
              <w:jc w:val="center"/>
              <w:ind w:right="22"/>
              <w:spacing w:after="0"/>
              <w:rPr>
                <w:sz w:val="20"/>
                <w:szCs w:val="20"/>
                <w:color w:val="auto"/>
              </w:rPr>
            </w:pPr>
            <w:r>
              <w:rPr>
                <w:rFonts w:ascii="Times New Roman" w:cs="Times New Roman" w:eastAsia="Times New Roman" w:hAnsi="Times New Roman"/>
                <w:sz w:val="18"/>
                <w:szCs w:val="18"/>
                <w:color w:val="auto"/>
                <w:w w:val="98"/>
              </w:rPr>
              <w:t>$29.5</w:t>
            </w:r>
          </w:p>
        </w:tc>
        <w:tc>
          <w:tcPr>
            <w:tcW w:w="0" w:type="dxa"/>
            <w:vAlign w:val="bottom"/>
          </w:tcPr>
          <w:p>
            <w:pPr>
              <w:spacing w:after="0"/>
              <w:rPr>
                <w:sz w:val="1"/>
                <w:szCs w:val="1"/>
                <w:color w:val="auto"/>
              </w:rPr>
            </w:pPr>
          </w:p>
        </w:tc>
      </w:tr>
      <w:tr>
        <w:trPr>
          <w:trHeight w:val="243"/>
        </w:trPr>
        <w:tc>
          <w:tcPr>
            <w:tcW w:w="3360" w:type="dxa"/>
            <w:vAlign w:val="bottom"/>
            <w:tcBorders>
              <w:bottom w:val="single" w:sz="8" w:color="0077C0"/>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September 30, 2026</w:t>
            </w:r>
          </w:p>
        </w:tc>
        <w:tc>
          <w:tcPr>
            <w:tcW w:w="2240" w:type="dxa"/>
            <w:vAlign w:val="bottom"/>
            <w:tcBorders>
              <w:bottom w:val="single" w:sz="8" w:color="0077C0"/>
            </w:tcBorders>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4,646,903</w:t>
            </w:r>
          </w:p>
        </w:tc>
        <w:tc>
          <w:tcPr>
            <w:tcW w:w="1340" w:type="dxa"/>
            <w:vAlign w:val="bottom"/>
            <w:tcBorders>
              <w:bottom w:val="single" w:sz="8" w:color="0077C0"/>
            </w:tcBorders>
            <w:shd w:val="clear" w:color="auto" w:fill="CCEEFF"/>
          </w:tcPr>
          <w:p>
            <w:pPr>
              <w:jc w:val="center"/>
              <w:ind w:right="38"/>
              <w:spacing w:after="0"/>
              <w:rPr>
                <w:sz w:val="20"/>
                <w:szCs w:val="20"/>
                <w:color w:val="auto"/>
              </w:rPr>
            </w:pPr>
            <w:r>
              <w:rPr>
                <w:rFonts w:ascii="Times New Roman" w:cs="Times New Roman" w:eastAsia="Times New Roman" w:hAnsi="Times New Roman"/>
                <w:sz w:val="18"/>
                <w:szCs w:val="18"/>
                <w:color w:val="auto"/>
                <w:w w:val="99"/>
              </w:rPr>
              <w:t>$207.51</w:t>
            </w:r>
          </w:p>
        </w:tc>
        <w:tc>
          <w:tcPr>
            <w:tcW w:w="2280" w:type="dxa"/>
            <w:vAlign w:val="bottom"/>
            <w:tcBorders>
              <w:bottom w:val="single" w:sz="8" w:color="0077C0"/>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4,646,859</w:t>
            </w:r>
          </w:p>
        </w:tc>
        <w:tc>
          <w:tcPr>
            <w:tcW w:w="2020" w:type="dxa"/>
            <w:vAlign w:val="bottom"/>
            <w:tcBorders>
              <w:bottom w:val="single" w:sz="8" w:color="0077C0"/>
            </w:tcBorders>
            <w:shd w:val="clear" w:color="auto" w:fill="CCEEFF"/>
          </w:tcPr>
          <w:p>
            <w:pPr>
              <w:jc w:val="center"/>
              <w:ind w:right="22"/>
              <w:spacing w:after="0"/>
              <w:rPr>
                <w:sz w:val="20"/>
                <w:szCs w:val="20"/>
                <w:color w:val="auto"/>
              </w:rPr>
            </w:pPr>
            <w:r>
              <w:rPr>
                <w:rFonts w:ascii="Times New Roman" w:cs="Times New Roman" w:eastAsia="Times New Roman" w:hAnsi="Times New Roman"/>
                <w:sz w:val="18"/>
                <w:szCs w:val="18"/>
                <w:color w:val="auto"/>
                <w:w w:val="98"/>
              </w:rPr>
              <w:t>$28.5</w:t>
            </w:r>
          </w:p>
        </w:tc>
        <w:tc>
          <w:tcPr>
            <w:tcW w:w="0" w:type="dxa"/>
            <w:vAlign w:val="bottom"/>
          </w:tcPr>
          <w:p>
            <w:pPr>
              <w:spacing w:after="0"/>
              <w:rPr>
                <w:sz w:val="1"/>
                <w:szCs w:val="1"/>
                <w:color w:val="auto"/>
              </w:rPr>
            </w:pPr>
          </w:p>
        </w:tc>
      </w:tr>
      <w:tr>
        <w:trPr>
          <w:trHeight w:val="237"/>
        </w:trPr>
        <w:tc>
          <w:tcPr>
            <w:tcW w:w="33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40" w:type="dxa"/>
            <w:vAlign w:val="bottom"/>
            <w:tcBorders>
              <w:bottom w:val="single" w:sz="8" w:color="0077C0"/>
            </w:tcBorders>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12,874,161</w:t>
            </w:r>
          </w:p>
        </w:tc>
        <w:tc>
          <w:tcPr>
            <w:tcW w:w="1340" w:type="dxa"/>
            <w:vAlign w:val="bottom"/>
            <w:tcBorders>
              <w:bottom w:val="single" w:sz="8" w:color="0077C0"/>
            </w:tcBorders>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$194.31</w:t>
            </w:r>
          </w:p>
        </w:tc>
        <w:tc>
          <w:tcPr>
            <w:tcW w:w="2280" w:type="dxa"/>
            <w:vAlign w:val="bottom"/>
            <w:tcBorders>
              <w:bottom w:val="single" w:sz="8" w:color="0077C0"/>
            </w:tcBorders>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12,865,359</w:t>
            </w:r>
          </w:p>
        </w:tc>
        <w:tc>
          <w:tcPr>
            <w:tcW w:w="2020" w:type="dxa"/>
            <w:vAlign w:val="bottom"/>
            <w:tcBorders>
              <w:bottom w:val="single" w:sz="8" w:color="0077C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2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common shares repurchased from participants in the company’s executive compensation plans for personal income tax withholdings.</w:t>
      </w:r>
    </w:p>
    <w:p>
      <w:pPr>
        <w:spacing w:after="0" w:line="7" w:lineRule="exact"/>
        <w:rPr>
          <w:rFonts w:ascii="Times New Roman" w:cs="Times New Roman" w:eastAsia="Times New Roman" w:hAnsi="Times New Roman"/>
          <w:sz w:val="16"/>
          <w:szCs w:val="16"/>
          <w:color w:val="auto"/>
          <w:vertAlign w:val="superscript"/>
        </w:rPr>
      </w:pPr>
    </w:p>
    <w:p>
      <w:pPr>
        <w:ind w:left="140" w:hanging="132"/>
        <w:spacing w:after="0" w:line="224" w:lineRule="auto"/>
        <w:tabs>
          <w:tab w:leader="none" w:pos="140" w:val="left"/>
        </w:tabs>
        <w:numPr>
          <w:ilvl w:val="0"/>
          <w:numId w:val="2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 xml:space="preserve">Refer to </w:t>
      </w:r>
      <w:r>
        <w:rPr>
          <w:rFonts w:ascii="Times New Roman" w:cs="Times New Roman" w:eastAsia="Times New Roman" w:hAnsi="Times New Roman"/>
          <w:sz w:val="12"/>
          <w:szCs w:val="12"/>
          <w:u w:val="single" w:color="auto"/>
          <w:color w:val="0000FF"/>
        </w:rPr>
        <w:t>“Liquidity and Capital Resources”</w:t>
      </w:r>
      <w:r>
        <w:rPr>
          <w:rFonts w:ascii="Times New Roman" w:cs="Times New Roman" w:eastAsia="Times New Roman" w:hAnsi="Times New Roman"/>
          <w:sz w:val="12"/>
          <w:szCs w:val="12"/>
          <w:color w:val="auto"/>
        </w:rPr>
        <w:t xml:space="preserve"> for additional information regarding the company’s authorized stock repurchase program.</w:t>
      </w:r>
    </w:p>
    <w:p>
      <w:pPr>
        <w:spacing w:after="0" w:line="200" w:lineRule="exact"/>
        <w:rPr>
          <w:sz w:val="20"/>
          <w:szCs w:val="20"/>
          <w:color w:val="auto"/>
        </w:rPr>
      </w:pPr>
    </w:p>
    <w:p>
      <w:pPr>
        <w:spacing w:after="0" w:line="27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Plan Elections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Michael K. Wirth, Chairman of the Board and Chief Executive Officer, entered into a pre-arranged stock trading plan on August 20, 2026. Mr. Wirth’s plan provides for the potential exercise of vested stock options and the associated sale of up to 147,376 shares of Chevron common stock between November 19, 2026 and August 31, 2027.</w:t>
      </w:r>
    </w:p>
    <w:p>
      <w:pPr>
        <w:spacing w:after="0" w:line="8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trading plan was entered into during an open insider trading window and is intended to satisfy the affirmative defense of Rule 10b5-1(c) under the Securities Exchange Act of 1934, as amended, and Chevron’s policies regarding transactions in Chevron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0" w:type="dxa"/>
            <w:vAlign w:val="bottom"/>
          </w:tcPr>
          <w:p>
            <w:pPr>
              <w:spacing w:after="0"/>
              <w:rPr>
                <w:sz w:val="1"/>
                <w:szCs w:val="1"/>
                <w:color w:val="auto"/>
              </w:rPr>
            </w:pPr>
          </w:p>
        </w:tc>
      </w:tr>
      <w:tr>
        <w:trPr>
          <w:trHeight w:val="419"/>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60" w:type="dxa"/>
            <w:vAlign w:val="bottom"/>
          </w:tcPr>
          <w:p>
            <w:pPr>
              <w:ind w:left="35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48"/>
        </w:trPr>
        <w:tc>
          <w:tcPr>
            <w:tcW w:w="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60" w:type="dxa"/>
            <w:vAlign w:val="bottom"/>
            <w:vMerge w:val="restart"/>
          </w:tcPr>
          <w:p>
            <w:pPr>
              <w:ind w:left="4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7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tcBorders>
              <w:bottom w:val="single" w:sz="8" w:color="0077C0"/>
            </w:tcBorders>
          </w:tcPr>
          <w:p>
            <w:pPr>
              <w:spacing w:after="0"/>
              <w:rPr>
                <w:sz w:val="17"/>
                <w:szCs w:val="17"/>
                <w:color w:val="auto"/>
              </w:rPr>
            </w:pPr>
          </w:p>
        </w:tc>
        <w:tc>
          <w:tcPr>
            <w:tcW w:w="120" w:type="dxa"/>
            <w:vAlign w:val="bottom"/>
          </w:tcPr>
          <w:p>
            <w:pPr>
              <w:spacing w:after="0"/>
              <w:rPr>
                <w:sz w:val="17"/>
                <w:szCs w:val="17"/>
                <w:color w:val="auto"/>
              </w:rPr>
            </w:pPr>
          </w:p>
        </w:tc>
        <w:tc>
          <w:tcPr>
            <w:tcW w:w="9660" w:type="dxa"/>
            <w:vAlign w:val="bottom"/>
            <w:tcBorders>
              <w:bottom w:val="single" w:sz="8" w:color="0077C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Rule 13a-14(a)/15d-14(a) Certification by the company’s Chief Executive Officer</w:t>
            </w:r>
          </w:p>
        </w:tc>
        <w:tc>
          <w:tcPr>
            <w:tcW w:w="0" w:type="dxa"/>
            <w:vAlign w:val="bottom"/>
          </w:tcPr>
          <w:p>
            <w:pPr>
              <w:spacing w:after="0"/>
              <w:rPr>
                <w:sz w:val="1"/>
                <w:szCs w:val="1"/>
                <w:color w:val="auto"/>
              </w:rPr>
            </w:pPr>
          </w:p>
        </w:tc>
      </w:tr>
      <w:tr>
        <w:trPr>
          <w:trHeight w:val="243"/>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Rule 13a-14(a)/15d-14(a) Certification by the company’s Chief Financial Officer</w:t>
            </w:r>
          </w:p>
        </w:tc>
        <w:tc>
          <w:tcPr>
            <w:tcW w:w="0" w:type="dxa"/>
            <w:vAlign w:val="bottom"/>
          </w:tcPr>
          <w:p>
            <w:pPr>
              <w:spacing w:after="0"/>
              <w:rPr>
                <w:sz w:val="1"/>
                <w:szCs w:val="1"/>
                <w:color w:val="auto"/>
              </w:rPr>
            </w:pPr>
          </w:p>
        </w:tc>
      </w:tr>
      <w:tr>
        <w:trPr>
          <w:trHeight w:val="243"/>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Rule 13a-14(b)/15d-14(b) Certification by the company’s Chief Executive Officer</w:t>
            </w:r>
          </w:p>
        </w:tc>
        <w:tc>
          <w:tcPr>
            <w:tcW w:w="0" w:type="dxa"/>
            <w:vAlign w:val="bottom"/>
          </w:tcPr>
          <w:p>
            <w:pPr>
              <w:spacing w:after="0"/>
              <w:rPr>
                <w:sz w:val="1"/>
                <w:szCs w:val="1"/>
                <w:color w:val="auto"/>
              </w:rPr>
            </w:pPr>
          </w:p>
        </w:tc>
      </w:tr>
      <w:tr>
        <w:trPr>
          <w:trHeight w:val="243"/>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Rule 13a-14(b)/15d-14(b) Certification by the company’s Chief Financial Officer</w:t>
            </w:r>
          </w:p>
        </w:tc>
        <w:tc>
          <w:tcPr>
            <w:tcW w:w="0" w:type="dxa"/>
            <w:vAlign w:val="bottom"/>
          </w:tcPr>
          <w:p>
            <w:pPr>
              <w:spacing w:after="0"/>
              <w:rPr>
                <w:sz w:val="1"/>
                <w:szCs w:val="1"/>
                <w:color w:val="auto"/>
              </w:rPr>
            </w:pPr>
          </w:p>
        </w:tc>
      </w:tr>
      <w:tr>
        <w:trPr>
          <w:trHeight w:val="243"/>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Interactive data files (formatted as Inline XBRL)</w:t>
            </w:r>
          </w:p>
        </w:tc>
        <w:tc>
          <w:tcPr>
            <w:tcW w:w="0" w:type="dxa"/>
            <w:vAlign w:val="bottom"/>
          </w:tcPr>
          <w:p>
            <w:pPr>
              <w:spacing w:after="0"/>
              <w:rPr>
                <w:sz w:val="1"/>
                <w:szCs w:val="1"/>
                <w:color w:val="auto"/>
              </w:rPr>
            </w:pPr>
          </w:p>
        </w:tc>
      </w:tr>
      <w:tr>
        <w:trPr>
          <w:trHeight w:val="243"/>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(contained in Exhibit 101)</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5"/>
          <w:szCs w:val="5"/>
          <w:color w:val="auto"/>
        </w:rPr>
        <w:t>____________________________________________</w:t>
      </w:r>
    </w:p>
    <w:p>
      <w:pPr>
        <w:spacing w:after="0" w:line="55"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27"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2" w:lineRule="exact"/>
        <w:rPr>
          <w:sz w:val="20"/>
          <w:szCs w:val="20"/>
          <w:color w:val="auto"/>
        </w:rPr>
      </w:pPr>
    </w:p>
    <w:p>
      <w:pPr>
        <w:jc w:val="center"/>
        <w:ind w:left="386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HEVRON</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pacing w:after="0" w:line="2" w:lineRule="exact"/>
        <w:rPr>
          <w:sz w:val="20"/>
          <w:szCs w:val="20"/>
          <w:color w:val="auto"/>
        </w:rPr>
      </w:pPr>
    </w:p>
    <w:p>
      <w:pPr>
        <w:jc w:val="center"/>
        <w:ind w:left="386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EGISTRANT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3"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Amit R. Ghai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26035</wp:posOffset>
            </wp:positionV>
            <wp:extent cx="46716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671695" cy="8890"/>
                    </a:xfrm>
                    <a:prstGeom prst="rect">
                      <a:avLst/>
                    </a:prstGeom>
                    <a:noFill/>
                  </pic:spPr>
                </pic:pic>
              </a:graphicData>
            </a:graphic>
          </wp:anchor>
        </w:drawing>
      </w:r>
    </w:p>
    <w:p>
      <w:pPr>
        <w:spacing w:after="0" w:line="32"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Amit R. Ghai, Controller</w:t>
      </w:r>
    </w:p>
    <w:p>
      <w:pPr>
        <w:jc w:val="center"/>
        <w:ind w:left="3860"/>
        <w:spacing w:after="0" w:line="219" w:lineRule="auto"/>
        <w:rPr>
          <w:sz w:val="20"/>
          <w:szCs w:val="20"/>
          <w:color w:val="auto"/>
        </w:rPr>
      </w:pPr>
      <w:r>
        <w:rPr>
          <w:rFonts w:ascii="Times New Roman" w:cs="Times New Roman" w:eastAsia="Times New Roman" w:hAnsi="Times New Roman"/>
          <w:sz w:val="18"/>
          <w:szCs w:val="18"/>
          <w:i w:val="1"/>
          <w:iCs w:val="1"/>
          <w:color w:val="auto"/>
        </w:rPr>
        <w:t>(Principal Accounting Officer and</w:t>
      </w:r>
    </w:p>
    <w:p>
      <w:pPr>
        <w:jc w:val="center"/>
        <w:ind w:left="3860"/>
        <w:spacing w:after="0"/>
        <w:rPr>
          <w:sz w:val="20"/>
          <w:szCs w:val="20"/>
          <w:color w:val="auto"/>
        </w:rPr>
      </w:pPr>
      <w:r>
        <w:rPr>
          <w:rFonts w:ascii="Times New Roman" w:cs="Times New Roman" w:eastAsia="Times New Roman" w:hAnsi="Times New Roman"/>
          <w:sz w:val="18"/>
          <w:szCs w:val="18"/>
          <w:i w:val="1"/>
          <w:iCs w:val="1"/>
          <w:color w:val="auto"/>
        </w:rPr>
        <w:t>Duly Authorized Officer)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340"/>
          </w:cols>
          <w:pgMar w:left="320" w:top="121" w:right="1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K. Wirth, certify that:</w:t>
      </w:r>
    </w:p>
    <w:p>
      <w:pPr>
        <w:spacing w:after="0" w:line="25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Chevron Corporation;</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060" w:hanging="242"/>
        <w:spacing w:after="0" w:line="266" w:lineRule="auto"/>
        <w:tabs>
          <w:tab w:leader="none" w:pos="105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060" w:hanging="242"/>
        <w:spacing w:after="0" w:line="266" w:lineRule="auto"/>
        <w:tabs>
          <w:tab w:leader="none" w:pos="105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060" w:right="20" w:hanging="242"/>
        <w:spacing w:after="0" w:line="282" w:lineRule="auto"/>
        <w:tabs>
          <w:tab w:leader="none" w:pos="105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060" w:hanging="242"/>
        <w:spacing w:after="0" w:line="266" w:lineRule="auto"/>
        <w:tabs>
          <w:tab w:leader="none" w:pos="105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060" w:hanging="242"/>
        <w:spacing w:after="0" w:line="282" w:lineRule="auto"/>
        <w:tabs>
          <w:tab w:leader="none" w:pos="105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060" w:right="20" w:hanging="242"/>
        <w:spacing w:after="0" w:line="281" w:lineRule="auto"/>
        <w:tabs>
          <w:tab w:leader="none" w:pos="105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8080"/>
        <w:spacing w:after="0"/>
        <w:tabs>
          <w:tab w:leader="none" w:pos="84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w:t>
      </w:r>
      <w:r>
        <w:rPr>
          <w:rFonts w:ascii="Times New Roman" w:cs="Times New Roman" w:eastAsia="Times New Roman" w:hAnsi="Times New Roman"/>
          <w:sz w:val="14"/>
          <w:szCs w:val="14"/>
          <w:color w:val="auto"/>
        </w:rPr>
        <w:t>ICHAEL</w:t>
      </w:r>
      <w:r>
        <w:rPr>
          <w:rFonts w:ascii="Times New Roman" w:cs="Times New Roman" w:eastAsia="Times New Roman" w:hAnsi="Times New Roman"/>
          <w:sz w:val="18"/>
          <w:szCs w:val="18"/>
          <w:color w:val="auto"/>
        </w:rPr>
        <w:t xml:space="preserve"> K. W</w:t>
      </w:r>
      <w:r>
        <w:rPr>
          <w:rFonts w:ascii="Times New Roman" w:cs="Times New Roman" w:eastAsia="Times New Roman" w:hAnsi="Times New Roman"/>
          <w:sz w:val="14"/>
          <w:szCs w:val="14"/>
          <w:color w:val="auto"/>
        </w:rPr>
        <w:t>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26035</wp:posOffset>
            </wp:positionV>
            <wp:extent cx="28975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7505" cy="8890"/>
                    </a:xfrm>
                    <a:prstGeom prst="rect">
                      <a:avLst/>
                    </a:prstGeom>
                    <a:noFill/>
                  </pic:spPr>
                </pic:pic>
              </a:graphicData>
            </a:graphic>
          </wp:anchor>
        </w:drawing>
      </w:r>
    </w:p>
    <w:p>
      <w:pPr>
        <w:spacing w:after="0" w:line="32"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8"/>
          <w:szCs w:val="18"/>
          <w:color w:val="auto"/>
        </w:rPr>
        <w:t>Michael K. Wirth</w:t>
      </w:r>
    </w:p>
    <w:p>
      <w:pPr>
        <w:jc w:val="center"/>
        <w:ind w:left="6660"/>
        <w:spacing w:after="0" w:line="203" w:lineRule="auto"/>
        <w:rPr>
          <w:sz w:val="20"/>
          <w:szCs w:val="20"/>
          <w:color w:val="auto"/>
        </w:rPr>
      </w:pPr>
      <w:r>
        <w:rPr>
          <w:rFonts w:ascii="Times New Roman" w:cs="Times New Roman" w:eastAsia="Times New Roman" w:hAnsi="Times New Roman"/>
          <w:sz w:val="18"/>
          <w:szCs w:val="18"/>
          <w:i w:val="1"/>
          <w:iCs w:val="1"/>
          <w:color w:val="auto"/>
        </w:rPr>
        <w:t>Chairman of the Board and</w:t>
      </w:r>
    </w:p>
    <w:p>
      <w:pPr>
        <w:jc w:val="center"/>
        <w:ind w:left="66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E-3</w:t>
      </w:r>
    </w:p>
    <w:p>
      <w:pPr>
        <w:sectPr>
          <w:pgSz w:w="11900" w:h="16838" w:orient="portrait"/>
          <w:cols w:equalWidth="0" w:num="1">
            <w:col w:w="11240"/>
          </w:cols>
          <w:pgMar w:left="320" w:top="765"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Eimear P. Bonner, certify that:</w:t>
      </w:r>
    </w:p>
    <w:p>
      <w:pPr>
        <w:spacing w:after="0" w:line="252" w:lineRule="exact"/>
        <w:rPr>
          <w:sz w:val="20"/>
          <w:szCs w:val="20"/>
          <w:color w:val="auto"/>
        </w:rPr>
      </w:pPr>
    </w:p>
    <w:p>
      <w:pPr>
        <w:ind w:left="660" w:hanging="409"/>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Chevron Corporation;</w:t>
      </w:r>
    </w:p>
    <w:p>
      <w:pPr>
        <w:spacing w:after="0" w:line="252" w:lineRule="exact"/>
        <w:rPr>
          <w:rFonts w:ascii="Times New Roman" w:cs="Times New Roman" w:eastAsia="Times New Roman" w:hAnsi="Times New Roman"/>
          <w:sz w:val="18"/>
          <w:szCs w:val="18"/>
          <w:color w:val="auto"/>
        </w:rPr>
      </w:pPr>
    </w:p>
    <w:p>
      <w:pPr>
        <w:jc w:val="both"/>
        <w:ind w:left="660" w:hanging="409"/>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409"/>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409"/>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060" w:hanging="242"/>
        <w:spacing w:after="0" w:line="266" w:lineRule="auto"/>
        <w:tabs>
          <w:tab w:leader="none" w:pos="105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060" w:hanging="242"/>
        <w:spacing w:after="0" w:line="266" w:lineRule="auto"/>
        <w:tabs>
          <w:tab w:leader="none" w:pos="105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060" w:right="20" w:hanging="242"/>
        <w:spacing w:after="0" w:line="282" w:lineRule="auto"/>
        <w:tabs>
          <w:tab w:leader="none" w:pos="105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060" w:hanging="242"/>
        <w:spacing w:after="0" w:line="266" w:lineRule="auto"/>
        <w:tabs>
          <w:tab w:leader="none" w:pos="105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409"/>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060" w:hanging="242"/>
        <w:spacing w:after="0" w:line="282" w:lineRule="auto"/>
        <w:tabs>
          <w:tab w:leader="none" w:pos="105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060" w:right="20" w:hanging="242"/>
        <w:spacing w:after="0" w:line="281" w:lineRule="auto"/>
        <w:tabs>
          <w:tab w:leader="none" w:pos="105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8180"/>
        <w:spacing w:after="0"/>
        <w:tabs>
          <w:tab w:leader="none" w:pos="85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EIMEAR P.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26035</wp:posOffset>
            </wp:positionV>
            <wp:extent cx="26485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2"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Eimear P. Bonner</w:t>
      </w:r>
    </w:p>
    <w:p>
      <w:pPr>
        <w:ind w:left="83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E-4</w:t>
      </w:r>
    </w:p>
    <w:p>
      <w:pPr>
        <w:sectPr>
          <w:pgSz w:w="11900" w:h="16838" w:orient="portrait"/>
          <w:cols w:equalWidth="0" w:num="1">
            <w:col w:w="11240"/>
          </w:cols>
          <w:pgMar w:left="320" w:top="765"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13a-14(b)/15d-14(b)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SECTION 1350)</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Chevron Corporation (the “Company”) for the period ended September 30, 2026, as filed with the U.S. Securities and Exchange Commission on the date hereof (the “Report”), I, Michael K. Wirth, Chairman and Chief Executive Officer of the Company, certify, pursuant to 18 U.S.C. Section 1350, as adopted pursuant to Section 906 of the Sarbanes-Oxley Act of 2002, that, to my knowledge:</w:t>
      </w:r>
    </w:p>
    <w:p>
      <w:pPr>
        <w:spacing w:after="0" w:line="203" w:lineRule="exact"/>
        <w:rPr>
          <w:sz w:val="20"/>
          <w:szCs w:val="20"/>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00" w:hanging="325"/>
        <w:spacing w:after="0" w:line="281" w:lineRule="auto"/>
        <w:tabs>
          <w:tab w:leader="none" w:pos="89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 w:lineRule="exact"/>
        <w:rPr>
          <w:sz w:val="20"/>
          <w:szCs w:val="20"/>
          <w:color w:val="auto"/>
        </w:rPr>
      </w:pPr>
    </w:p>
    <w:p>
      <w:pPr>
        <w:ind w:left="7980"/>
        <w:spacing w:after="0"/>
        <w:tabs>
          <w:tab w:leader="none" w:pos="83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w:t>
      </w:r>
      <w:r>
        <w:rPr>
          <w:rFonts w:ascii="Times New Roman" w:cs="Times New Roman" w:eastAsia="Times New Roman" w:hAnsi="Times New Roman"/>
          <w:sz w:val="14"/>
          <w:szCs w:val="14"/>
          <w:color w:val="auto"/>
        </w:rPr>
        <w:t>ICHAEL</w:t>
      </w:r>
      <w:r>
        <w:rPr>
          <w:rFonts w:ascii="Times New Roman" w:cs="Times New Roman" w:eastAsia="Times New Roman" w:hAnsi="Times New Roman"/>
          <w:sz w:val="18"/>
          <w:szCs w:val="18"/>
          <w:color w:val="auto"/>
        </w:rPr>
        <w:t xml:space="preserve"> K. W</w:t>
      </w:r>
      <w:r>
        <w:rPr>
          <w:rFonts w:ascii="Times New Roman" w:cs="Times New Roman" w:eastAsia="Times New Roman" w:hAnsi="Times New Roman"/>
          <w:sz w:val="14"/>
          <w:szCs w:val="14"/>
          <w:color w:val="auto"/>
        </w:rPr>
        <w:t>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26035</wp:posOffset>
            </wp:positionV>
            <wp:extent cx="30175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32"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8"/>
          <w:szCs w:val="18"/>
          <w:color w:val="auto"/>
        </w:rPr>
        <w:t>Michael K. Wirth</w:t>
      </w:r>
    </w:p>
    <w:p>
      <w:pPr>
        <w:jc w:val="center"/>
        <w:ind w:left="6460"/>
        <w:spacing w:after="0" w:line="203" w:lineRule="auto"/>
        <w:rPr>
          <w:sz w:val="20"/>
          <w:szCs w:val="20"/>
          <w:color w:val="auto"/>
        </w:rPr>
      </w:pPr>
      <w:r>
        <w:rPr>
          <w:rFonts w:ascii="Times New Roman" w:cs="Times New Roman" w:eastAsia="Times New Roman" w:hAnsi="Times New Roman"/>
          <w:sz w:val="18"/>
          <w:szCs w:val="18"/>
          <w:i w:val="1"/>
          <w:iCs w:val="1"/>
          <w:color w:val="auto"/>
        </w:rPr>
        <w:t>Chairman of the Board and</w:t>
      </w:r>
    </w:p>
    <w:p>
      <w:pPr>
        <w:jc w:val="center"/>
        <w:ind w:left="64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E-5</w:t>
      </w:r>
    </w:p>
    <w:p>
      <w:pPr>
        <w:sectPr>
          <w:pgSz w:w="11900" w:h="16838" w:orient="portrait"/>
          <w:cols w:equalWidth="0" w:num="1">
            <w:col w:w="11240"/>
          </w:cols>
          <w:pgMar w:left="320" w:top="1413"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13a-14(b)/15d-14(b)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SECTION 1350)</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Chevron Corporation (the “Company”) for the period ended September 30, 2026, as filed with the U.S. Securities and Exchange Commission on the date hereof (the “Report”), I, Eimear P. Bonner, Vice President and Chief Financial Officer of the Company, certify, pursuant to 18 U.S.C. Section 1350, as adopted pursuant to Section 906 of the Sarbanes-Oxley Act of 2002, that, to my knowledge:</w:t>
      </w:r>
    </w:p>
    <w:p>
      <w:pPr>
        <w:spacing w:after="0" w:line="203" w:lineRule="exact"/>
        <w:rPr>
          <w:sz w:val="20"/>
          <w:szCs w:val="20"/>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00" w:hanging="325"/>
        <w:spacing w:after="0" w:line="282" w:lineRule="auto"/>
        <w:tabs>
          <w:tab w:leader="none" w:pos="8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1" w:lineRule="exact"/>
        <w:rPr>
          <w:sz w:val="20"/>
          <w:szCs w:val="20"/>
          <w:color w:val="auto"/>
        </w:rPr>
      </w:pPr>
    </w:p>
    <w:p>
      <w:pPr>
        <w:ind w:left="7880"/>
        <w:spacing w:after="0"/>
        <w:tabs>
          <w:tab w:leader="none" w:pos="82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EIMEAR P.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26035</wp:posOffset>
            </wp:positionV>
            <wp:extent cx="30175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4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Eimear P. Bonner</w:t>
      </w:r>
    </w:p>
    <w:p>
      <w:pPr>
        <w:spacing w:after="0" w:line="2"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E-6</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lvl w:ilvl="1">
      <w:lvlJc w:val="left"/>
      <w:lvlText w:val="(%2)"/>
      <w:numFmt w:val="decimal"/>
      <w:start w:val="1"/>
    </w:lvl>
  </w:abstractNum>
  <w:abstractNum w:abstractNumId="6">
    <w:nsid w:val="257130A3"/>
    <w:multiLevelType w:val="hybridMultilevel"/>
    <w:lvl w:ilvl="0">
      <w:lvlJc w:val="left"/>
      <w:lvlText w:val="(%1)"/>
      <w:numFmt w:val="decimal"/>
      <w:start w:val="2"/>
    </w:lvl>
    <w:lvl w:ilvl="1">
      <w:lvlJc w:val="left"/>
      <w:lvlText w:val="%2"/>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1"/>
    </w:lvl>
    <w:lvl w:ilvl="1">
      <w:lvlJc w:val="left"/>
      <w:lvlText w:val="(%2)"/>
      <w:numFmt w:val="decimal"/>
      <w:start w:val="1"/>
    </w:lvl>
  </w:abstractNum>
  <w:abstractNum w:abstractNumId="9">
    <w:nsid w:val="628C895D"/>
    <w:multiLevelType w:val="hybridMultilevel"/>
    <w:lvl w:ilvl="0">
      <w:lvlJc w:val="left"/>
      <w:lvlText w:val="(%1)"/>
      <w:numFmt w:val="decimal"/>
      <w:start w:val="2"/>
    </w:lvl>
    <w:lvl w:ilvl="1">
      <w:lvlJc w:val="left"/>
      <w:lvlText w:val="%2"/>
      <w:numFmt w:val="decimal"/>
      <w:start w:val="1"/>
    </w:lvl>
  </w:abstractNum>
  <w:abstractNum w:abstractNumId="10">
    <w:nsid w:val="333AB105"/>
    <w:multiLevelType w:val="hybridMultilevel"/>
    <w:lvl w:ilvl="0">
      <w:lvlJc w:val="left"/>
      <w:lvlText w:val="%1"/>
      <w:numFmt w:val="decimal"/>
      <w:start w:val="1"/>
    </w:lvl>
    <w:lvl w:ilvl="1">
      <w:lvlJc w:val="left"/>
      <w:lvlText w:val="(%2)"/>
      <w:numFmt w:val="decimal"/>
      <w:start w:val="1"/>
    </w:lvl>
  </w:abstractNum>
  <w:abstractNum w:abstractNumId="11">
    <w:nsid w:val="721DA317"/>
    <w:multiLevelType w:val="hybridMultilevel"/>
    <w:lvl w:ilvl="0">
      <w:lvlJc w:val="left"/>
      <w:lvlText w:val="(%1)"/>
      <w:numFmt w:val="decimal"/>
      <w:start w:val="2"/>
    </w:lvl>
    <w:lvl w:ilvl="1">
      <w:lvlJc w:val="left"/>
      <w:lvlText w:val="%2"/>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2"/>
      <w:numFmt w:val="bullet"/>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2"/>
    </w:lvl>
  </w:abstractNum>
  <w:abstractNum w:abstractNumId="16">
    <w:nsid w:val="8EDBDAB"/>
    <w:multiLevelType w:val="hybridMultilevel"/>
    <w:lvl w:ilvl="0">
      <w:lvlJc w:val="left"/>
      <w:lvlText w:val="3"/>
      <w:numFmt w:val="bullet"/>
      <w:start w:val="1"/>
    </w:lvl>
  </w:abstractNum>
  <w:abstractNum w:abstractNumId="17">
    <w:nsid w:val="79838CB2"/>
    <w:multiLevelType w:val="hybridMultilevel"/>
    <w:lvl w:ilvl="0">
      <w:lvlJc w:val="left"/>
      <w:lvlText w:val="(%1)"/>
      <w:numFmt w:val="decimal"/>
      <w:start w:val="3"/>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decimal"/>
      <w:start w:val="2"/>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decimal"/>
      <w:start w:val="2"/>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4"/>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2026-11-05T10:23:58Z</dcterms:created>
  <dcterms:modified xsi:type="dcterms:W3CDTF">2026-11-05T10:23:58Z</dcterms:modified>
</cp:coreProperties>
</file>