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Wirth Michael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SMITH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CHEVRON CORP</w:t>
              </w:r>
            </w:hyperlink>
            <w:r>
              <w:rPr/>
              <w:t xml:space="preserve"> [ </w:t>
            </w:r>
            <w:r>
              <w:rPr>
                <w:rFonts w:ascii="Times;serif" w:hAnsi="Times;serif"/>
                <w:color w:val="0000FF"/>
                <w:sz w:val="24"/>
                <w:shd w:fill="FFFFFF" w:val="clear"/>
              </w:rPr>
              <w:t>CVX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4"/>
        <w:gridCol w:w="920"/>
        <w:gridCol w:w="791"/>
        <w:gridCol w:w="610"/>
        <w:gridCol w:w="332"/>
        <w:gridCol w:w="993"/>
        <w:gridCol w:w="398"/>
        <w:gridCol w:w="1103"/>
        <w:gridCol w:w="1076"/>
        <w:gridCol w:w="938"/>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317,100</w:t>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88.2</w:t>
            </w:r>
          </w:p>
        </w:tc>
        <w:tc>
          <w:tcPr>
            <w:tcW w:w="10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343,408</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306,789</w:t>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200.4433</w:t>
            </w:r>
            <w:r>
              <w:rPr>
                <w:rFonts w:ascii="Times;serif" w:hAnsi="Times;serif"/>
                <w:color w:val="008000"/>
                <w:position w:val="7"/>
                <w:sz w:val="16"/>
                <w:sz w:val="20"/>
                <w:shd w:fill="FFFFFF" w:val="clear"/>
              </w:rPr>
              <w:t>(1)</w:t>
            </w:r>
          </w:p>
        </w:tc>
        <w:tc>
          <w:tcPr>
            <w:tcW w:w="10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36,619</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10,311</w:t>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201.0534</w:t>
            </w:r>
            <w:r>
              <w:rPr>
                <w:rFonts w:ascii="Times;serif" w:hAnsi="Times;serif"/>
                <w:color w:val="008000"/>
                <w:position w:val="7"/>
                <w:sz w:val="16"/>
                <w:sz w:val="20"/>
                <w:shd w:fill="FFFFFF" w:val="clear"/>
              </w:rPr>
              <w:t>(2)</w:t>
            </w:r>
          </w:p>
        </w:tc>
        <w:tc>
          <w:tcPr>
            <w:tcW w:w="10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26,308</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17,784</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w:t>
            </w:r>
            <w:r>
              <w:rPr>
                <w:rFonts w:ascii="Times;serif" w:hAnsi="Times;serif"/>
                <w:color w:val="008000"/>
                <w:position w:val="7"/>
                <w:sz w:val="16"/>
                <w:sz w:val="20"/>
                <w:shd w:fill="FFFFFF" w:val="clear"/>
              </w:rPr>
              <w:t>(3)</w:t>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19,036</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r>
        <w:trPr/>
        <w:tc>
          <w:tcPr>
            <w:tcW w:w="17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Wirth Family Trust</w:t>
            </w:r>
          </w:p>
        </w:tc>
      </w:tr>
    </w:tbl>
    <w:tbl>
      <w:tblPr>
        <w:tblW w:w="1276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$200.00 to $200.99, inclusive. The price reported in Column 4 reflects the weighted average sale price. The reporting person hereby undertakes to provide upon request to the SEC staff, the issuer or a security holder of the issuer full information regarding the number of shares sold at each separate price within the ranges set forth in footnotes (1) and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$201.00 to $201.12, inclusive. The price reported in Column 4 reflects the weighted average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owns only a 1% general partnership interest in the limited partnership. The remaining limited partnership interests are owned equally by four separate trusts for the benefit of each of the reporting person's children. The reporting person disclaims beneficial ownership of the shares held by the limited partnership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granted 1/27/2021. One-third of the shares subject to the option vested on January 31, 2022, January 31, 2023 and January 31, 2024,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Z. Pierson, Attorney-in-Fact for Michael K. Wirth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4590" TargetMode="External"/><Relationship Id="rId5" Type="http://schemas.openxmlformats.org/officeDocument/2006/relationships/hyperlink" Target="http://www.sec.gov/cgi-bin/browse-edgar?action=getcompany&amp;CIK=0000093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4355</Characters>
  <CharactersWithSpaces>5058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