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151130</wp:posOffset>
            </wp:positionV>
            <wp:extent cx="662686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6860" cy="2413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181610</wp:posOffset>
            </wp:positionV>
            <wp:extent cx="66268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860" cy="6350"/>
                    </a:xfrm>
                    <a:prstGeom prst="rect">
                      <a:avLst/>
                    </a:prstGeom>
                    <a:noFill/>
                  </pic:spPr>
                </pic:pic>
              </a:graphicData>
            </a:graphic>
          </wp:anchor>
        </w:drawing>
      </w:r>
    </w:p>
    <w:p>
      <w:pPr>
        <w:spacing w:after="0" w:line="315"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UNITED STATES SECURITIES AND EXCHANGE COMMISSION</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Washington, D.C. 20549</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23"/>
          <w:szCs w:val="23"/>
          <w:b w:val="1"/>
          <w:bCs w:val="1"/>
          <w:color w:val="auto"/>
        </w:rPr>
        <w:t>Form 10-K</w:t>
      </w:r>
    </w:p>
    <w:p>
      <w:pPr>
        <w:spacing w:after="0" w:line="19" w:lineRule="exact"/>
        <w:rPr>
          <w:sz w:val="20"/>
          <w:szCs w:val="20"/>
          <w:color w:val="auto"/>
        </w:rPr>
      </w:pPr>
    </w:p>
    <w:p>
      <w:pPr>
        <w:ind w:left="4560" w:right="3300" w:hanging="816"/>
        <w:spacing w:after="0" w:line="267" w:lineRule="auto"/>
        <w:tabs>
          <w:tab w:leader="none" w:pos="3916"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 xml:space="preserve">For the fiscal year ended </w:t>
      </w:r>
      <w:r>
        <w:rPr>
          <w:rFonts w:ascii="Arial" w:cs="Arial" w:eastAsia="Arial" w:hAnsi="Arial"/>
          <w:sz w:val="13"/>
          <w:szCs w:val="13"/>
          <w:b w:val="1"/>
          <w:bCs w:val="1"/>
          <w:u w:val="single" w:color="auto"/>
          <w:color w:val="auto"/>
        </w:rPr>
        <w:t>December 31, 2008</w:t>
      </w:r>
    </w:p>
    <w:p>
      <w:pPr>
        <w:spacing w:after="0" w:line="3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OR</w:t>
      </w:r>
    </w:p>
    <w:p>
      <w:pPr>
        <w:spacing w:after="0" w:line="43" w:lineRule="exact"/>
        <w:rPr>
          <w:sz w:val="20"/>
          <w:szCs w:val="20"/>
          <w:color w:val="auto"/>
        </w:rPr>
      </w:pPr>
    </w:p>
    <w:p>
      <w:pPr>
        <w:ind w:left="4560" w:right="3200" w:hanging="907"/>
        <w:spacing w:after="0" w:line="267" w:lineRule="auto"/>
        <w:tabs>
          <w:tab w:leader="none" w:pos="3779" w:val="left"/>
        </w:tabs>
        <w:numPr>
          <w:ilvl w:val="0"/>
          <w:numId w:val="2"/>
        </w:numPr>
        <w:rPr>
          <w:rFonts w:ascii="Arial" w:cs="Arial" w:eastAsia="Arial" w:hAnsi="Arial"/>
          <w:sz w:val="13"/>
          <w:szCs w:val="13"/>
          <w:color w:val="auto"/>
        </w:rPr>
      </w:pPr>
      <w:r>
        <w:rPr>
          <w:rFonts w:ascii="Arial" w:cs="Arial" w:eastAsia="Arial" w:hAnsi="Arial"/>
          <w:sz w:val="13"/>
          <w:szCs w:val="13"/>
          <w:color w:val="auto"/>
        </w:rPr>
        <w:t>TRANSITION REPORT PURSUANT TO SECTION 13 OR 15(d) OF THE SECURITIES EXCHANGE ACT OF 1934</w:t>
      </w:r>
    </w:p>
    <w:tbl>
      <w:tblPr>
        <w:tblLayout w:type="fixed"/>
        <w:tblInd w:w="460" w:type="dxa"/>
        <w:tblCellMar>
          <w:top w:w="0" w:type="dxa"/>
          <w:left w:w="0" w:type="dxa"/>
          <w:bottom w:w="0" w:type="dxa"/>
          <w:right w:w="0" w:type="dxa"/>
        </w:tblCellMar>
      </w:tblPr>
      <w:tr>
        <w:trPr>
          <w:trHeight w:val="147"/>
        </w:trPr>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4"/>
          </w:tcPr>
          <w:p>
            <w:pPr>
              <w:ind w:left="480"/>
              <w:spacing w:after="0" w:line="148" w:lineRule="exact"/>
              <w:rPr>
                <w:sz w:val="20"/>
                <w:szCs w:val="20"/>
                <w:color w:val="auto"/>
              </w:rPr>
            </w:pPr>
            <w:r>
              <w:rPr>
                <w:rFonts w:ascii="Arial" w:cs="Arial" w:eastAsia="Arial" w:hAnsi="Arial"/>
                <w:sz w:val="13"/>
                <w:szCs w:val="13"/>
                <w:color w:val="auto"/>
                <w:w w:val="92"/>
              </w:rPr>
              <w:t>For the transition period from</w:t>
            </w:r>
          </w:p>
        </w:tc>
        <w:tc>
          <w:tcPr>
            <w:tcW w:w="320" w:type="dxa"/>
            <w:vAlign w:val="bottom"/>
            <w:tcBorders>
              <w:bottom w:val="single" w:sz="8" w:color="auto"/>
            </w:tcBorders>
          </w:tcPr>
          <w:p>
            <w:pPr>
              <w:spacing w:after="0"/>
              <w:rPr>
                <w:sz w:val="12"/>
                <w:szCs w:val="12"/>
                <w:color w:val="auto"/>
              </w:rPr>
            </w:pPr>
          </w:p>
        </w:tc>
        <w:tc>
          <w:tcPr>
            <w:tcW w:w="160" w:type="dxa"/>
            <w:vAlign w:val="bottom"/>
          </w:tcPr>
          <w:p>
            <w:pPr>
              <w:ind w:left="20"/>
              <w:spacing w:after="0" w:line="148" w:lineRule="exact"/>
              <w:rPr>
                <w:sz w:val="20"/>
                <w:szCs w:val="20"/>
                <w:color w:val="auto"/>
              </w:rPr>
            </w:pPr>
            <w:r>
              <w:rPr>
                <w:rFonts w:ascii="Arial" w:cs="Arial" w:eastAsia="Arial" w:hAnsi="Arial"/>
                <w:sz w:val="13"/>
                <w:szCs w:val="13"/>
                <w:color w:val="auto"/>
              </w:rPr>
              <w:t>to</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19"/>
        </w:trPr>
        <w:tc>
          <w:tcPr>
            <w:tcW w:w="2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7"/>
          </w:tcPr>
          <w:p>
            <w:pPr>
              <w:jc w:val="center"/>
              <w:ind w:left="689"/>
              <w:spacing w:after="0"/>
              <w:rPr>
                <w:sz w:val="20"/>
                <w:szCs w:val="20"/>
                <w:color w:val="auto"/>
              </w:rPr>
            </w:pPr>
            <w:r>
              <w:rPr>
                <w:rFonts w:ascii="Arial" w:cs="Arial" w:eastAsia="Arial" w:hAnsi="Arial"/>
                <w:sz w:val="13"/>
                <w:szCs w:val="13"/>
                <w:color w:val="auto"/>
                <w:w w:val="90"/>
              </w:rPr>
              <w:t>Commission File Number 1-368-2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80"/>
        </w:trPr>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10"/>
          </w:tcPr>
          <w:p>
            <w:pPr>
              <w:jc w:val="center"/>
              <w:ind w:left="49"/>
              <w:spacing w:after="0"/>
              <w:rPr>
                <w:sz w:val="20"/>
                <w:szCs w:val="20"/>
                <w:color w:val="auto"/>
              </w:rPr>
            </w:pPr>
            <w:r>
              <w:rPr>
                <w:rFonts w:ascii="Arial" w:cs="Arial" w:eastAsia="Arial" w:hAnsi="Arial"/>
                <w:sz w:val="23"/>
                <w:szCs w:val="23"/>
                <w:b w:val="1"/>
                <w:bCs w:val="1"/>
                <w:color w:val="auto"/>
                <w:w w:val="92"/>
              </w:rPr>
              <w:t>Chevron Corporation</w:t>
            </w:r>
          </w:p>
        </w:tc>
        <w:tc>
          <w:tcPr>
            <w:tcW w:w="3700" w:type="dxa"/>
            <w:vAlign w:val="bottom"/>
          </w:tcPr>
          <w:p>
            <w:pPr>
              <w:spacing w:after="0"/>
              <w:rPr>
                <w:sz w:val="24"/>
                <w:szCs w:val="24"/>
                <w:color w:val="auto"/>
              </w:rPr>
            </w:pPr>
          </w:p>
        </w:tc>
      </w:tr>
      <w:tr>
        <w:trPr>
          <w:trHeight w:val="162"/>
        </w:trPr>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10"/>
          </w:tcPr>
          <w:p>
            <w:pPr>
              <w:jc w:val="center"/>
              <w:ind w:left="69"/>
              <w:spacing w:after="0"/>
              <w:rPr>
                <w:sz w:val="20"/>
                <w:szCs w:val="20"/>
                <w:color w:val="auto"/>
              </w:rPr>
            </w:pPr>
            <w:r>
              <w:rPr>
                <w:rFonts w:ascii="Arial" w:cs="Arial" w:eastAsia="Arial" w:hAnsi="Arial"/>
                <w:sz w:val="13"/>
                <w:szCs w:val="13"/>
                <w:color w:val="auto"/>
                <w:w w:val="89"/>
              </w:rPr>
              <w:t>(Exact name of registrant as specified in its charter)</w:t>
            </w:r>
          </w:p>
        </w:tc>
        <w:tc>
          <w:tcPr>
            <w:tcW w:w="3700" w:type="dxa"/>
            <w:vAlign w:val="bottom"/>
          </w:tcPr>
          <w:p>
            <w:pPr>
              <w:spacing w:after="0"/>
              <w:rPr>
                <w:sz w:val="14"/>
                <w:szCs w:val="14"/>
                <w:color w:val="auto"/>
              </w:rPr>
            </w:pPr>
          </w:p>
        </w:tc>
      </w:tr>
      <w:tr>
        <w:trPr>
          <w:trHeight w:val="241"/>
        </w:trPr>
        <w:tc>
          <w:tcPr>
            <w:tcW w:w="3300" w:type="dxa"/>
            <w:vAlign w:val="bottom"/>
            <w:gridSpan w:val="2"/>
          </w:tcPr>
          <w:p>
            <w:pPr>
              <w:jc w:val="center"/>
              <w:ind w:right="480"/>
              <w:spacing w:after="0"/>
              <w:rPr>
                <w:sz w:val="20"/>
                <w:szCs w:val="20"/>
                <w:color w:val="auto"/>
              </w:rPr>
            </w:pPr>
            <w:r>
              <w:rPr>
                <w:rFonts w:ascii="Arial" w:cs="Arial" w:eastAsia="Arial" w:hAnsi="Arial"/>
                <w:sz w:val="13"/>
                <w:szCs w:val="13"/>
                <w:color w:val="auto"/>
                <w:w w:val="90"/>
              </w:rPr>
              <w:t>Delaware</w:t>
            </w:r>
          </w:p>
        </w:tc>
        <w:tc>
          <w:tcPr>
            <w:tcW w:w="1820" w:type="dxa"/>
            <w:vAlign w:val="bottom"/>
            <w:gridSpan w:val="2"/>
          </w:tcPr>
          <w:p>
            <w:pPr>
              <w:jc w:val="center"/>
              <w:ind w:left="496"/>
              <w:spacing w:after="0"/>
              <w:rPr>
                <w:sz w:val="20"/>
                <w:szCs w:val="20"/>
                <w:color w:val="auto"/>
              </w:rPr>
            </w:pPr>
            <w:r>
              <w:rPr>
                <w:rFonts w:ascii="Arial" w:cs="Arial" w:eastAsia="Arial" w:hAnsi="Arial"/>
                <w:sz w:val="13"/>
                <w:szCs w:val="13"/>
                <w:color w:val="auto"/>
                <w:w w:val="89"/>
              </w:rPr>
              <w:t>94-0890210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00" w:type="dxa"/>
            <w:vAlign w:val="bottom"/>
          </w:tcPr>
          <w:p>
            <w:pPr>
              <w:jc w:val="center"/>
              <w:ind w:right="536"/>
              <w:spacing w:after="0"/>
              <w:rPr>
                <w:sz w:val="20"/>
                <w:szCs w:val="20"/>
                <w:color w:val="auto"/>
              </w:rPr>
            </w:pPr>
            <w:r>
              <w:rPr>
                <w:rFonts w:ascii="Arial" w:cs="Arial" w:eastAsia="Arial" w:hAnsi="Arial"/>
                <w:sz w:val="13"/>
                <w:szCs w:val="13"/>
                <w:color w:val="auto"/>
                <w:w w:val="90"/>
              </w:rPr>
              <w:t>6001 Bollinger Canyon Road,</w:t>
            </w:r>
          </w:p>
        </w:tc>
      </w:tr>
      <w:tr>
        <w:trPr>
          <w:trHeight w:val="162"/>
        </w:trPr>
        <w:tc>
          <w:tcPr>
            <w:tcW w:w="2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center"/>
              <w:ind w:right="516"/>
              <w:spacing w:after="0"/>
              <w:rPr>
                <w:sz w:val="20"/>
                <w:szCs w:val="20"/>
                <w:color w:val="auto"/>
              </w:rPr>
            </w:pPr>
            <w:r>
              <w:rPr>
                <w:rFonts w:ascii="Arial" w:cs="Arial" w:eastAsia="Arial" w:hAnsi="Arial"/>
                <w:sz w:val="13"/>
                <w:szCs w:val="13"/>
                <w:color w:val="auto"/>
                <w:w w:val="90"/>
              </w:rPr>
              <w:t>San Ramon, California 94583-2324</w:t>
            </w:r>
          </w:p>
        </w:tc>
      </w:tr>
      <w:tr>
        <w:trPr>
          <w:trHeight w:val="279"/>
        </w:trPr>
        <w:tc>
          <w:tcPr>
            <w:tcW w:w="3300" w:type="dxa"/>
            <w:vAlign w:val="bottom"/>
            <w:gridSpan w:val="2"/>
          </w:tcPr>
          <w:p>
            <w:pPr>
              <w:jc w:val="center"/>
              <w:ind w:right="480"/>
              <w:spacing w:after="0"/>
              <w:rPr>
                <w:sz w:val="20"/>
                <w:szCs w:val="20"/>
                <w:color w:val="auto"/>
              </w:rPr>
            </w:pPr>
            <w:r>
              <w:rPr>
                <w:rFonts w:ascii="Arial" w:cs="Arial" w:eastAsia="Arial" w:hAnsi="Arial"/>
                <w:sz w:val="13"/>
                <w:szCs w:val="13"/>
                <w:color w:val="auto"/>
                <w:w w:val="92"/>
              </w:rPr>
              <w:t>(State or other jurisdiction of</w:t>
            </w:r>
          </w:p>
        </w:tc>
        <w:tc>
          <w:tcPr>
            <w:tcW w:w="260" w:type="dxa"/>
            <w:vAlign w:val="bottom"/>
          </w:tcPr>
          <w:p>
            <w:pPr>
              <w:spacing w:after="0"/>
              <w:rPr>
                <w:sz w:val="24"/>
                <w:szCs w:val="24"/>
                <w:color w:val="auto"/>
              </w:rPr>
            </w:pPr>
          </w:p>
        </w:tc>
        <w:tc>
          <w:tcPr>
            <w:tcW w:w="2040" w:type="dxa"/>
            <w:vAlign w:val="bottom"/>
            <w:gridSpan w:val="4"/>
          </w:tcPr>
          <w:p>
            <w:pPr>
              <w:jc w:val="center"/>
              <w:ind w:right="180"/>
              <w:spacing w:after="0"/>
              <w:rPr>
                <w:sz w:val="20"/>
                <w:szCs w:val="20"/>
                <w:color w:val="auto"/>
              </w:rPr>
            </w:pPr>
            <w:r>
              <w:rPr>
                <w:rFonts w:ascii="Arial" w:cs="Arial" w:eastAsia="Arial" w:hAnsi="Arial"/>
                <w:sz w:val="13"/>
                <w:szCs w:val="13"/>
                <w:color w:val="auto"/>
                <w:w w:val="90"/>
              </w:rPr>
              <w:t>(I.R.S. Employer</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jc w:val="center"/>
              <w:ind w:right="516"/>
              <w:spacing w:after="0"/>
              <w:rPr>
                <w:sz w:val="20"/>
                <w:szCs w:val="20"/>
                <w:color w:val="auto"/>
              </w:rPr>
            </w:pPr>
            <w:r>
              <w:rPr>
                <w:rFonts w:ascii="Arial" w:cs="Arial" w:eastAsia="Arial" w:hAnsi="Arial"/>
                <w:sz w:val="13"/>
                <w:szCs w:val="13"/>
                <w:color w:val="auto"/>
                <w:w w:val="91"/>
              </w:rPr>
              <w:t>(Address of principal executive offices) (Zip Code)</w:t>
            </w:r>
          </w:p>
        </w:tc>
      </w:tr>
      <w:tr>
        <w:trPr>
          <w:trHeight w:val="162"/>
        </w:trPr>
        <w:tc>
          <w:tcPr>
            <w:tcW w:w="3300" w:type="dxa"/>
            <w:vAlign w:val="bottom"/>
            <w:gridSpan w:val="2"/>
          </w:tcPr>
          <w:p>
            <w:pPr>
              <w:jc w:val="center"/>
              <w:ind w:right="480"/>
              <w:spacing w:after="0"/>
              <w:rPr>
                <w:sz w:val="20"/>
                <w:szCs w:val="20"/>
                <w:color w:val="auto"/>
              </w:rPr>
            </w:pPr>
            <w:r>
              <w:rPr>
                <w:rFonts w:ascii="Arial" w:cs="Arial" w:eastAsia="Arial" w:hAnsi="Arial"/>
                <w:sz w:val="13"/>
                <w:szCs w:val="13"/>
                <w:color w:val="auto"/>
                <w:w w:val="91"/>
              </w:rPr>
              <w:t>incorporation or organization)</w:t>
            </w:r>
          </w:p>
        </w:tc>
        <w:tc>
          <w:tcPr>
            <w:tcW w:w="260" w:type="dxa"/>
            <w:vAlign w:val="bottom"/>
          </w:tcPr>
          <w:p>
            <w:pPr>
              <w:spacing w:after="0"/>
              <w:rPr>
                <w:sz w:val="14"/>
                <w:szCs w:val="14"/>
                <w:color w:val="auto"/>
              </w:rPr>
            </w:pPr>
          </w:p>
        </w:tc>
        <w:tc>
          <w:tcPr>
            <w:tcW w:w="2040" w:type="dxa"/>
            <w:vAlign w:val="bottom"/>
            <w:gridSpan w:val="4"/>
          </w:tcPr>
          <w:p>
            <w:pPr>
              <w:jc w:val="center"/>
              <w:ind w:right="180"/>
              <w:spacing w:after="0"/>
              <w:rPr>
                <w:sz w:val="20"/>
                <w:szCs w:val="20"/>
                <w:color w:val="auto"/>
              </w:rPr>
            </w:pPr>
            <w:r>
              <w:rPr>
                <w:rFonts w:ascii="Arial" w:cs="Arial" w:eastAsia="Arial" w:hAnsi="Arial"/>
                <w:sz w:val="13"/>
                <w:szCs w:val="13"/>
                <w:color w:val="auto"/>
                <w:w w:val="92"/>
              </w:rPr>
              <w:t>Identification Number)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79"/>
        </w:trPr>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40" w:type="dxa"/>
            <w:vAlign w:val="bottom"/>
            <w:gridSpan w:val="12"/>
          </w:tcPr>
          <w:p>
            <w:pPr>
              <w:jc w:val="center"/>
              <w:ind w:right="3256"/>
              <w:spacing w:after="0"/>
              <w:rPr>
                <w:sz w:val="20"/>
                <w:szCs w:val="20"/>
                <w:color w:val="auto"/>
              </w:rPr>
            </w:pPr>
            <w:r>
              <w:rPr>
                <w:rFonts w:ascii="Arial" w:cs="Arial" w:eastAsia="Arial" w:hAnsi="Arial"/>
                <w:sz w:val="13"/>
                <w:szCs w:val="13"/>
                <w:color w:val="auto"/>
                <w:w w:val="88"/>
              </w:rPr>
              <w:t>Registrant’s telephone number, including area code (925) 842-1000</w:t>
            </w:r>
          </w:p>
        </w:tc>
      </w:tr>
      <w:tr>
        <w:trPr>
          <w:trHeight w:val="240"/>
        </w:trPr>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10"/>
          </w:tcPr>
          <w:p>
            <w:pPr>
              <w:jc w:val="center"/>
              <w:ind w:left="69"/>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700" w:type="dxa"/>
            <w:vAlign w:val="bottom"/>
          </w:tcPr>
          <w:p>
            <w:pPr>
              <w:spacing w:after="0"/>
              <w:rPr>
                <w:sz w:val="20"/>
                <w:szCs w:val="20"/>
                <w:color w:val="auto"/>
              </w:rPr>
            </w:pPr>
          </w:p>
        </w:tc>
      </w:tr>
      <w:tr>
        <w:trPr>
          <w:trHeight w:val="280"/>
        </w:trPr>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jc w:val="center"/>
              <w:ind w:right="1156"/>
              <w:spacing w:after="0"/>
              <w:rPr>
                <w:sz w:val="20"/>
                <w:szCs w:val="20"/>
                <w:color w:val="auto"/>
              </w:rPr>
            </w:pPr>
            <w:r>
              <w:rPr>
                <w:rFonts w:ascii="Arial" w:cs="Arial" w:eastAsia="Arial" w:hAnsi="Arial"/>
                <w:sz w:val="13"/>
                <w:szCs w:val="13"/>
                <w:color w:val="auto"/>
                <w:w w:val="88"/>
              </w:rPr>
              <w:t>Name of Each Exchange</w:t>
            </w:r>
          </w:p>
        </w:tc>
      </w:tr>
      <w:tr>
        <w:trPr>
          <w:trHeight w:val="162"/>
        </w:trPr>
        <w:tc>
          <w:tcPr>
            <w:tcW w:w="3300" w:type="dxa"/>
            <w:vAlign w:val="bottom"/>
            <w:tcBorders>
              <w:bottom w:val="single" w:sz="8" w:color="auto"/>
            </w:tcBorders>
            <w:gridSpan w:val="2"/>
          </w:tcPr>
          <w:p>
            <w:pPr>
              <w:ind w:left="2140"/>
              <w:spacing w:after="0"/>
              <w:rPr>
                <w:sz w:val="20"/>
                <w:szCs w:val="20"/>
                <w:color w:val="auto"/>
              </w:rPr>
            </w:pPr>
            <w:r>
              <w:rPr>
                <w:rFonts w:ascii="Arial" w:cs="Arial" w:eastAsia="Arial" w:hAnsi="Arial"/>
                <w:sz w:val="13"/>
                <w:szCs w:val="13"/>
                <w:color w:val="auto"/>
              </w:rPr>
              <w:t>Title of Each Class</w:t>
            </w: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center"/>
              <w:ind w:right="1156"/>
              <w:spacing w:after="0"/>
              <w:rPr>
                <w:sz w:val="20"/>
                <w:szCs w:val="20"/>
                <w:color w:val="auto"/>
              </w:rPr>
            </w:pPr>
            <w:r>
              <w:rPr>
                <w:rFonts w:ascii="Arial" w:cs="Arial" w:eastAsia="Arial" w:hAnsi="Arial"/>
                <w:sz w:val="13"/>
                <w:szCs w:val="13"/>
                <w:color w:val="auto"/>
                <w:w w:val="89"/>
              </w:rPr>
              <w:t>on Which Registered</w:t>
            </w:r>
          </w:p>
        </w:tc>
      </w:tr>
      <w:tr>
        <w:trPr>
          <w:trHeight w:val="152"/>
        </w:trPr>
        <w:tc>
          <w:tcPr>
            <w:tcW w:w="5120" w:type="dxa"/>
            <w:vAlign w:val="bottom"/>
            <w:gridSpan w:val="4"/>
          </w:tcPr>
          <w:p>
            <w:pPr>
              <w:ind w:left="1520"/>
              <w:spacing w:after="0"/>
              <w:rPr>
                <w:sz w:val="20"/>
                <w:szCs w:val="20"/>
                <w:color w:val="auto"/>
              </w:rPr>
            </w:pPr>
            <w:r>
              <w:rPr>
                <w:rFonts w:ascii="Arial" w:cs="Arial" w:eastAsia="Arial" w:hAnsi="Arial"/>
                <w:sz w:val="13"/>
                <w:szCs w:val="13"/>
                <w:color w:val="auto"/>
              </w:rPr>
              <w:t>Common stock, par value $.75 per share</w:t>
            </w:r>
          </w:p>
        </w:tc>
        <w:tc>
          <w:tcPr>
            <w:tcW w:w="4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tcPr>
          <w:p>
            <w:pPr>
              <w:jc w:val="center"/>
              <w:ind w:right="1156"/>
              <w:spacing w:after="0"/>
              <w:rPr>
                <w:sz w:val="20"/>
                <w:szCs w:val="20"/>
                <w:color w:val="auto"/>
              </w:rPr>
            </w:pPr>
            <w:r>
              <w:rPr>
                <w:rFonts w:ascii="Arial" w:cs="Arial" w:eastAsia="Arial" w:hAnsi="Arial"/>
                <w:sz w:val="13"/>
                <w:szCs w:val="13"/>
                <w:color w:val="auto"/>
                <w:w w:val="90"/>
              </w:rPr>
              <w:t>New York Stock Exchange, Inc.</w:t>
            </w:r>
          </w:p>
        </w:tc>
      </w:tr>
      <w:tr>
        <w:trPr>
          <w:trHeight w:val="284"/>
        </w:trPr>
        <w:tc>
          <w:tcPr>
            <w:tcW w:w="6120" w:type="dxa"/>
            <w:vAlign w:val="bottom"/>
            <w:gridSpan w:val="10"/>
          </w:tcPr>
          <w:p>
            <w:pPr>
              <w:spacing w:after="0"/>
              <w:rPr>
                <w:sz w:val="20"/>
                <w:szCs w:val="20"/>
                <w:color w:val="auto"/>
              </w:rPr>
            </w:pPr>
            <w:r>
              <w:rPr>
                <w:rFonts w:ascii="Arial" w:cs="Arial" w:eastAsia="Arial" w:hAnsi="Arial"/>
                <w:sz w:val="13"/>
                <w:szCs w:val="13"/>
                <w:color w:val="auto"/>
                <w:w w:val="90"/>
              </w:rPr>
              <w:t>Indicate by check mark if the registrant is a well-known seasoned issuer, as defined in Rule 405 of the Securities Act.</w:t>
            </w:r>
          </w:p>
        </w:tc>
        <w:tc>
          <w:tcPr>
            <w:tcW w:w="620" w:type="dxa"/>
            <w:vAlign w:val="bottom"/>
            <w:gridSpan w:val="3"/>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700" w:type="dxa"/>
            <w:vAlign w:val="bottom"/>
          </w:tcPr>
          <w:p>
            <w:pPr>
              <w:ind w:left="40"/>
              <w:spacing w:after="0"/>
              <w:rPr>
                <w:sz w:val="20"/>
                <w:szCs w:val="20"/>
                <w:color w:val="auto"/>
              </w:rPr>
            </w:pPr>
            <w:r>
              <w:rPr>
                <w:rFonts w:ascii="Arial" w:cs="Arial" w:eastAsia="Arial" w:hAnsi="Arial"/>
                <w:sz w:val="13"/>
                <w:szCs w:val="13"/>
                <w:color w:val="auto"/>
              </w:rPr>
              <w:t>No o</w:t>
            </w:r>
          </w:p>
        </w:tc>
      </w:tr>
      <w:tr>
        <w:trPr>
          <w:trHeight w:val="279"/>
        </w:trPr>
        <w:tc>
          <w:tcPr>
            <w:tcW w:w="6120" w:type="dxa"/>
            <w:vAlign w:val="bottom"/>
            <w:gridSpan w:val="10"/>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Act.</w:t>
            </w:r>
          </w:p>
        </w:tc>
        <w:tc>
          <w:tcPr>
            <w:tcW w:w="4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color w:val="auto"/>
              </w:rPr>
              <w:t>Yes o</w:t>
            </w:r>
          </w:p>
        </w:tc>
        <w:tc>
          <w:tcPr>
            <w:tcW w:w="370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103" w:lineRule="exact"/>
        <w:rPr>
          <w:sz w:val="20"/>
          <w:szCs w:val="20"/>
          <w:color w:val="auto"/>
        </w:rPr>
      </w:pPr>
    </w:p>
    <w:p>
      <w:pPr>
        <w:ind w:left="460" w:right="360"/>
        <w:spacing w:after="0" w:line="16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04" w:lineRule="exact"/>
        <w:rPr>
          <w:sz w:val="20"/>
          <w:szCs w:val="20"/>
          <w:color w:val="auto"/>
        </w:rPr>
      </w:pPr>
    </w:p>
    <w:p>
      <w:pPr>
        <w:ind w:left="460" w:right="240"/>
        <w:spacing w:after="0" w:line="267"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00"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900"/>
          </w:cols>
          <w:pgMar w:left="220" w:top="127" w:right="779" w:bottom="1440" w:gutter="0" w:footer="0" w:header="0"/>
        </w:sectPr>
      </w:pPr>
    </w:p>
    <w:p>
      <w:pPr>
        <w:spacing w:after="0" w:line="46" w:lineRule="exact"/>
        <w:rPr>
          <w:sz w:val="20"/>
          <w:szCs w:val="20"/>
          <w:color w:val="auto"/>
        </w:rPr>
      </w:pPr>
    </w:p>
    <w:p>
      <w:pPr>
        <w:ind w:left="96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640"/>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840"/>
        <w:spacing w:after="0"/>
        <w:rPr>
          <w:sz w:val="20"/>
          <w:szCs w:val="20"/>
          <w:color w:val="auto"/>
        </w:rPr>
      </w:pPr>
      <w:r>
        <w:rPr>
          <w:rFonts w:ascii="Arial" w:cs="Arial" w:eastAsia="Arial" w:hAnsi="Arial"/>
          <w:sz w:val="13"/>
          <w:szCs w:val="13"/>
          <w:color w:val="auto"/>
        </w:rPr>
        <w:t>Non-accelerated filer o</w:t>
      </w:r>
    </w:p>
    <w:p>
      <w:pPr>
        <w:spacing w:after="0" w:line="13" w:lineRule="exact"/>
        <w:rPr>
          <w:sz w:val="20"/>
          <w:szCs w:val="20"/>
          <w:color w:val="auto"/>
        </w:rPr>
      </w:pPr>
    </w:p>
    <w:p>
      <w:pPr>
        <w:jc w:val="center"/>
        <w:ind w:right="840"/>
        <w:spacing w:after="0"/>
        <w:rPr>
          <w:sz w:val="20"/>
          <w:szCs w:val="20"/>
          <w:color w:val="auto"/>
        </w:rPr>
      </w:pPr>
      <w:r>
        <w:rPr>
          <w:rFonts w:ascii="Arial" w:cs="Arial" w:eastAsia="Arial" w:hAnsi="Arial"/>
          <w:sz w:val="11"/>
          <w:szCs w:val="11"/>
          <w:color w:val="auto"/>
        </w:rPr>
        <w:t>(Do not check if a smaller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3"/>
          <w:szCs w:val="13"/>
          <w:color w:val="auto"/>
        </w:rPr>
        <w:t>reporting company)</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434" w:lineRule="exact"/>
        <w:rPr>
          <w:sz w:val="20"/>
          <w:szCs w:val="20"/>
          <w:color w:val="auto"/>
        </w:rPr>
      </w:pPr>
    </w:p>
    <w:p>
      <w:pPr>
        <w:sectPr>
          <w:pgSz w:w="11900" w:h="16838" w:orient="portrait"/>
          <w:cols w:equalWidth="0" w:num="4">
            <w:col w:w="2980" w:space="720"/>
            <w:col w:w="1580" w:space="720"/>
            <w:col w:w="2180" w:space="720"/>
            <w:col w:w="2000"/>
          </w:cols>
          <w:pgMar w:left="220" w:top="127" w:right="77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8" w:lineRule="exact"/>
        <w:rPr>
          <w:sz w:val="20"/>
          <w:szCs w:val="20"/>
          <w:color w:val="auto"/>
        </w:rPr>
      </w:pPr>
    </w:p>
    <w:p>
      <w:pPr>
        <w:sectPr>
          <w:pgSz w:w="11900" w:h="16838" w:orient="portrait"/>
          <w:cols w:equalWidth="0" w:num="2">
            <w:col w:w="6080" w:space="220"/>
            <w:col w:w="4600"/>
          </w:cols>
          <w:pgMar w:left="220" w:top="127" w:right="779" w:bottom="1440" w:gutter="0" w:footer="0" w:header="0"/>
          <w:type w:val="continuous"/>
        </w:sectPr>
      </w:pPr>
    </w:p>
    <w:p>
      <w:pPr>
        <w:ind w:left="460" w:right="240"/>
        <w:spacing w:after="0" w:line="309" w:lineRule="auto"/>
        <w:rPr>
          <w:sz w:val="20"/>
          <w:szCs w:val="20"/>
          <w:color w:val="auto"/>
        </w:rPr>
      </w:pPr>
      <w:r>
        <w:rPr>
          <w:rFonts w:ascii="Arial" w:cs="Arial" w:eastAsia="Arial" w:hAnsi="Arial"/>
          <w:sz w:val="12"/>
          <w:szCs w:val="12"/>
          <w:color w:val="auto"/>
        </w:rPr>
        <w:t>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$203,659,751,369 (As of June 30, 2008)</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Number of Shares of Common Stock outstanding as of February 20, 2009 — 2,004,559,279</w:t>
      </w:r>
    </w:p>
    <w:p>
      <w:pPr>
        <w:spacing w:after="0" w:line="168"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(To The Extent Indicated Herein)</w:t>
      </w:r>
    </w:p>
    <w:p>
      <w:pPr>
        <w:spacing w:after="0" w:line="159"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Notice of the 2009 Annual Meeting and 2009 Proxy Statement, to be filed pursuant to Rule 14a-6(b) under the Securities Exchange Act of 1934, in connection with the company’s 2009 Annual Meeting of Stockholders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130175</wp:posOffset>
            </wp:positionV>
            <wp:extent cx="6626860" cy="30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6860" cy="304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254635</wp:posOffset>
            </wp:positionV>
            <wp:extent cx="729297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127" w:right="779" w:bottom="1440" w:gutter="0" w:footer="0" w:header="0"/>
          <w:type w:val="continuous"/>
        </w:sectPr>
      </w:pPr>
    </w:p>
    <w:bookmarkStart w:id="2" w:name="page3"/>
    <w:bookmarkEnd w:id="2"/>
    <w:tbl>
      <w:tblPr>
        <w:tblLayout w:type="fixed"/>
        <w:tblInd w:w="2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gridSpan w:val="15"/>
          </w:tcPr>
          <w:p>
            <w:pPr>
              <w:jc w:val="center"/>
              <w:ind w:right="3760"/>
              <w:spacing w:after="0"/>
              <w:rPr>
                <w:sz w:val="20"/>
                <w:szCs w:val="20"/>
                <w:color w:val="auto"/>
              </w:rPr>
            </w:pPr>
            <w:r>
              <w:rPr>
                <w:rFonts w:ascii="Arial" w:cs="Arial" w:eastAsia="Arial" w:hAnsi="Arial"/>
                <w:sz w:val="13"/>
                <w:szCs w:val="13"/>
                <w:b w:val="1"/>
                <w:bCs w:val="1"/>
                <w:color w:val="auto"/>
                <w:w w:val="97"/>
              </w:rPr>
              <w:t>TABLE OF CONTENTS</w:t>
            </w:r>
          </w:p>
        </w:tc>
        <w:tc>
          <w:tcPr>
            <w:tcW w:w="740" w:type="dxa"/>
            <w:vAlign w:val="bottom"/>
          </w:tcPr>
          <w:p>
            <w:pPr>
              <w:spacing w:after="0"/>
              <w:rPr>
                <w:sz w:val="14"/>
                <w:szCs w:val="14"/>
                <w:color w:val="auto"/>
              </w:rPr>
            </w:pPr>
          </w:p>
        </w:tc>
      </w:tr>
      <w:tr>
        <w:trPr>
          <w:trHeight w:val="336"/>
        </w:trPr>
        <w:tc>
          <w:tcPr>
            <w:tcW w:w="9400" w:type="dxa"/>
            <w:vAlign w:val="bottom"/>
            <w:gridSpan w:val="59"/>
          </w:tcPr>
          <w:p>
            <w:pPr>
              <w:spacing w:after="0"/>
              <w:rPr>
                <w:sz w:val="20"/>
                <w:szCs w:val="20"/>
                <w:color w:val="auto"/>
              </w:rPr>
            </w:pPr>
            <w:r>
              <w:rPr>
                <w:rFonts w:ascii="Arial" w:cs="Arial" w:eastAsia="Arial" w:hAnsi="Arial"/>
                <w:sz w:val="13"/>
                <w:szCs w:val="13"/>
                <w:b w:val="1"/>
                <w:bCs w:val="1"/>
                <w:color w:val="auto"/>
              </w:rPr>
              <w:t>Item</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Page No.</w:t>
            </w:r>
          </w:p>
        </w:tc>
      </w:tr>
      <w:tr>
        <w:trPr>
          <w:trHeight w:val="144"/>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gridSpan w:val="9"/>
          </w:tcPr>
          <w:p>
            <w:pPr>
              <w:jc w:val="center"/>
              <w:ind w:right="4280"/>
              <w:spacing w:after="0"/>
              <w:rPr>
                <w:rFonts w:ascii="Arial" w:cs="Arial" w:eastAsia="Arial" w:hAnsi="Arial"/>
                <w:sz w:val="12"/>
                <w:szCs w:val="12"/>
                <w:b w:val="1"/>
                <w:bCs w:val="1"/>
                <w:color w:val="0000EE"/>
                <w:w w:val="91"/>
              </w:rPr>
            </w:pPr>
            <w:hyperlink w:anchor="page5">
              <w:r>
                <w:rPr>
                  <w:rFonts w:ascii="Arial" w:cs="Arial" w:eastAsia="Arial" w:hAnsi="Arial"/>
                  <w:sz w:val="12"/>
                  <w:szCs w:val="12"/>
                  <w:b w:val="1"/>
                  <w:bCs w:val="1"/>
                  <w:color w:val="0000EE"/>
                  <w:w w:val="91"/>
                </w:rPr>
                <w:t>PART I</w:t>
              </w:r>
            </w:hyperlink>
          </w:p>
        </w:tc>
        <w:tc>
          <w:tcPr>
            <w:tcW w:w="740" w:type="dxa"/>
            <w:vAlign w:val="bottom"/>
          </w:tcPr>
          <w:p>
            <w:pPr>
              <w:spacing w:after="0"/>
              <w:rPr>
                <w:sz w:val="12"/>
                <w:szCs w:val="12"/>
                <w:color w:val="auto"/>
              </w:rPr>
            </w:pPr>
          </w:p>
        </w:tc>
      </w:tr>
      <w:tr>
        <w:trPr>
          <w:trHeight w:val="124"/>
        </w:trPr>
        <w:tc>
          <w:tcPr>
            <w:tcW w:w="80" w:type="dxa"/>
            <w:vAlign w:val="bottom"/>
            <w:gridSpan w:val="2"/>
          </w:tcPr>
          <w:p>
            <w:pPr>
              <w:spacing w:after="0"/>
              <w:rPr>
                <w:sz w:val="10"/>
                <w:szCs w:val="10"/>
                <w:color w:val="auto"/>
              </w:rPr>
            </w:pPr>
          </w:p>
        </w:tc>
        <w:tc>
          <w:tcPr>
            <w:tcW w:w="80" w:type="dxa"/>
            <w:vAlign w:val="bottom"/>
          </w:tcPr>
          <w:p>
            <w:pPr>
              <w:jc w:val="right"/>
              <w:spacing w:after="0"/>
              <w:rPr>
                <w:rFonts w:ascii="Arial" w:cs="Arial" w:eastAsia="Arial" w:hAnsi="Arial"/>
                <w:sz w:val="10"/>
                <w:szCs w:val="10"/>
                <w:color w:val="0000EE"/>
                <w:w w:val="71"/>
              </w:rPr>
            </w:pPr>
            <w:hyperlink w:anchor="page5">
              <w:r>
                <w:rPr>
                  <w:rFonts w:ascii="Arial" w:cs="Arial" w:eastAsia="Arial" w:hAnsi="Arial"/>
                  <w:sz w:val="10"/>
                  <w:szCs w:val="10"/>
                  <w:color w:val="0000EE"/>
                  <w:w w:val="71"/>
                </w:rPr>
                <w:t>1.</w:t>
              </w:r>
            </w:hyperlink>
          </w:p>
        </w:tc>
        <w:tc>
          <w:tcPr>
            <w:tcW w:w="740" w:type="dxa"/>
            <w:vAlign w:val="bottom"/>
          </w:tcPr>
          <w:p>
            <w:pPr>
              <w:spacing w:after="0"/>
              <w:rPr>
                <w:sz w:val="10"/>
                <w:szCs w:val="10"/>
                <w:color w:val="auto"/>
              </w:rPr>
            </w:pPr>
          </w:p>
        </w:tc>
        <w:tc>
          <w:tcPr>
            <w:tcW w:w="3820" w:type="dxa"/>
            <w:vAlign w:val="bottom"/>
            <w:gridSpan w:val="46"/>
          </w:tcPr>
          <w:p>
            <w:pPr>
              <w:spacing w:after="0" w:line="124" w:lineRule="exact"/>
              <w:rPr>
                <w:rFonts w:ascii="Arial" w:cs="Arial" w:eastAsia="Arial" w:hAnsi="Arial"/>
                <w:sz w:val="12"/>
                <w:szCs w:val="12"/>
                <w:color w:val="0000EE"/>
              </w:rPr>
            </w:pPr>
            <w:hyperlink w:anchor="page5">
              <w:r>
                <w:rPr>
                  <w:rFonts w:ascii="Arial" w:cs="Arial" w:eastAsia="Arial" w:hAnsi="Arial"/>
                  <w:sz w:val="12"/>
                  <w:szCs w:val="12"/>
                  <w:color w:val="0000EE"/>
                </w:rPr>
                <w:t>Business</w:t>
              </w:r>
            </w:hyperlink>
          </w:p>
        </w:tc>
        <w:tc>
          <w:tcPr>
            <w:tcW w:w="380" w:type="dxa"/>
            <w:vAlign w:val="bottom"/>
            <w:tcBorders>
              <w:top w:val="single" w:sz="8" w:color="0000EE"/>
            </w:tcBorders>
            <w:gridSpan w:val="3"/>
          </w:tcPr>
          <w:p>
            <w:pPr>
              <w:spacing w:after="0"/>
              <w:rPr>
                <w:sz w:val="10"/>
                <w:szCs w:val="10"/>
                <w:color w:val="auto"/>
              </w:rPr>
            </w:pPr>
          </w:p>
        </w:tc>
        <w:tc>
          <w:tcPr>
            <w:tcW w:w="4300" w:type="dxa"/>
            <w:vAlign w:val="bottom"/>
            <w:gridSpan w:val="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w:t>
            </w:r>
          </w:p>
        </w:tc>
      </w:tr>
      <w:tr>
        <w:trPr>
          <w:trHeight w:val="20"/>
        </w:trPr>
        <w:tc>
          <w:tcPr>
            <w:tcW w:w="10140" w:type="dxa"/>
            <w:vAlign w:val="bottom"/>
            <w:gridSpan w:val="60"/>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tcBorders>
              <w:bottom w:val="single" w:sz="8" w:color="0000EE"/>
            </w:tcBorders>
            <w:gridSpan w:val="24"/>
          </w:tcPr>
          <w:p>
            <w:pPr>
              <w:spacing w:after="0" w:line="124" w:lineRule="exact"/>
              <w:rPr>
                <w:rFonts w:ascii="Arial" w:cs="Arial" w:eastAsia="Arial" w:hAnsi="Arial"/>
                <w:sz w:val="12"/>
                <w:szCs w:val="12"/>
                <w:color w:val="0000EE"/>
                <w:w w:val="85"/>
              </w:rPr>
            </w:pPr>
            <w:hyperlink w:anchor="page5">
              <w:r>
                <w:rPr>
                  <w:rFonts w:ascii="Arial" w:cs="Arial" w:eastAsia="Arial" w:hAnsi="Arial"/>
                  <w:sz w:val="12"/>
                  <w:szCs w:val="12"/>
                  <w:color w:val="0000EE"/>
                  <w:w w:val="85"/>
                </w:rPr>
                <w:t>(a) General Development of Business</w:t>
              </w:r>
            </w:hyperlink>
          </w:p>
        </w:tc>
        <w:tc>
          <w:tcPr>
            <w:tcW w:w="6760" w:type="dxa"/>
            <w:vAlign w:val="bottom"/>
            <w:gridSpan w:val="31"/>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Borders>
              <w:bottom w:val="single" w:sz="8" w:color="0000EE"/>
            </w:tcBorders>
            <w:gridSpan w:val="28"/>
          </w:tcPr>
          <w:p>
            <w:pPr>
              <w:spacing w:after="0" w:line="124" w:lineRule="exact"/>
              <w:rPr>
                <w:rFonts w:ascii="Arial" w:cs="Arial" w:eastAsia="Arial" w:hAnsi="Arial"/>
                <w:sz w:val="12"/>
                <w:szCs w:val="12"/>
                <w:color w:val="0000EE"/>
                <w:w w:val="86"/>
              </w:rPr>
            </w:pPr>
            <w:hyperlink w:anchor="page6">
              <w:r>
                <w:rPr>
                  <w:rFonts w:ascii="Arial" w:cs="Arial" w:eastAsia="Arial" w:hAnsi="Arial"/>
                  <w:sz w:val="12"/>
                  <w:szCs w:val="12"/>
                  <w:color w:val="0000EE"/>
                  <w:w w:val="86"/>
                </w:rPr>
                <w:t>(b) Description of Business and Properties</w:t>
              </w:r>
            </w:hyperlink>
          </w:p>
        </w:tc>
        <w:tc>
          <w:tcPr>
            <w:tcW w:w="6540" w:type="dxa"/>
            <w:vAlign w:val="bottom"/>
            <w:gridSpan w:val="2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0000EE"/>
            </w:tcBorders>
            <w:gridSpan w:val="26"/>
          </w:tcPr>
          <w:p>
            <w:pPr>
              <w:spacing w:after="0" w:line="124" w:lineRule="exact"/>
              <w:rPr>
                <w:rFonts w:ascii="Arial" w:cs="Arial" w:eastAsia="Arial" w:hAnsi="Arial"/>
                <w:sz w:val="12"/>
                <w:szCs w:val="12"/>
                <w:color w:val="0000EE"/>
                <w:w w:val="87"/>
              </w:rPr>
            </w:pPr>
            <w:hyperlink w:anchor="page6">
              <w:r>
                <w:rPr>
                  <w:rFonts w:ascii="Arial" w:cs="Arial" w:eastAsia="Arial" w:hAnsi="Arial"/>
                  <w:sz w:val="12"/>
                  <w:szCs w:val="12"/>
                  <w:color w:val="0000EE"/>
                  <w:w w:val="87"/>
                </w:rPr>
                <w:t>Capital and Exploratory Expenditures</w:t>
              </w:r>
            </w:hyperlink>
          </w:p>
        </w:tc>
        <w:tc>
          <w:tcPr>
            <w:tcW w:w="6620" w:type="dxa"/>
            <w:vAlign w:val="bottom"/>
            <w:gridSpan w:val="2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6">
              <w:r>
                <w:rPr>
                  <w:rFonts w:ascii="Arial" w:cs="Arial" w:eastAsia="Arial" w:hAnsi="Arial"/>
                  <w:sz w:val="12"/>
                  <w:szCs w:val="12"/>
                  <w:color w:val="0000EE"/>
                </w:rPr>
                <w:t>Upstream — Exploration and Production</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tcBorders>
              <w:bottom w:val="single" w:sz="8" w:color="0000EE"/>
            </w:tcBorders>
            <w:gridSpan w:val="40"/>
          </w:tcPr>
          <w:p>
            <w:pPr>
              <w:spacing w:after="0" w:line="124" w:lineRule="exact"/>
              <w:rPr>
                <w:rFonts w:ascii="Arial" w:cs="Arial" w:eastAsia="Arial" w:hAnsi="Arial"/>
                <w:sz w:val="12"/>
                <w:szCs w:val="12"/>
                <w:color w:val="0000EE"/>
                <w:w w:val="87"/>
              </w:rPr>
            </w:pPr>
            <w:hyperlink w:anchor="page7">
              <w:r>
                <w:rPr>
                  <w:rFonts w:ascii="Arial" w:cs="Arial" w:eastAsia="Arial" w:hAnsi="Arial"/>
                  <w:sz w:val="12"/>
                  <w:szCs w:val="12"/>
                  <w:color w:val="0000EE"/>
                  <w:w w:val="87"/>
                </w:rPr>
                <w:t>Net Production of Crude Oil and Natural Gas Liquids and Natural Gas</w:t>
              </w:r>
            </w:hyperlink>
          </w:p>
        </w:tc>
        <w:tc>
          <w:tcPr>
            <w:tcW w:w="5120" w:type="dxa"/>
            <w:vAlign w:val="bottom"/>
            <w:gridSpan w:val="1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5</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60" w:type="dxa"/>
            <w:vAlign w:val="bottom"/>
            <w:tcBorders>
              <w:bottom w:val="single" w:sz="8" w:color="0000EE"/>
            </w:tcBorders>
            <w:gridSpan w:val="38"/>
          </w:tcPr>
          <w:p>
            <w:pPr>
              <w:spacing w:after="0" w:line="124" w:lineRule="exact"/>
              <w:rPr>
                <w:rFonts w:ascii="Arial" w:cs="Arial" w:eastAsia="Arial" w:hAnsi="Arial"/>
                <w:sz w:val="12"/>
                <w:szCs w:val="12"/>
                <w:color w:val="0000EE"/>
                <w:w w:val="86"/>
              </w:rPr>
            </w:pPr>
            <w:hyperlink w:anchor="page8">
              <w:r>
                <w:rPr>
                  <w:rFonts w:ascii="Arial" w:cs="Arial" w:eastAsia="Arial" w:hAnsi="Arial"/>
                  <w:sz w:val="12"/>
                  <w:szCs w:val="12"/>
                  <w:color w:val="0000EE"/>
                  <w:w w:val="86"/>
                </w:rPr>
                <w:t>Average Sales Prices and Production Costs per Unit of Production</w:t>
              </w:r>
            </w:hyperlink>
          </w:p>
        </w:tc>
        <w:tc>
          <w:tcPr>
            <w:tcW w:w="5320" w:type="dxa"/>
            <w:vAlign w:val="bottom"/>
            <w:gridSpan w:val="1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Gross and Net Productive Wells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Reserves</w:t>
              </w:r>
            </w:hyperlink>
          </w:p>
        </w:tc>
        <w:tc>
          <w:tcPr>
            <w:tcW w:w="6900" w:type="dxa"/>
            <w:vAlign w:val="bottom"/>
            <w:gridSpan w:val="3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4"/>
              </w:rPr>
            </w:pPr>
            <w:hyperlink w:anchor="page9">
              <w:r>
                <w:rPr>
                  <w:rFonts w:ascii="Arial" w:cs="Arial" w:eastAsia="Arial" w:hAnsi="Arial"/>
                  <w:sz w:val="12"/>
                  <w:szCs w:val="12"/>
                  <w:color w:val="0000EE"/>
                  <w:w w:val="84"/>
                </w:rPr>
                <w:t>Acreage</w:t>
              </w:r>
            </w:hyperlink>
          </w:p>
        </w:tc>
        <w:tc>
          <w:tcPr>
            <w:tcW w:w="20" w:type="dxa"/>
            <w:vAlign w:val="bottom"/>
            <w:tcBorders>
              <w:top w:val="single" w:sz="8" w:color="0000EE"/>
            </w:tcBorders>
          </w:tcPr>
          <w:p>
            <w:pPr>
              <w:spacing w:after="0"/>
              <w:rPr>
                <w:sz w:val="10"/>
                <w:szCs w:val="10"/>
                <w:color w:val="auto"/>
              </w:rPr>
            </w:pPr>
          </w:p>
        </w:tc>
        <w:tc>
          <w:tcPr>
            <w:tcW w:w="7960" w:type="dxa"/>
            <w:vAlign w:val="bottom"/>
            <w:gridSpan w:val="50"/>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7</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10">
              <w:r>
                <w:rPr>
                  <w:rFonts w:ascii="Arial" w:cs="Arial" w:eastAsia="Arial" w:hAnsi="Arial"/>
                  <w:sz w:val="12"/>
                  <w:szCs w:val="12"/>
                  <w:color w:val="0000EE"/>
                  <w:w w:val="89"/>
                </w:rPr>
                <w:t>Delivery Commitments</w:t>
              </w:r>
            </w:hyperlink>
          </w:p>
        </w:tc>
        <w:tc>
          <w:tcPr>
            <w:tcW w:w="7280" w:type="dxa"/>
            <w:vAlign w:val="bottom"/>
            <w:gridSpan w:val="3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8</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10">
              <w:r>
                <w:rPr>
                  <w:rFonts w:ascii="Arial" w:cs="Arial" w:eastAsia="Arial" w:hAnsi="Arial"/>
                  <w:sz w:val="12"/>
                  <w:szCs w:val="12"/>
                  <w:color w:val="0000EE"/>
                </w:rPr>
                <w:t>Development Activities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8</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0000EE"/>
              <w:bottom w:val="single" w:sz="8" w:color="0000EE"/>
            </w:tcBorders>
            <w:gridSpan w:val="15"/>
          </w:tcPr>
          <w:p>
            <w:pPr>
              <w:spacing w:after="0" w:line="124" w:lineRule="exact"/>
              <w:rPr>
                <w:rFonts w:ascii="Arial" w:cs="Arial" w:eastAsia="Arial" w:hAnsi="Arial"/>
                <w:sz w:val="12"/>
                <w:szCs w:val="12"/>
                <w:color w:val="0000EE"/>
                <w:w w:val="92"/>
              </w:rPr>
            </w:pPr>
            <w:hyperlink w:anchor="page11">
              <w:r>
                <w:rPr>
                  <w:rFonts w:ascii="Arial" w:cs="Arial" w:eastAsia="Arial" w:hAnsi="Arial"/>
                  <w:sz w:val="12"/>
                  <w:szCs w:val="12"/>
                  <w:color w:val="0000EE"/>
                  <w:w w:val="92"/>
                </w:rPr>
                <w:t>Exploration Activities</w:t>
              </w:r>
            </w:hyperlink>
          </w:p>
        </w:tc>
        <w:tc>
          <w:tcPr>
            <w:tcW w:w="60" w:type="dxa"/>
            <w:vAlign w:val="bottom"/>
            <w:tcBorders>
              <w:top w:val="single" w:sz="8" w:color="0000EE"/>
            </w:tcBorders>
          </w:tcPr>
          <w:p>
            <w:pPr>
              <w:spacing w:after="0"/>
              <w:rPr>
                <w:sz w:val="10"/>
                <w:szCs w:val="10"/>
                <w:color w:val="auto"/>
              </w:rPr>
            </w:pPr>
          </w:p>
        </w:tc>
        <w:tc>
          <w:tcPr>
            <w:tcW w:w="7280" w:type="dxa"/>
            <w:vAlign w:val="bottom"/>
            <w:gridSpan w:val="3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9</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0000EE"/>
            </w:tcBorders>
            <w:gridSpan w:val="41"/>
          </w:tcPr>
          <w:p>
            <w:pPr>
              <w:spacing w:after="0" w:line="124" w:lineRule="exact"/>
              <w:rPr>
                <w:rFonts w:ascii="Arial" w:cs="Arial" w:eastAsia="Arial" w:hAnsi="Arial"/>
                <w:sz w:val="12"/>
                <w:szCs w:val="12"/>
                <w:color w:val="0000EE"/>
                <w:w w:val="89"/>
              </w:rPr>
            </w:pPr>
            <w:hyperlink w:anchor="page11">
              <w:r>
                <w:rPr>
                  <w:rFonts w:ascii="Arial" w:cs="Arial" w:eastAsia="Arial" w:hAnsi="Arial"/>
                  <w:sz w:val="12"/>
                  <w:szCs w:val="12"/>
                  <w:color w:val="0000EE"/>
                  <w:w w:val="89"/>
                </w:rPr>
                <w:t>Review of Ongoing Exploration and Production Activities in Key Areas</w:t>
              </w:r>
            </w:hyperlink>
          </w:p>
        </w:tc>
        <w:tc>
          <w:tcPr>
            <w:tcW w:w="5040" w:type="dxa"/>
            <w:vAlign w:val="bottom"/>
            <w:gridSpan w:val="1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9</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Borders>
              <w:bottom w:val="single" w:sz="8" w:color="0000EE"/>
            </w:tcBorders>
            <w:gridSpan w:val="30"/>
          </w:tcPr>
          <w:p>
            <w:pPr>
              <w:spacing w:after="0" w:line="124" w:lineRule="exact"/>
              <w:rPr>
                <w:rFonts w:ascii="Arial" w:cs="Arial" w:eastAsia="Arial" w:hAnsi="Arial"/>
                <w:sz w:val="12"/>
                <w:szCs w:val="12"/>
                <w:color w:val="0000EE"/>
                <w:w w:val="86"/>
              </w:rPr>
            </w:pPr>
            <w:hyperlink w:anchor="page25">
              <w:r>
                <w:rPr>
                  <w:rFonts w:ascii="Arial" w:cs="Arial" w:eastAsia="Arial" w:hAnsi="Arial"/>
                  <w:sz w:val="12"/>
                  <w:szCs w:val="12"/>
                  <w:color w:val="0000EE"/>
                  <w:w w:val="86"/>
                </w:rPr>
                <w:t>Sales of Natural Gas and Natural Gas Liquids</w:t>
              </w:r>
            </w:hyperlink>
          </w:p>
        </w:tc>
        <w:tc>
          <w:tcPr>
            <w:tcW w:w="6260" w:type="dxa"/>
            <w:vAlign w:val="bottom"/>
            <w:gridSpan w:val="2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23</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Borders>
              <w:bottom w:val="single" w:sz="8" w:color="0000EE"/>
            </w:tcBorders>
            <w:gridSpan w:val="36"/>
          </w:tcPr>
          <w:p>
            <w:pPr>
              <w:spacing w:after="0" w:line="124" w:lineRule="exact"/>
              <w:rPr>
                <w:rFonts w:ascii="Arial" w:cs="Arial" w:eastAsia="Arial" w:hAnsi="Arial"/>
                <w:sz w:val="12"/>
                <w:szCs w:val="12"/>
                <w:color w:val="0000EE"/>
                <w:w w:val="88"/>
              </w:rPr>
            </w:pPr>
            <w:hyperlink w:anchor="page26">
              <w:r>
                <w:rPr>
                  <w:rFonts w:ascii="Arial" w:cs="Arial" w:eastAsia="Arial" w:hAnsi="Arial"/>
                  <w:sz w:val="12"/>
                  <w:szCs w:val="12"/>
                  <w:color w:val="0000EE"/>
                  <w:w w:val="88"/>
                </w:rPr>
                <w:t>Downstream — Refining, Marketing and Transportation</w:t>
              </w:r>
            </w:hyperlink>
          </w:p>
        </w:tc>
        <w:tc>
          <w:tcPr>
            <w:tcW w:w="5760" w:type="dxa"/>
            <w:vAlign w:val="bottom"/>
            <w:gridSpan w:val="1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24</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26">
              <w:r>
                <w:rPr>
                  <w:rFonts w:ascii="Arial" w:cs="Arial" w:eastAsia="Arial" w:hAnsi="Arial"/>
                  <w:sz w:val="12"/>
                  <w:szCs w:val="12"/>
                  <w:color w:val="0000EE"/>
                </w:rPr>
                <w:t>Refining Operations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24</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27">
              <w:r>
                <w:rPr>
                  <w:rFonts w:ascii="Arial" w:cs="Arial" w:eastAsia="Arial" w:hAnsi="Arial"/>
                  <w:sz w:val="12"/>
                  <w:szCs w:val="12"/>
                  <w:color w:val="0000EE"/>
                </w:rPr>
                <w:t>Gas-to-Liquids</w:t>
              </w:r>
            </w:hyperlink>
          </w:p>
        </w:tc>
        <w:tc>
          <w:tcPr>
            <w:tcW w:w="7440" w:type="dxa"/>
            <w:vAlign w:val="bottom"/>
            <w:gridSpan w:val="4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25</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0000EE"/>
            </w:tcBorders>
            <w:gridSpan w:val="15"/>
          </w:tcPr>
          <w:p>
            <w:pPr>
              <w:spacing w:after="0" w:line="124" w:lineRule="exact"/>
              <w:rPr>
                <w:rFonts w:ascii="Arial" w:cs="Arial" w:eastAsia="Arial" w:hAnsi="Arial"/>
                <w:sz w:val="12"/>
                <w:szCs w:val="12"/>
                <w:color w:val="0000EE"/>
                <w:w w:val="88"/>
              </w:rPr>
            </w:pPr>
            <w:hyperlink w:anchor="page27">
              <w:r>
                <w:rPr>
                  <w:rFonts w:ascii="Arial" w:cs="Arial" w:eastAsia="Arial" w:hAnsi="Arial"/>
                  <w:sz w:val="12"/>
                  <w:szCs w:val="12"/>
                  <w:color w:val="0000EE"/>
                  <w:w w:val="88"/>
                </w:rPr>
                <w:t>Marketing Operations</w:t>
              </w:r>
            </w:hyperlink>
          </w:p>
        </w:tc>
        <w:tc>
          <w:tcPr>
            <w:tcW w:w="7340" w:type="dxa"/>
            <w:vAlign w:val="bottom"/>
            <w:gridSpan w:val="3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25</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0000EE"/>
            </w:tcBorders>
            <w:gridSpan w:val="20"/>
          </w:tcPr>
          <w:p>
            <w:pPr>
              <w:spacing w:after="0" w:line="124" w:lineRule="exact"/>
              <w:rPr>
                <w:rFonts w:ascii="Arial" w:cs="Arial" w:eastAsia="Arial" w:hAnsi="Arial"/>
                <w:sz w:val="12"/>
                <w:szCs w:val="12"/>
                <w:color w:val="0000EE"/>
                <w:w w:val="88"/>
              </w:rPr>
            </w:pPr>
            <w:hyperlink w:anchor="page28">
              <w:r>
                <w:rPr>
                  <w:rFonts w:ascii="Arial" w:cs="Arial" w:eastAsia="Arial" w:hAnsi="Arial"/>
                  <w:sz w:val="12"/>
                  <w:szCs w:val="12"/>
                  <w:color w:val="0000EE"/>
                  <w:w w:val="88"/>
                </w:rPr>
                <w:t>Transportation Operations</w:t>
              </w:r>
            </w:hyperlink>
          </w:p>
        </w:tc>
        <w:tc>
          <w:tcPr>
            <w:tcW w:w="7120" w:type="dxa"/>
            <w:vAlign w:val="bottom"/>
            <w:gridSpan w:val="3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26</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0000EE"/>
            </w:tcBorders>
            <w:gridSpan w:val="6"/>
          </w:tcPr>
          <w:p>
            <w:pPr>
              <w:spacing w:after="0" w:line="124" w:lineRule="exact"/>
              <w:rPr>
                <w:rFonts w:ascii="Arial" w:cs="Arial" w:eastAsia="Arial" w:hAnsi="Arial"/>
                <w:sz w:val="12"/>
                <w:szCs w:val="12"/>
                <w:color w:val="0000EE"/>
                <w:w w:val="85"/>
              </w:rPr>
            </w:pPr>
            <w:hyperlink w:anchor="page29">
              <w:r>
                <w:rPr>
                  <w:rFonts w:ascii="Arial" w:cs="Arial" w:eastAsia="Arial" w:hAnsi="Arial"/>
                  <w:sz w:val="12"/>
                  <w:szCs w:val="12"/>
                  <w:color w:val="0000EE"/>
                  <w:w w:val="85"/>
                </w:rPr>
                <w:t>Chemicals</w:t>
              </w:r>
            </w:hyperlink>
          </w:p>
        </w:tc>
        <w:tc>
          <w:tcPr>
            <w:tcW w:w="7880" w:type="dxa"/>
            <w:vAlign w:val="bottom"/>
            <w:gridSpan w:val="4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27</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30">
              <w:r>
                <w:rPr>
                  <w:rFonts w:ascii="Arial" w:cs="Arial" w:eastAsia="Arial" w:hAnsi="Arial"/>
                  <w:sz w:val="12"/>
                  <w:szCs w:val="12"/>
                  <w:color w:val="0000EE"/>
                </w:rPr>
                <w:t>Other Businesses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4"/>
              </w:rPr>
            </w:pPr>
            <w:hyperlink w:anchor="page30">
              <w:r>
                <w:rPr>
                  <w:rFonts w:ascii="Arial" w:cs="Arial" w:eastAsia="Arial" w:hAnsi="Arial"/>
                  <w:sz w:val="12"/>
                  <w:szCs w:val="12"/>
                  <w:color w:val="0000EE"/>
                  <w:w w:val="84"/>
                </w:rPr>
                <w:t>Mining</w:t>
              </w:r>
            </w:hyperlink>
          </w:p>
        </w:tc>
        <w:tc>
          <w:tcPr>
            <w:tcW w:w="460" w:type="dxa"/>
            <w:vAlign w:val="bottom"/>
            <w:tcBorders>
              <w:top w:val="single" w:sz="8" w:color="0000EE"/>
            </w:tcBorders>
            <w:gridSpan w:val="8"/>
          </w:tcPr>
          <w:p>
            <w:pPr>
              <w:spacing w:after="0"/>
              <w:rPr>
                <w:sz w:val="10"/>
                <w:szCs w:val="10"/>
                <w:color w:val="auto"/>
              </w:rPr>
            </w:pPr>
          </w:p>
        </w:tc>
        <w:tc>
          <w:tcPr>
            <w:tcW w:w="7580" w:type="dxa"/>
            <w:vAlign w:val="bottom"/>
            <w:gridSpan w:val="4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30">
              <w:r>
                <w:rPr>
                  <w:rFonts w:ascii="Arial" w:cs="Arial" w:eastAsia="Arial" w:hAnsi="Arial"/>
                  <w:sz w:val="12"/>
                  <w:szCs w:val="12"/>
                  <w:color w:val="0000EE"/>
                </w:rPr>
                <w:t>Power Generation</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0000EE"/>
            </w:tcBorders>
            <w:gridSpan w:val="20"/>
          </w:tcPr>
          <w:p>
            <w:pPr>
              <w:spacing w:after="0" w:line="124" w:lineRule="exact"/>
              <w:rPr>
                <w:rFonts w:ascii="Arial" w:cs="Arial" w:eastAsia="Arial" w:hAnsi="Arial"/>
                <w:sz w:val="12"/>
                <w:szCs w:val="12"/>
                <w:color w:val="0000EE"/>
                <w:w w:val="88"/>
              </w:rPr>
            </w:pPr>
            <w:hyperlink w:anchor="page31">
              <w:r>
                <w:rPr>
                  <w:rFonts w:ascii="Arial" w:cs="Arial" w:eastAsia="Arial" w:hAnsi="Arial"/>
                  <w:sz w:val="12"/>
                  <w:szCs w:val="12"/>
                  <w:color w:val="0000EE"/>
                  <w:w w:val="88"/>
                </w:rPr>
                <w:t>Chevron Energy Solutions</w:t>
              </w:r>
            </w:hyperlink>
          </w:p>
        </w:tc>
        <w:tc>
          <w:tcPr>
            <w:tcW w:w="7120" w:type="dxa"/>
            <w:vAlign w:val="bottom"/>
            <w:gridSpan w:val="3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bottom w:val="single" w:sz="8" w:color="0000EE"/>
            </w:tcBorders>
            <w:gridSpan w:val="19"/>
          </w:tcPr>
          <w:p>
            <w:pPr>
              <w:spacing w:after="0" w:line="124" w:lineRule="exact"/>
              <w:rPr>
                <w:rFonts w:ascii="Arial" w:cs="Arial" w:eastAsia="Arial" w:hAnsi="Arial"/>
                <w:sz w:val="12"/>
                <w:szCs w:val="12"/>
                <w:color w:val="0000EE"/>
                <w:w w:val="87"/>
              </w:rPr>
            </w:pPr>
            <w:hyperlink w:anchor="page31">
              <w:r>
                <w:rPr>
                  <w:rFonts w:ascii="Arial" w:cs="Arial" w:eastAsia="Arial" w:hAnsi="Arial"/>
                  <w:sz w:val="12"/>
                  <w:szCs w:val="12"/>
                  <w:color w:val="0000EE"/>
                  <w:w w:val="87"/>
                </w:rPr>
                <w:t>Research and Technology</w:t>
              </w:r>
            </w:hyperlink>
          </w:p>
        </w:tc>
        <w:tc>
          <w:tcPr>
            <w:tcW w:w="7140" w:type="dxa"/>
            <w:vAlign w:val="bottom"/>
            <w:gridSpan w:val="3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bottom w:val="single" w:sz="8" w:color="0000EE"/>
            </w:tcBorders>
            <w:gridSpan w:val="18"/>
          </w:tcPr>
          <w:p>
            <w:pPr>
              <w:spacing w:after="0" w:line="124" w:lineRule="exact"/>
              <w:rPr>
                <w:rFonts w:ascii="Arial" w:cs="Arial" w:eastAsia="Arial" w:hAnsi="Arial"/>
                <w:sz w:val="12"/>
                <w:szCs w:val="12"/>
                <w:color w:val="0000EE"/>
                <w:w w:val="89"/>
              </w:rPr>
            </w:pPr>
            <w:hyperlink w:anchor="page31">
              <w:r>
                <w:rPr>
                  <w:rFonts w:ascii="Arial" w:cs="Arial" w:eastAsia="Arial" w:hAnsi="Arial"/>
                  <w:sz w:val="12"/>
                  <w:szCs w:val="12"/>
                  <w:color w:val="0000EE"/>
                  <w:w w:val="89"/>
                </w:rPr>
                <w:t>Environmental Protection</w:t>
              </w:r>
            </w:hyperlink>
          </w:p>
        </w:tc>
        <w:tc>
          <w:tcPr>
            <w:tcW w:w="7160" w:type="dxa"/>
            <w:vAlign w:val="bottom"/>
            <w:gridSpan w:val="3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380" w:type="dxa"/>
            <w:vAlign w:val="bottom"/>
            <w:gridSpan w:val="54"/>
          </w:tcPr>
          <w:p>
            <w:pPr>
              <w:spacing w:after="0" w:line="124" w:lineRule="exact"/>
              <w:rPr>
                <w:rFonts w:ascii="Arial" w:cs="Arial" w:eastAsia="Arial" w:hAnsi="Arial"/>
                <w:sz w:val="12"/>
                <w:szCs w:val="12"/>
                <w:color w:val="0000EE"/>
              </w:rPr>
            </w:pPr>
            <w:hyperlink w:anchor="page31">
              <w:r>
                <w:rPr>
                  <w:rFonts w:ascii="Arial" w:cs="Arial" w:eastAsia="Arial" w:hAnsi="Arial"/>
                  <w:sz w:val="12"/>
                  <w:szCs w:val="12"/>
                  <w:color w:val="0000EE"/>
                </w:rPr>
                <w:t>Web Site Access to SEC Reports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900" w:type="dxa"/>
            <w:vAlign w:val="bottom"/>
            <w:gridSpan w:val="4"/>
          </w:tcPr>
          <w:p>
            <w:pPr>
              <w:jc w:val="right"/>
              <w:ind w:right="740"/>
              <w:spacing w:after="0" w:line="124" w:lineRule="exact"/>
              <w:rPr>
                <w:rFonts w:ascii="Arial" w:cs="Arial" w:eastAsia="Arial" w:hAnsi="Arial"/>
                <w:sz w:val="12"/>
                <w:szCs w:val="12"/>
                <w:color w:val="0000EE"/>
                <w:w w:val="77"/>
              </w:rPr>
            </w:pPr>
            <w:hyperlink w:anchor="page32">
              <w:r>
                <w:rPr>
                  <w:rFonts w:ascii="Arial" w:cs="Arial" w:eastAsia="Arial" w:hAnsi="Arial"/>
                  <w:sz w:val="12"/>
                  <w:szCs w:val="12"/>
                  <w:color w:val="0000EE"/>
                  <w:w w:val="77"/>
                </w:rPr>
                <w:t>1A.</w:t>
              </w:r>
            </w:hyperlink>
          </w:p>
        </w:tc>
        <w:tc>
          <w:tcPr>
            <w:tcW w:w="8500" w:type="dxa"/>
            <w:vAlign w:val="bottom"/>
            <w:gridSpan w:val="55"/>
          </w:tcPr>
          <w:p>
            <w:pPr>
              <w:spacing w:after="0" w:line="124" w:lineRule="exact"/>
              <w:rPr>
                <w:rFonts w:ascii="Arial" w:cs="Arial" w:eastAsia="Arial" w:hAnsi="Arial"/>
                <w:sz w:val="12"/>
                <w:szCs w:val="12"/>
                <w:color w:val="0000EE"/>
              </w:rPr>
            </w:pPr>
            <w:hyperlink w:anchor="page32">
              <w:r>
                <w:rPr>
                  <w:rFonts w:ascii="Arial" w:cs="Arial" w:eastAsia="Arial" w:hAnsi="Arial"/>
                  <w:sz w:val="12"/>
                  <w:szCs w:val="12"/>
                  <w:color w:val="0000EE"/>
                </w:rPr>
                <w:t>Risk Factors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900" w:type="dxa"/>
            <w:vAlign w:val="bottom"/>
            <w:gridSpan w:val="4"/>
          </w:tcPr>
          <w:p>
            <w:pPr>
              <w:jc w:val="right"/>
              <w:ind w:right="740"/>
              <w:spacing w:after="0" w:line="124" w:lineRule="exact"/>
              <w:rPr>
                <w:rFonts w:ascii="Arial" w:cs="Arial" w:eastAsia="Arial" w:hAnsi="Arial"/>
                <w:sz w:val="12"/>
                <w:szCs w:val="12"/>
                <w:color w:val="0000EE"/>
                <w:w w:val="77"/>
              </w:rPr>
            </w:pPr>
            <w:hyperlink w:anchor="page33">
              <w:r>
                <w:rPr>
                  <w:rFonts w:ascii="Arial" w:cs="Arial" w:eastAsia="Arial" w:hAnsi="Arial"/>
                  <w:sz w:val="12"/>
                  <w:szCs w:val="12"/>
                  <w:color w:val="0000EE"/>
                  <w:w w:val="77"/>
                </w:rPr>
                <w:t>1B.</w:t>
              </w:r>
            </w:hyperlink>
          </w:p>
        </w:tc>
        <w:tc>
          <w:tcPr>
            <w:tcW w:w="8500" w:type="dxa"/>
            <w:vAlign w:val="bottom"/>
            <w:gridSpan w:val="55"/>
          </w:tcPr>
          <w:p>
            <w:pPr>
              <w:spacing w:after="0" w:line="124" w:lineRule="exact"/>
              <w:rPr>
                <w:rFonts w:ascii="Arial" w:cs="Arial" w:eastAsia="Arial" w:hAnsi="Arial"/>
                <w:sz w:val="12"/>
                <w:szCs w:val="12"/>
                <w:color w:val="0000EE"/>
              </w:rPr>
            </w:pPr>
            <w:hyperlink w:anchor="page33">
              <w:r>
                <w:rPr>
                  <w:rFonts w:ascii="Arial" w:cs="Arial" w:eastAsia="Arial" w:hAnsi="Arial"/>
                  <w:sz w:val="12"/>
                  <w:szCs w:val="12"/>
                  <w:color w:val="0000EE"/>
                </w:rPr>
                <w:t>Unresolved Staff Comments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31</w:t>
            </w:r>
          </w:p>
        </w:tc>
      </w:tr>
      <w:tr>
        <w:trPr>
          <w:trHeight w:val="124"/>
        </w:trPr>
        <w:tc>
          <w:tcPr>
            <w:tcW w:w="80" w:type="dxa"/>
            <w:vAlign w:val="bottom"/>
            <w:tcBorders>
              <w:top w:val="single" w:sz="8" w:color="0000EE"/>
            </w:tcBorders>
            <w:gridSpan w:val="2"/>
          </w:tcPr>
          <w:p>
            <w:pPr>
              <w:spacing w:after="0"/>
              <w:rPr>
                <w:sz w:val="10"/>
                <w:szCs w:val="10"/>
                <w:color w:val="auto"/>
              </w:rPr>
            </w:pPr>
          </w:p>
        </w:tc>
        <w:tc>
          <w:tcPr>
            <w:tcW w:w="80" w:type="dxa"/>
            <w:vAlign w:val="bottom"/>
            <w:tcBorders>
              <w:top w:val="single" w:sz="8" w:color="0000EE"/>
            </w:tcBorders>
          </w:tcPr>
          <w:p>
            <w:pPr>
              <w:jc w:val="right"/>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w:t>
              </w:r>
            </w:hyperlink>
          </w:p>
        </w:tc>
        <w:tc>
          <w:tcPr>
            <w:tcW w:w="740" w:type="dxa"/>
            <w:vAlign w:val="bottom"/>
          </w:tcPr>
          <w:p>
            <w:pPr>
              <w:spacing w:after="0"/>
              <w:rPr>
                <w:sz w:val="10"/>
                <w:szCs w:val="10"/>
                <w:color w:val="auto"/>
              </w:rPr>
            </w:pPr>
          </w:p>
        </w:tc>
        <w:tc>
          <w:tcPr>
            <w:tcW w:w="132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w:anchor="page33">
              <w:r>
                <w:rPr>
                  <w:rFonts w:ascii="Arial" w:cs="Arial" w:eastAsia="Arial" w:hAnsi="Arial"/>
                  <w:sz w:val="12"/>
                  <w:szCs w:val="12"/>
                  <w:color w:val="0000EE"/>
                </w:rPr>
                <w:t>Properties</w:t>
              </w:r>
            </w:hyperlink>
          </w:p>
        </w:tc>
        <w:tc>
          <w:tcPr>
            <w:tcW w:w="7180" w:type="dxa"/>
            <w:vAlign w:val="bottom"/>
            <w:gridSpan w:val="3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31</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80" w:type="dxa"/>
            <w:vAlign w:val="bottom"/>
            <w:gridSpan w:val="2"/>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3.</w:t>
              </w:r>
            </w:hyperlink>
          </w:p>
        </w:tc>
        <w:tc>
          <w:tcPr>
            <w:tcW w:w="740" w:type="dxa"/>
            <w:vAlign w:val="bottom"/>
          </w:tcPr>
          <w:p>
            <w:pPr>
              <w:spacing w:after="0"/>
              <w:rPr>
                <w:sz w:val="10"/>
                <w:szCs w:val="10"/>
                <w:color w:val="auto"/>
              </w:rPr>
            </w:pPr>
          </w:p>
        </w:tc>
        <w:tc>
          <w:tcPr>
            <w:tcW w:w="860" w:type="dxa"/>
            <w:vAlign w:val="bottom"/>
            <w:tcBorders>
              <w:bottom w:val="single" w:sz="8" w:color="0000EE"/>
            </w:tcBorders>
            <w:gridSpan w:val="10"/>
          </w:tcPr>
          <w:p>
            <w:pPr>
              <w:spacing w:after="0" w:line="124" w:lineRule="exact"/>
              <w:rPr>
                <w:rFonts w:ascii="Arial" w:cs="Arial" w:eastAsia="Arial" w:hAnsi="Arial"/>
                <w:sz w:val="12"/>
                <w:szCs w:val="12"/>
                <w:color w:val="0000EE"/>
                <w:w w:val="84"/>
              </w:rPr>
            </w:pPr>
            <w:hyperlink w:anchor="page33">
              <w:r>
                <w:rPr>
                  <w:rFonts w:ascii="Arial" w:cs="Arial" w:eastAsia="Arial" w:hAnsi="Arial"/>
                  <w:sz w:val="12"/>
                  <w:szCs w:val="12"/>
                  <w:color w:val="0000EE"/>
                  <w:w w:val="84"/>
                </w:rPr>
                <w:t>Legal Proceedings</w:t>
              </w:r>
            </w:hyperlink>
          </w:p>
        </w:tc>
        <w:tc>
          <w:tcPr>
            <w:tcW w:w="7640" w:type="dxa"/>
            <w:vAlign w:val="bottom"/>
            <w:gridSpan w:val="4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31</w:t>
            </w:r>
          </w:p>
        </w:tc>
      </w:tr>
      <w:tr>
        <w:trPr>
          <w:trHeight w:val="124"/>
        </w:trPr>
        <w:tc>
          <w:tcPr>
            <w:tcW w:w="160" w:type="dxa"/>
            <w:vAlign w:val="bottom"/>
            <w:gridSpan w:val="3"/>
          </w:tcPr>
          <w:p>
            <w:pPr>
              <w:jc w:val="right"/>
              <w:spacing w:after="0" w:line="124" w:lineRule="exact"/>
              <w:rPr>
                <w:rFonts w:ascii="Arial" w:cs="Arial" w:eastAsia="Arial" w:hAnsi="Arial"/>
                <w:sz w:val="12"/>
                <w:szCs w:val="12"/>
                <w:color w:val="0000EE"/>
              </w:rPr>
            </w:pPr>
            <w:hyperlink w:anchor="page34">
              <w:r>
                <w:rPr>
                  <w:rFonts w:ascii="Arial" w:cs="Arial" w:eastAsia="Arial" w:hAnsi="Arial"/>
                  <w:sz w:val="12"/>
                  <w:szCs w:val="12"/>
                  <w:color w:val="0000EE"/>
                </w:rPr>
                <w:t>4.</w:t>
              </w:r>
            </w:hyperlink>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4">
              <w:r>
                <w:rPr>
                  <w:rFonts w:ascii="Arial" w:cs="Arial" w:eastAsia="Arial" w:hAnsi="Arial"/>
                  <w:sz w:val="12"/>
                  <w:szCs w:val="12"/>
                  <w:color w:val="0000EE"/>
                </w:rPr>
                <w:t>Submission of Matters to a Vote of Security Holders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32</w:t>
            </w:r>
          </w:p>
        </w:tc>
      </w:tr>
      <w:tr>
        <w:trPr>
          <w:trHeight w:val="239"/>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0"/>
          </w:tcPr>
          <w:p>
            <w:pPr>
              <w:jc w:val="center"/>
              <w:ind w:right="4280"/>
              <w:spacing w:after="0"/>
              <w:rPr>
                <w:rFonts w:ascii="Arial" w:cs="Arial" w:eastAsia="Arial" w:hAnsi="Arial"/>
                <w:sz w:val="12"/>
                <w:szCs w:val="12"/>
                <w:b w:val="1"/>
                <w:bCs w:val="1"/>
                <w:color w:val="0000EE"/>
                <w:w w:val="98"/>
              </w:rPr>
            </w:pPr>
            <w:hyperlink w:anchor="page35">
              <w:r>
                <w:rPr>
                  <w:rFonts w:ascii="Arial" w:cs="Arial" w:eastAsia="Arial" w:hAnsi="Arial"/>
                  <w:sz w:val="12"/>
                  <w:szCs w:val="12"/>
                  <w:b w:val="1"/>
                  <w:bCs w:val="1"/>
                  <w:color w:val="0000EE"/>
                  <w:w w:val="98"/>
                </w:rPr>
                <w:t>PART II</w:t>
              </w:r>
            </w:hyperlink>
          </w:p>
        </w:tc>
        <w:tc>
          <w:tcPr>
            <w:tcW w:w="7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80" w:type="dxa"/>
            <w:vAlign w:val="bottom"/>
            <w:gridSpan w:val="2"/>
          </w:tcPr>
          <w:p>
            <w:pPr>
              <w:spacing w:after="0"/>
              <w:rPr>
                <w:sz w:val="10"/>
                <w:szCs w:val="10"/>
                <w:color w:val="auto"/>
              </w:rPr>
            </w:pPr>
          </w:p>
        </w:tc>
        <w:tc>
          <w:tcPr>
            <w:tcW w:w="80" w:type="dxa"/>
            <w:vAlign w:val="bottom"/>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5.</w:t>
              </w:r>
            </w:hyperlink>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Market for the Registrant’s Common Equity, Related Stockholder Matters and Issuer Purchases of Equity Securities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80" w:type="dxa"/>
            <w:vAlign w:val="bottom"/>
            <w:gridSpan w:val="2"/>
          </w:tcPr>
          <w:p>
            <w:pPr>
              <w:spacing w:after="0"/>
              <w:rPr>
                <w:sz w:val="10"/>
                <w:szCs w:val="10"/>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6.</w:t>
              </w:r>
            </w:hyperlink>
          </w:p>
        </w:tc>
        <w:tc>
          <w:tcPr>
            <w:tcW w:w="740" w:type="dxa"/>
            <w:vAlign w:val="bottom"/>
          </w:tcPr>
          <w:p>
            <w:pPr>
              <w:spacing w:after="0"/>
              <w:rPr>
                <w:sz w:val="10"/>
                <w:szCs w:val="10"/>
                <w:color w:val="auto"/>
              </w:rPr>
            </w:pPr>
          </w:p>
        </w:tc>
        <w:tc>
          <w:tcPr>
            <w:tcW w:w="110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85"/>
              </w:rPr>
            </w:pPr>
            <w:hyperlink w:anchor="page35">
              <w:r>
                <w:rPr>
                  <w:rFonts w:ascii="Arial" w:cs="Arial" w:eastAsia="Arial" w:hAnsi="Arial"/>
                  <w:sz w:val="12"/>
                  <w:szCs w:val="12"/>
                  <w:color w:val="0000EE"/>
                  <w:w w:val="85"/>
                </w:rPr>
                <w:t>Selected Financial Data</w:t>
              </w:r>
            </w:hyperlink>
          </w:p>
        </w:tc>
        <w:tc>
          <w:tcPr>
            <w:tcW w:w="4240" w:type="dxa"/>
            <w:vAlign w:val="bottom"/>
            <w:tcBorders>
              <w:top w:val="single" w:sz="8" w:color="0000EE"/>
            </w:tcBorders>
            <w:gridSpan w:val="40"/>
          </w:tcPr>
          <w:p>
            <w:pPr>
              <w:spacing w:after="0"/>
              <w:rPr>
                <w:sz w:val="10"/>
                <w:szCs w:val="10"/>
                <w:color w:val="auto"/>
              </w:rPr>
            </w:pPr>
          </w:p>
        </w:tc>
        <w:tc>
          <w:tcPr>
            <w:tcW w:w="3160" w:type="dxa"/>
            <w:vAlign w:val="bottom"/>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80" w:type="dxa"/>
            <w:vAlign w:val="bottom"/>
            <w:gridSpan w:val="2"/>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7.</w:t>
              </w:r>
            </w:hyperlink>
          </w:p>
        </w:tc>
        <w:tc>
          <w:tcPr>
            <w:tcW w:w="740" w:type="dxa"/>
            <w:vAlign w:val="bottom"/>
          </w:tcPr>
          <w:p>
            <w:pPr>
              <w:spacing w:after="0"/>
              <w:rPr>
                <w:sz w:val="10"/>
                <w:szCs w:val="10"/>
                <w:color w:val="auto"/>
              </w:rPr>
            </w:pPr>
          </w:p>
        </w:tc>
        <w:tc>
          <w:tcPr>
            <w:tcW w:w="4140" w:type="dxa"/>
            <w:vAlign w:val="bottom"/>
            <w:tcBorders>
              <w:bottom w:val="single" w:sz="8" w:color="0000EE"/>
            </w:tcBorders>
            <w:gridSpan w:val="47"/>
          </w:tcPr>
          <w:p>
            <w:pPr>
              <w:spacing w:after="0" w:line="124" w:lineRule="exact"/>
              <w:rPr>
                <w:rFonts w:ascii="Arial" w:cs="Arial" w:eastAsia="Arial" w:hAnsi="Arial"/>
                <w:sz w:val="12"/>
                <w:szCs w:val="12"/>
                <w:color w:val="0000EE"/>
                <w:w w:val="87"/>
              </w:rPr>
            </w:pPr>
            <w:hyperlink w:anchor="page35">
              <w:r>
                <w:rPr>
                  <w:rFonts w:ascii="Arial" w:cs="Arial" w:eastAsia="Arial" w:hAnsi="Arial"/>
                  <w:sz w:val="12"/>
                  <w:szCs w:val="12"/>
                  <w:color w:val="0000EE"/>
                  <w:w w:val="87"/>
                </w:rPr>
                <w:t>Management’s Discussion and Analysis of Financial Condition and Results of Operations</w:t>
              </w:r>
            </w:hyperlink>
          </w:p>
        </w:tc>
        <w:tc>
          <w:tcPr>
            <w:tcW w:w="4360" w:type="dxa"/>
            <w:vAlign w:val="bottom"/>
            <w:gridSpan w:val="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900" w:type="dxa"/>
            <w:vAlign w:val="bottom"/>
            <w:gridSpan w:val="4"/>
          </w:tcPr>
          <w:p>
            <w:pPr>
              <w:jc w:val="right"/>
              <w:ind w:right="740"/>
              <w:spacing w:after="0" w:line="124" w:lineRule="exact"/>
              <w:rPr>
                <w:rFonts w:ascii="Arial" w:cs="Arial" w:eastAsia="Arial" w:hAnsi="Arial"/>
                <w:sz w:val="12"/>
                <w:szCs w:val="12"/>
                <w:color w:val="0000EE"/>
                <w:w w:val="77"/>
              </w:rPr>
            </w:pPr>
            <w:hyperlink w:anchor="page35">
              <w:r>
                <w:rPr>
                  <w:rFonts w:ascii="Arial" w:cs="Arial" w:eastAsia="Arial" w:hAnsi="Arial"/>
                  <w:sz w:val="12"/>
                  <w:szCs w:val="12"/>
                  <w:color w:val="0000EE"/>
                  <w:w w:val="77"/>
                </w:rPr>
                <w:t>7A.</w:t>
              </w:r>
            </w:hyperlink>
          </w:p>
        </w:tc>
        <w:tc>
          <w:tcPr>
            <w:tcW w:w="8500" w:type="dxa"/>
            <w:vAlign w:val="bottom"/>
            <w:gridSpan w:val="55"/>
          </w:tcPr>
          <w:p>
            <w:pPr>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Quantitative and Qualitative Disclosures About Market Risk</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80" w:type="dxa"/>
            <w:vAlign w:val="bottom"/>
            <w:tcBorders>
              <w:top w:val="single" w:sz="8" w:color="0000EE"/>
            </w:tcBorders>
            <w:gridSpan w:val="2"/>
          </w:tcPr>
          <w:p>
            <w:pPr>
              <w:spacing w:after="0"/>
              <w:rPr>
                <w:sz w:val="10"/>
                <w:szCs w:val="10"/>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8.</w:t>
              </w:r>
            </w:hyperlink>
          </w:p>
        </w:tc>
        <w:tc>
          <w:tcPr>
            <w:tcW w:w="740" w:type="dxa"/>
            <w:vAlign w:val="bottom"/>
          </w:tcPr>
          <w:p>
            <w:pPr>
              <w:spacing w:after="0"/>
              <w:rPr>
                <w:sz w:val="10"/>
                <w:szCs w:val="10"/>
                <w:color w:val="auto"/>
              </w:rPr>
            </w:pPr>
          </w:p>
        </w:tc>
        <w:tc>
          <w:tcPr>
            <w:tcW w:w="2140" w:type="dxa"/>
            <w:vAlign w:val="bottom"/>
            <w:tcBorders>
              <w:top w:val="single" w:sz="8" w:color="0000EE"/>
              <w:bottom w:val="single" w:sz="8" w:color="0000EE"/>
            </w:tcBorders>
            <w:gridSpan w:val="30"/>
          </w:tcPr>
          <w:p>
            <w:pPr>
              <w:spacing w:after="0" w:line="124" w:lineRule="exact"/>
              <w:rPr>
                <w:rFonts w:ascii="Arial" w:cs="Arial" w:eastAsia="Arial" w:hAnsi="Arial"/>
                <w:sz w:val="12"/>
                <w:szCs w:val="12"/>
                <w:color w:val="0000EE"/>
                <w:w w:val="85"/>
              </w:rPr>
            </w:pPr>
            <w:hyperlink w:anchor="page35">
              <w:r>
                <w:rPr>
                  <w:rFonts w:ascii="Arial" w:cs="Arial" w:eastAsia="Arial" w:hAnsi="Arial"/>
                  <w:sz w:val="12"/>
                  <w:szCs w:val="12"/>
                  <w:color w:val="0000EE"/>
                  <w:w w:val="85"/>
                </w:rPr>
                <w:t>Financial Statements and Supplementary Data</w:t>
              </w:r>
            </w:hyperlink>
          </w:p>
        </w:tc>
        <w:tc>
          <w:tcPr>
            <w:tcW w:w="660" w:type="dxa"/>
            <w:vAlign w:val="bottom"/>
            <w:tcBorders>
              <w:top w:val="single" w:sz="8" w:color="0000EE"/>
            </w:tcBorders>
            <w:gridSpan w:val="8"/>
          </w:tcPr>
          <w:p>
            <w:pPr>
              <w:spacing w:after="0"/>
              <w:rPr>
                <w:sz w:val="10"/>
                <w:szCs w:val="10"/>
                <w:color w:val="auto"/>
              </w:rPr>
            </w:pPr>
          </w:p>
        </w:tc>
        <w:tc>
          <w:tcPr>
            <w:tcW w:w="5700" w:type="dxa"/>
            <w:vAlign w:val="bottom"/>
            <w:gridSpan w:val="1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80" w:type="dxa"/>
            <w:vAlign w:val="bottom"/>
            <w:gridSpan w:val="2"/>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9.</w:t>
              </w:r>
            </w:hyperlink>
          </w:p>
        </w:tc>
        <w:tc>
          <w:tcPr>
            <w:tcW w:w="740" w:type="dxa"/>
            <w:vAlign w:val="bottom"/>
          </w:tcPr>
          <w:p>
            <w:pPr>
              <w:spacing w:after="0"/>
              <w:rPr>
                <w:sz w:val="10"/>
                <w:szCs w:val="10"/>
                <w:color w:val="auto"/>
              </w:rPr>
            </w:pPr>
          </w:p>
        </w:tc>
        <w:tc>
          <w:tcPr>
            <w:tcW w:w="4180" w:type="dxa"/>
            <w:vAlign w:val="bottom"/>
            <w:tcBorders>
              <w:bottom w:val="single" w:sz="8" w:color="0000EE"/>
            </w:tcBorders>
            <w:gridSpan w:val="48"/>
          </w:tcPr>
          <w:p>
            <w:pPr>
              <w:spacing w:after="0" w:line="124" w:lineRule="exact"/>
              <w:rPr>
                <w:rFonts w:ascii="Arial" w:cs="Arial" w:eastAsia="Arial" w:hAnsi="Arial"/>
                <w:sz w:val="12"/>
                <w:szCs w:val="12"/>
                <w:color w:val="0000EE"/>
                <w:w w:val="86"/>
              </w:rPr>
            </w:pPr>
            <w:hyperlink w:anchor="page36">
              <w:r>
                <w:rPr>
                  <w:rFonts w:ascii="Arial" w:cs="Arial" w:eastAsia="Arial" w:hAnsi="Arial"/>
                  <w:sz w:val="12"/>
                  <w:szCs w:val="12"/>
                  <w:color w:val="0000EE"/>
                  <w:w w:val="86"/>
                </w:rPr>
                <w:t>Changes in and Disagreements With Accountants on Accounting and Financial Disclosure</w:t>
              </w:r>
            </w:hyperlink>
          </w:p>
        </w:tc>
        <w:tc>
          <w:tcPr>
            <w:tcW w:w="4320" w:type="dxa"/>
            <w:vAlign w:val="bottom"/>
            <w:gridSpan w:val="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900" w:type="dxa"/>
            <w:vAlign w:val="bottom"/>
            <w:gridSpan w:val="4"/>
          </w:tcPr>
          <w:p>
            <w:pPr>
              <w:jc w:val="right"/>
              <w:ind w:right="740"/>
              <w:spacing w:after="0" w:line="124" w:lineRule="exact"/>
              <w:rPr>
                <w:rFonts w:ascii="Arial" w:cs="Arial" w:eastAsia="Arial" w:hAnsi="Arial"/>
                <w:sz w:val="12"/>
                <w:szCs w:val="12"/>
                <w:color w:val="0000EE"/>
                <w:w w:val="77"/>
              </w:rPr>
            </w:pPr>
            <w:hyperlink w:anchor="page36">
              <w:r>
                <w:rPr>
                  <w:rFonts w:ascii="Arial" w:cs="Arial" w:eastAsia="Arial" w:hAnsi="Arial"/>
                  <w:sz w:val="12"/>
                  <w:szCs w:val="12"/>
                  <w:color w:val="0000EE"/>
                  <w:w w:val="77"/>
                </w:rPr>
                <w:t>9A.</w:t>
              </w:r>
            </w:hyperlink>
          </w:p>
        </w:tc>
        <w:tc>
          <w:tcPr>
            <w:tcW w:w="8500" w:type="dxa"/>
            <w:vAlign w:val="bottom"/>
            <w:gridSpan w:val="55"/>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Controls and Procedures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0"/>
        </w:trPr>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(a) Evaluation of Disclosure Controls and Procedures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(b) Management’s Report on Internal Control Over Financial Reporting</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00" w:type="dxa"/>
            <w:vAlign w:val="bottom"/>
            <w:tcBorders>
              <w:top w:val="single" w:sz="8" w:color="0000EE"/>
            </w:tcBorders>
            <w:gridSpan w:val="40"/>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 Changes in Internal Control Over Financial Reporting</w:t>
              </w:r>
            </w:hyperlink>
          </w:p>
        </w:tc>
        <w:tc>
          <w:tcPr>
            <w:tcW w:w="5200" w:type="dxa"/>
            <w:vAlign w:val="bottom"/>
            <w:gridSpan w:val="1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900" w:type="dxa"/>
            <w:vAlign w:val="bottom"/>
            <w:gridSpan w:val="4"/>
          </w:tcPr>
          <w:p>
            <w:pPr>
              <w:jc w:val="right"/>
              <w:ind w:right="740"/>
              <w:spacing w:after="0" w:line="124" w:lineRule="exact"/>
              <w:rPr>
                <w:rFonts w:ascii="Arial" w:cs="Arial" w:eastAsia="Arial" w:hAnsi="Arial"/>
                <w:sz w:val="12"/>
                <w:szCs w:val="12"/>
                <w:color w:val="0000EE"/>
                <w:w w:val="77"/>
              </w:rPr>
            </w:pPr>
            <w:hyperlink w:anchor="page36">
              <w:r>
                <w:rPr>
                  <w:rFonts w:ascii="Arial" w:cs="Arial" w:eastAsia="Arial" w:hAnsi="Arial"/>
                  <w:sz w:val="12"/>
                  <w:szCs w:val="12"/>
                  <w:color w:val="0000EE"/>
                  <w:w w:val="77"/>
                </w:rPr>
                <w:t>9B.</w:t>
              </w:r>
            </w:hyperlink>
          </w:p>
        </w:tc>
        <w:tc>
          <w:tcPr>
            <w:tcW w:w="2640" w:type="dxa"/>
            <w:vAlign w:val="bottom"/>
            <w:tcBorders>
              <w:top w:val="single" w:sz="8" w:color="0000EE"/>
            </w:tcBorders>
            <w:gridSpan w:val="36"/>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Other Information</w:t>
              </w:r>
            </w:hyperlink>
          </w:p>
        </w:tc>
        <w:tc>
          <w:tcPr>
            <w:tcW w:w="5860" w:type="dxa"/>
            <w:vAlign w:val="bottom"/>
            <w:gridSpan w:val="1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39"/>
        </w:trPr>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0000EE"/>
            </w:tcBorders>
            <w:gridSpan w:val="8"/>
          </w:tcPr>
          <w:p>
            <w:pPr>
              <w:jc w:val="center"/>
              <w:ind w:right="20"/>
              <w:spacing w:after="0"/>
              <w:rPr>
                <w:rFonts w:ascii="Arial" w:cs="Arial" w:eastAsia="Arial" w:hAnsi="Arial"/>
                <w:sz w:val="12"/>
                <w:szCs w:val="12"/>
                <w:b w:val="1"/>
                <w:bCs w:val="1"/>
                <w:color w:val="0000EE"/>
                <w:w w:val="99"/>
              </w:rPr>
            </w:pPr>
            <w:hyperlink w:anchor="page37">
              <w:r>
                <w:rPr>
                  <w:rFonts w:ascii="Arial" w:cs="Arial" w:eastAsia="Arial" w:hAnsi="Arial"/>
                  <w:sz w:val="12"/>
                  <w:szCs w:val="12"/>
                  <w:b w:val="1"/>
                  <w:bCs w:val="1"/>
                  <w:color w:val="0000EE"/>
                  <w:w w:val="99"/>
                </w:rPr>
                <w:t>PART III</w:t>
              </w:r>
            </w:hyperlink>
          </w:p>
        </w:tc>
        <w:tc>
          <w:tcPr>
            <w:tcW w:w="4240" w:type="dxa"/>
            <w:vAlign w:val="bottom"/>
            <w:gridSpan w:val="3"/>
          </w:tcPr>
          <w:p>
            <w:pPr>
              <w:spacing w:after="0"/>
              <w:rPr>
                <w:sz w:val="20"/>
                <w:szCs w:val="20"/>
                <w:color w:val="auto"/>
              </w:rPr>
            </w:pPr>
          </w:p>
        </w:tc>
        <w:tc>
          <w:tcPr>
            <w:tcW w:w="74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140" w:type="dxa"/>
            <w:vAlign w:val="bottom"/>
            <w:gridSpan w:val="2"/>
          </w:tcPr>
          <w:p>
            <w:pPr>
              <w:jc w:val="right"/>
              <w:spacing w:after="0" w:line="124" w:lineRule="exact"/>
              <w:rPr>
                <w:rFonts w:ascii="Arial" w:cs="Arial" w:eastAsia="Arial" w:hAnsi="Arial"/>
                <w:sz w:val="12"/>
                <w:szCs w:val="12"/>
                <w:color w:val="0000EE"/>
                <w:w w:val="71"/>
              </w:rPr>
            </w:pPr>
            <w:hyperlink w:anchor="page37">
              <w:r>
                <w:rPr>
                  <w:rFonts w:ascii="Arial" w:cs="Arial" w:eastAsia="Arial" w:hAnsi="Arial"/>
                  <w:sz w:val="12"/>
                  <w:szCs w:val="12"/>
                  <w:color w:val="0000EE"/>
                  <w:w w:val="71"/>
                </w:rPr>
                <w:t>10.</w:t>
              </w:r>
            </w:hyperlink>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7">
              <w:r>
                <w:rPr>
                  <w:rFonts w:ascii="Arial" w:cs="Arial" w:eastAsia="Arial" w:hAnsi="Arial"/>
                  <w:sz w:val="12"/>
                  <w:szCs w:val="12"/>
                  <w:color w:val="0000EE"/>
                </w:rPr>
                <w:t>Directors, Executive Officers and Corporate Governance</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35</w:t>
            </w:r>
          </w:p>
        </w:tc>
      </w:tr>
      <w:tr>
        <w:trPr>
          <w:trHeight w:val="124"/>
        </w:trPr>
        <w:tc>
          <w:tcPr>
            <w:tcW w:w="20" w:type="dxa"/>
            <w:vAlign w:val="bottom"/>
          </w:tcPr>
          <w:p>
            <w:pPr>
              <w:spacing w:after="0"/>
              <w:rPr>
                <w:sz w:val="10"/>
                <w:szCs w:val="10"/>
                <w:color w:val="auto"/>
              </w:rPr>
            </w:pPr>
          </w:p>
        </w:tc>
        <w:tc>
          <w:tcPr>
            <w:tcW w:w="140" w:type="dxa"/>
            <w:vAlign w:val="bottom"/>
            <w:tcBorders>
              <w:top w:val="single" w:sz="8" w:color="0000EE"/>
              <w:bottom w:val="single" w:sz="8" w:color="0000EE"/>
            </w:tcBorders>
            <w:gridSpan w:val="2"/>
          </w:tcPr>
          <w:p>
            <w:pPr>
              <w:jc w:val="right"/>
              <w:spacing w:after="0" w:line="124" w:lineRule="exact"/>
              <w:rPr>
                <w:rFonts w:ascii="Arial" w:cs="Arial" w:eastAsia="Arial" w:hAnsi="Arial"/>
                <w:sz w:val="12"/>
                <w:szCs w:val="12"/>
                <w:color w:val="0000EE"/>
                <w:w w:val="71"/>
              </w:rPr>
            </w:pPr>
            <w:hyperlink w:anchor="page38">
              <w:r>
                <w:rPr>
                  <w:rFonts w:ascii="Arial" w:cs="Arial" w:eastAsia="Arial" w:hAnsi="Arial"/>
                  <w:sz w:val="12"/>
                  <w:szCs w:val="12"/>
                  <w:color w:val="0000EE"/>
                  <w:w w:val="71"/>
                </w:rPr>
                <w:t>11.</w:t>
              </w:r>
            </w:hyperlink>
          </w:p>
        </w:tc>
        <w:tc>
          <w:tcPr>
            <w:tcW w:w="740" w:type="dxa"/>
            <w:vAlign w:val="bottom"/>
          </w:tcPr>
          <w:p>
            <w:pPr>
              <w:spacing w:after="0"/>
              <w:rPr>
                <w:sz w:val="10"/>
                <w:szCs w:val="10"/>
                <w:color w:val="auto"/>
              </w:rPr>
            </w:pPr>
          </w:p>
        </w:tc>
        <w:tc>
          <w:tcPr>
            <w:tcW w:w="116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85"/>
              </w:rPr>
            </w:pPr>
            <w:hyperlink w:anchor="page38">
              <w:r>
                <w:rPr>
                  <w:rFonts w:ascii="Arial" w:cs="Arial" w:eastAsia="Arial" w:hAnsi="Arial"/>
                  <w:sz w:val="12"/>
                  <w:szCs w:val="12"/>
                  <w:color w:val="0000EE"/>
                  <w:w w:val="85"/>
                </w:rPr>
                <w:t>Executive Compensation</w:t>
              </w:r>
            </w:hyperlink>
          </w:p>
        </w:tc>
        <w:tc>
          <w:tcPr>
            <w:tcW w:w="1460" w:type="dxa"/>
            <w:vAlign w:val="bottom"/>
            <w:tcBorders>
              <w:top w:val="single" w:sz="8" w:color="0000EE"/>
            </w:tcBorders>
            <w:gridSpan w:val="19"/>
          </w:tcPr>
          <w:p>
            <w:pPr>
              <w:spacing w:after="0"/>
              <w:rPr>
                <w:sz w:val="10"/>
                <w:szCs w:val="10"/>
                <w:color w:val="auto"/>
              </w:rPr>
            </w:pPr>
          </w:p>
        </w:tc>
        <w:tc>
          <w:tcPr>
            <w:tcW w:w="5880" w:type="dxa"/>
            <w:vAlign w:val="bottom"/>
            <w:gridSpan w:val="20"/>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20" w:type="dxa"/>
            <w:vAlign w:val="bottom"/>
          </w:tcPr>
          <w:p>
            <w:pPr>
              <w:spacing w:after="0"/>
              <w:rPr>
                <w:sz w:val="10"/>
                <w:szCs w:val="10"/>
                <w:color w:val="auto"/>
              </w:rPr>
            </w:pPr>
          </w:p>
        </w:tc>
        <w:tc>
          <w:tcPr>
            <w:tcW w:w="140" w:type="dxa"/>
            <w:vAlign w:val="bottom"/>
            <w:tcBorders>
              <w:bottom w:val="single" w:sz="8" w:color="0000EE"/>
            </w:tcBorders>
            <w:gridSpan w:val="2"/>
          </w:tcPr>
          <w:p>
            <w:pPr>
              <w:jc w:val="right"/>
              <w:spacing w:after="0" w:line="124" w:lineRule="exact"/>
              <w:rPr>
                <w:rFonts w:ascii="Arial" w:cs="Arial" w:eastAsia="Arial" w:hAnsi="Arial"/>
                <w:sz w:val="12"/>
                <w:szCs w:val="12"/>
                <w:color w:val="0000EE"/>
                <w:w w:val="71"/>
              </w:rPr>
            </w:pPr>
            <w:hyperlink w:anchor="page38">
              <w:r>
                <w:rPr>
                  <w:rFonts w:ascii="Arial" w:cs="Arial" w:eastAsia="Arial" w:hAnsi="Arial"/>
                  <w:sz w:val="12"/>
                  <w:szCs w:val="12"/>
                  <w:color w:val="0000EE"/>
                  <w:w w:val="71"/>
                </w:rPr>
                <w:t>12.</w:t>
              </w:r>
            </w:hyperlink>
          </w:p>
        </w:tc>
        <w:tc>
          <w:tcPr>
            <w:tcW w:w="740" w:type="dxa"/>
            <w:vAlign w:val="bottom"/>
          </w:tcPr>
          <w:p>
            <w:pPr>
              <w:spacing w:after="0"/>
              <w:rPr>
                <w:sz w:val="10"/>
                <w:szCs w:val="10"/>
                <w:color w:val="auto"/>
              </w:rPr>
            </w:pPr>
          </w:p>
        </w:tc>
        <w:tc>
          <w:tcPr>
            <w:tcW w:w="4680" w:type="dxa"/>
            <w:vAlign w:val="bottom"/>
            <w:tcBorders>
              <w:bottom w:val="single" w:sz="8" w:color="0000EE"/>
            </w:tcBorders>
            <w:gridSpan w:val="53"/>
          </w:tcPr>
          <w:p>
            <w:pPr>
              <w:spacing w:after="0" w:line="124" w:lineRule="exact"/>
              <w:rPr>
                <w:rFonts w:ascii="Arial" w:cs="Arial" w:eastAsia="Arial" w:hAnsi="Arial"/>
                <w:sz w:val="12"/>
                <w:szCs w:val="12"/>
                <w:color w:val="0000EE"/>
                <w:w w:val="87"/>
              </w:rPr>
            </w:pPr>
            <w:hyperlink w:anchor="page38">
              <w:r>
                <w:rPr>
                  <w:rFonts w:ascii="Arial" w:cs="Arial" w:eastAsia="Arial" w:hAnsi="Arial"/>
                  <w:sz w:val="12"/>
                  <w:szCs w:val="12"/>
                  <w:color w:val="0000EE"/>
                  <w:w w:val="87"/>
                </w:rPr>
                <w:t>Security Ownership of Certain Beneficial Owners and Management and Related Stockholder Matters</w:t>
              </w:r>
            </w:hyperlink>
          </w:p>
        </w:tc>
        <w:tc>
          <w:tcPr>
            <w:tcW w:w="3820" w:type="dxa"/>
            <w:vAlign w:val="bottom"/>
            <w:gridSpan w:val="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20" w:type="dxa"/>
            <w:vAlign w:val="bottom"/>
          </w:tcPr>
          <w:p>
            <w:pPr>
              <w:spacing w:after="0"/>
              <w:rPr>
                <w:sz w:val="10"/>
                <w:szCs w:val="10"/>
                <w:color w:val="auto"/>
              </w:rPr>
            </w:pPr>
          </w:p>
        </w:tc>
        <w:tc>
          <w:tcPr>
            <w:tcW w:w="140" w:type="dxa"/>
            <w:vAlign w:val="bottom"/>
            <w:tcBorders>
              <w:bottom w:val="single" w:sz="8" w:color="0000EE"/>
            </w:tcBorders>
            <w:gridSpan w:val="2"/>
          </w:tcPr>
          <w:p>
            <w:pPr>
              <w:jc w:val="right"/>
              <w:spacing w:after="0" w:line="124" w:lineRule="exact"/>
              <w:rPr>
                <w:rFonts w:ascii="Arial" w:cs="Arial" w:eastAsia="Arial" w:hAnsi="Arial"/>
                <w:sz w:val="12"/>
                <w:szCs w:val="12"/>
                <w:color w:val="0000EE"/>
                <w:w w:val="71"/>
              </w:rPr>
            </w:pPr>
            <w:hyperlink w:anchor="page38">
              <w:r>
                <w:rPr>
                  <w:rFonts w:ascii="Arial" w:cs="Arial" w:eastAsia="Arial" w:hAnsi="Arial"/>
                  <w:sz w:val="12"/>
                  <w:szCs w:val="12"/>
                  <w:color w:val="0000EE"/>
                  <w:w w:val="71"/>
                </w:rPr>
                <w:t>13.</w:t>
              </w:r>
            </w:hyperlink>
          </w:p>
        </w:tc>
        <w:tc>
          <w:tcPr>
            <w:tcW w:w="740" w:type="dxa"/>
            <w:vAlign w:val="bottom"/>
          </w:tcPr>
          <w:p>
            <w:pPr>
              <w:spacing w:after="0"/>
              <w:rPr>
                <w:sz w:val="10"/>
                <w:szCs w:val="10"/>
                <w:color w:val="auto"/>
              </w:rPr>
            </w:pPr>
          </w:p>
        </w:tc>
        <w:tc>
          <w:tcPr>
            <w:tcW w:w="3500" w:type="dxa"/>
            <w:vAlign w:val="bottom"/>
            <w:tcBorders>
              <w:bottom w:val="single" w:sz="8" w:color="0000EE"/>
            </w:tcBorders>
            <w:gridSpan w:val="43"/>
          </w:tcPr>
          <w:p>
            <w:pPr>
              <w:spacing w:after="0" w:line="124" w:lineRule="exact"/>
              <w:rPr>
                <w:rFonts w:ascii="Arial" w:cs="Arial" w:eastAsia="Arial" w:hAnsi="Arial"/>
                <w:sz w:val="12"/>
                <w:szCs w:val="12"/>
                <w:color w:val="0000EE"/>
                <w:w w:val="85"/>
              </w:rPr>
            </w:pPr>
            <w:hyperlink w:anchor="page38">
              <w:r>
                <w:rPr>
                  <w:rFonts w:ascii="Arial" w:cs="Arial" w:eastAsia="Arial" w:hAnsi="Arial"/>
                  <w:sz w:val="12"/>
                  <w:szCs w:val="12"/>
                  <w:color w:val="0000EE"/>
                  <w:w w:val="85"/>
                </w:rPr>
                <w:t>Certain Relationships and Related Transactions, and Director Independence</w:t>
              </w:r>
            </w:hyperlink>
          </w:p>
        </w:tc>
        <w:tc>
          <w:tcPr>
            <w:tcW w:w="5000" w:type="dxa"/>
            <w:vAlign w:val="bottom"/>
            <w:gridSpan w:val="1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160" w:type="dxa"/>
            <w:vAlign w:val="bottom"/>
            <w:gridSpan w:val="3"/>
          </w:tcPr>
          <w:p>
            <w:pPr>
              <w:jc w:val="right"/>
              <w:spacing w:after="0" w:line="124" w:lineRule="exact"/>
              <w:rPr>
                <w:rFonts w:ascii="Arial" w:cs="Arial" w:eastAsia="Arial" w:hAnsi="Arial"/>
                <w:sz w:val="12"/>
                <w:szCs w:val="12"/>
                <w:color w:val="0000EE"/>
                <w:w w:val="83"/>
              </w:rPr>
            </w:pPr>
            <w:hyperlink w:anchor="page38">
              <w:r>
                <w:rPr>
                  <w:rFonts w:ascii="Arial" w:cs="Arial" w:eastAsia="Arial" w:hAnsi="Arial"/>
                  <w:sz w:val="12"/>
                  <w:szCs w:val="12"/>
                  <w:color w:val="0000EE"/>
                  <w:w w:val="83"/>
                </w:rPr>
                <w:t>14.</w:t>
              </w:r>
            </w:hyperlink>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Principal Accounting Fees and Services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239"/>
        </w:trPr>
        <w:tc>
          <w:tcPr>
            <w:tcW w:w="2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20" w:type="dxa"/>
            <w:vAlign w:val="bottom"/>
            <w:gridSpan w:val="11"/>
          </w:tcPr>
          <w:p>
            <w:pPr>
              <w:jc w:val="center"/>
              <w:ind w:right="4260"/>
              <w:spacing w:after="0"/>
              <w:rPr>
                <w:rFonts w:ascii="Arial" w:cs="Arial" w:eastAsia="Arial" w:hAnsi="Arial"/>
                <w:sz w:val="12"/>
                <w:szCs w:val="12"/>
                <w:b w:val="1"/>
                <w:bCs w:val="1"/>
                <w:color w:val="0000EE"/>
                <w:w w:val="97"/>
              </w:rPr>
            </w:pPr>
            <w:hyperlink w:anchor="page39">
              <w:r>
                <w:rPr>
                  <w:rFonts w:ascii="Arial" w:cs="Arial" w:eastAsia="Arial" w:hAnsi="Arial"/>
                  <w:sz w:val="12"/>
                  <w:szCs w:val="12"/>
                  <w:b w:val="1"/>
                  <w:bCs w:val="1"/>
                  <w:color w:val="0000EE"/>
                  <w:w w:val="97"/>
                </w:rPr>
                <w:t>PART IV</w:t>
              </w:r>
            </w:hyperlink>
          </w:p>
        </w:tc>
        <w:tc>
          <w:tcPr>
            <w:tcW w:w="74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140" w:type="dxa"/>
            <w:vAlign w:val="bottom"/>
            <w:tcBorders>
              <w:bottom w:val="single" w:sz="8" w:color="0000EE"/>
            </w:tcBorders>
            <w:gridSpan w:val="2"/>
          </w:tcPr>
          <w:p>
            <w:pPr>
              <w:jc w:val="right"/>
              <w:spacing w:after="0" w:line="124" w:lineRule="exact"/>
              <w:rPr>
                <w:rFonts w:ascii="Arial" w:cs="Arial" w:eastAsia="Arial" w:hAnsi="Arial"/>
                <w:sz w:val="12"/>
                <w:szCs w:val="12"/>
                <w:color w:val="0000EE"/>
                <w:w w:val="71"/>
              </w:rPr>
            </w:pPr>
            <w:hyperlink w:anchor="page39">
              <w:r>
                <w:rPr>
                  <w:rFonts w:ascii="Arial" w:cs="Arial" w:eastAsia="Arial" w:hAnsi="Arial"/>
                  <w:sz w:val="12"/>
                  <w:szCs w:val="12"/>
                  <w:color w:val="0000EE"/>
                  <w:w w:val="71"/>
                </w:rPr>
                <w:t>15.</w:t>
              </w:r>
            </w:hyperlink>
          </w:p>
        </w:tc>
        <w:tc>
          <w:tcPr>
            <w:tcW w:w="740" w:type="dxa"/>
            <w:vAlign w:val="bottom"/>
          </w:tcPr>
          <w:p>
            <w:pPr>
              <w:spacing w:after="0"/>
              <w:rPr>
                <w:sz w:val="10"/>
                <w:szCs w:val="10"/>
                <w:color w:val="auto"/>
              </w:rPr>
            </w:pPr>
          </w:p>
        </w:tc>
        <w:tc>
          <w:tcPr>
            <w:tcW w:w="1860" w:type="dxa"/>
            <w:vAlign w:val="bottom"/>
            <w:tcBorders>
              <w:bottom w:val="single" w:sz="8" w:color="0000EE"/>
            </w:tcBorders>
            <w:gridSpan w:val="26"/>
          </w:tcPr>
          <w:p>
            <w:pPr>
              <w:spacing w:after="0" w:line="124" w:lineRule="exact"/>
              <w:rPr>
                <w:rFonts w:ascii="Arial" w:cs="Arial" w:eastAsia="Arial" w:hAnsi="Arial"/>
                <w:sz w:val="12"/>
                <w:szCs w:val="12"/>
                <w:color w:val="0000EE"/>
                <w:w w:val="85"/>
              </w:rPr>
            </w:pPr>
            <w:hyperlink w:anchor="page39">
              <w:r>
                <w:rPr>
                  <w:rFonts w:ascii="Arial" w:cs="Arial" w:eastAsia="Arial" w:hAnsi="Arial"/>
                  <w:sz w:val="12"/>
                  <w:szCs w:val="12"/>
                  <w:color w:val="0000EE"/>
                  <w:w w:val="85"/>
                </w:rPr>
                <w:t>Exhibits, Financial Statement Schedules</w:t>
              </w:r>
            </w:hyperlink>
          </w:p>
        </w:tc>
        <w:tc>
          <w:tcPr>
            <w:tcW w:w="1940" w:type="dxa"/>
            <w:vAlign w:val="bottom"/>
            <w:gridSpan w:val="19"/>
          </w:tcPr>
          <w:p>
            <w:pPr>
              <w:spacing w:after="0"/>
              <w:rPr>
                <w:sz w:val="10"/>
                <w:szCs w:val="10"/>
                <w:color w:val="auto"/>
              </w:rPr>
            </w:pPr>
          </w:p>
        </w:tc>
        <w:tc>
          <w:tcPr>
            <w:tcW w:w="440" w:type="dxa"/>
            <w:vAlign w:val="bottom"/>
            <w:tcBorders>
              <w:top w:val="single" w:sz="8" w:color="0000EE"/>
            </w:tcBorders>
            <w:gridSpan w:val="6"/>
          </w:tcPr>
          <w:p>
            <w:pPr>
              <w:spacing w:after="0"/>
              <w:rPr>
                <w:sz w:val="10"/>
                <w:szCs w:val="10"/>
                <w:color w:val="auto"/>
              </w:rPr>
            </w:pPr>
          </w:p>
        </w:tc>
        <w:tc>
          <w:tcPr>
            <w:tcW w:w="4260" w:type="dxa"/>
            <w:vAlign w:val="bottom"/>
            <w:gridSpan w:val="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37</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340" w:type="dxa"/>
            <w:vAlign w:val="bottom"/>
            <w:tcBorders>
              <w:bottom w:val="single" w:sz="8" w:color="0000EE"/>
            </w:tcBorders>
            <w:gridSpan w:val="32"/>
          </w:tcPr>
          <w:p>
            <w:pPr>
              <w:spacing w:after="0" w:line="124" w:lineRule="exact"/>
              <w:rPr>
                <w:rFonts w:ascii="Arial" w:cs="Arial" w:eastAsia="Arial" w:hAnsi="Arial"/>
                <w:sz w:val="12"/>
                <w:szCs w:val="12"/>
                <w:color w:val="0000EE"/>
                <w:w w:val="88"/>
              </w:rPr>
            </w:pPr>
            <w:hyperlink w:anchor="page40">
              <w:r>
                <w:rPr>
                  <w:rFonts w:ascii="Arial" w:cs="Arial" w:eastAsia="Arial" w:hAnsi="Arial"/>
                  <w:sz w:val="12"/>
                  <w:szCs w:val="12"/>
                  <w:color w:val="0000EE"/>
                  <w:w w:val="88"/>
                </w:rPr>
                <w:t>Schedule II — Valuation and Qualifying Accounts</w:t>
              </w:r>
            </w:hyperlink>
          </w:p>
        </w:tc>
        <w:tc>
          <w:tcPr>
            <w:tcW w:w="6160" w:type="dxa"/>
            <w:vAlign w:val="bottom"/>
            <w:gridSpan w:val="2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38</w:t>
            </w: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500" w:type="dxa"/>
            <w:vAlign w:val="bottom"/>
            <w:gridSpan w:val="55"/>
          </w:tcPr>
          <w:p>
            <w:pPr>
              <w:spacing w:after="0" w:line="124" w:lineRule="exact"/>
              <w:rPr>
                <w:rFonts w:ascii="Arial" w:cs="Arial" w:eastAsia="Arial" w:hAnsi="Arial"/>
                <w:sz w:val="12"/>
                <w:szCs w:val="12"/>
                <w:color w:val="0000EE"/>
              </w:rPr>
            </w:pPr>
            <w:hyperlink w:anchor="page41">
              <w:r>
                <w:rPr>
                  <w:rFonts w:ascii="Arial" w:cs="Arial" w:eastAsia="Arial" w:hAnsi="Arial"/>
                  <w:sz w:val="12"/>
                  <w:szCs w:val="12"/>
                  <w:color w:val="0000EE"/>
                </w:rPr>
                <w:t>Signatures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39</w:t>
            </w:r>
          </w:p>
        </w:tc>
      </w:tr>
      <w:tr>
        <w:trPr>
          <w:trHeight w:val="20"/>
        </w:trPr>
        <w:tc>
          <w:tcPr>
            <w:tcW w:w="1360" w:type="dxa"/>
            <w:vAlign w:val="bottom"/>
            <w:gridSpan w:val="7"/>
          </w:tcPr>
          <w:p>
            <w:pPr>
              <w:spacing w:after="0" w:line="20" w:lineRule="exact"/>
              <w:rPr>
                <w:sz w:val="1"/>
                <w:szCs w:val="1"/>
                <w:color w:val="auto"/>
              </w:rPr>
            </w:pPr>
          </w:p>
        </w:tc>
        <w:tc>
          <w:tcPr>
            <w:tcW w:w="8780" w:type="dxa"/>
            <w:vAlign w:val="bottom"/>
            <w:tcBorders>
              <w:left w:val="single" w:sz="8" w:color="0000EE"/>
            </w:tcBorders>
            <w:gridSpan w:val="5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-5363210</wp:posOffset>
            </wp:positionV>
            <wp:extent cx="63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0000EE"/>
        </w:rPr>
        <w:t>EX-4.2</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EX-10.5</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EX-10.6</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EX-10.7</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EX-10.13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EX-10.19</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EX-12.1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EX-21.1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EX-23.1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EX-24.4</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EX-24.5</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EX-24.6</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EX-24.7</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EX-24.8</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EX-24.9</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EX-24.10</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EX-24.11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EX-24.12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EX-24.13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EX-31.1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EX-31.2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EX-32.1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EX-32.2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EX-99.1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INSTANCE DOCUMENT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SCHEMA DOCUMENT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CALCULATION LINKBASE DOCUMENT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LABELS LINKBASE DOCUMENT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PRESENTATION LINKBASE DOCUMENT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DEFINITION LINKBASE DOCUMENT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102870</wp:posOffset>
            </wp:positionV>
            <wp:extent cx="72929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420"/>
          </w:cols>
          <w:pgMar w:left="700" w:top="809" w:right="779" w:bottom="531"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CAUTIONARY STATEMENT RELEVANT TO FORWARD-LOOKING INFORMATION</w:t>
      </w:r>
    </w:p>
    <w:p>
      <w:pPr>
        <w:spacing w:after="0" w:line="17"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FOR THE PURPOSE OF “SAFE HARBOR” PROVISIONS OF THE</w:t>
      </w:r>
    </w:p>
    <w:p>
      <w:pPr>
        <w:spacing w:after="0" w:line="4"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PRIVATE SECURITIES LITIGATION REFORM ACT OF 1995</w:t>
      </w:r>
    </w:p>
    <w:p>
      <w:pPr>
        <w:spacing w:after="0" w:line="82" w:lineRule="exact"/>
        <w:rPr>
          <w:sz w:val="20"/>
          <w:szCs w:val="20"/>
          <w:color w:val="auto"/>
        </w:rPr>
      </w:pPr>
    </w:p>
    <w:p>
      <w:pPr>
        <w:ind w:left="460" w:right="220"/>
        <w:spacing w:after="0" w:line="305" w:lineRule="auto"/>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i w:val="1"/>
          <w:iCs w:val="1"/>
          <w:color w:val="auto"/>
        </w:rPr>
        <w:t>Annual Report on Form 10-K</w:t>
      </w:r>
      <w:r>
        <w:rPr>
          <w:rFonts w:ascii="Arial" w:cs="Arial" w:eastAsia="Arial" w:hAnsi="Arial"/>
          <w:sz w:val="11"/>
          <w:szCs w:val="11"/>
          <w:color w:val="auto"/>
        </w:rPr>
        <w:t xml:space="preserve"> of Chevron Corporation contains forward-looking statements relating to Chevron’s operations that are based on management’s current expectations, estimates and projections about the petroleum, chemicals and other energy-related industries. Words such as “anticipates,” “expects,” “intends,” “plans,” “targets,” “projects,” “believes,” “seeks,” “schedules,” “estimates,” “budgets” and similar expressions are intended to identify such forward-looking statements. These statements are not guarantees of future performance and are subject to certain risks, uncertainties and other factors, some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45" w:lineRule="exact"/>
        <w:rPr>
          <w:sz w:val="20"/>
          <w:szCs w:val="20"/>
          <w:color w:val="auto"/>
        </w:rPr>
      </w:pPr>
    </w:p>
    <w:p>
      <w:pPr>
        <w:ind w:left="460"/>
        <w:spacing w:after="0" w:line="271" w:lineRule="auto"/>
        <w:rPr>
          <w:sz w:val="20"/>
          <w:szCs w:val="20"/>
          <w:color w:val="auto"/>
        </w:rPr>
      </w:pPr>
      <w:r>
        <w:rPr>
          <w:rFonts w:ascii="Arial" w:cs="Arial" w:eastAsia="Arial" w:hAnsi="Arial"/>
          <w:sz w:val="12"/>
          <w:szCs w:val="12"/>
          <w:color w:val="auto"/>
        </w:rPr>
        <w:t>Among the important factors that could cause actual results to differ materially from those in the forward-looking statements are crude-oil and natural-gas prices; refining, marketing and chemical margins; actions of competitors or regulators; timing of exploration expenses; timing of crude-oil liftings; the competitiveness of alternate-energy sources or product substitutes; technological developments; the results of operations and financial condition of equity affiliates; the inability or failure of the company’s joint-venture partners to fund their share of operations and development activities; the potential failure to achieve expected net production from existing and future crude-oil and natural-gas development projects; potential delays in the development, construction or start-up of planned projects; the potential disruption or interruption of the company’s net production or manufacturing facilities or delivery/transportation networks due to war, accidents, political events, civil unrest, severe weather or crude-oil production quotas that might be imposed by OPEC (Organization of Petroleum Exporting Countries); the potential liability for remedial actions or assessments under existing or future environmental regulations and litigation; significant investment or product changes under existing or future environmental statutes, regulations and litigation; the potential liability resulting from pending or future litigation; the company’s acquisition or disposition of assets; gains and losses from asset dispositions or impairments; government-mandated sales, divestitures, recapitalizations, industry-specific taxes, changes in fiscal terms or restrictions on scope of company operations; foreign currency movements compared with the U.S. dollar; the effects of changed accounting rules under generally accepted accounting principles promulgated by rule-setting bodies; and the factors set forth under the heading “Risk Factors” on pages 30 and 31 in this report. In addition, such statements could be affected by general domestic and international economic and political conditions. Unpredictable or unknown factors not discussed in this report could also have material adverse effects on forward-looking statements.</w:t>
      </w:r>
    </w:p>
    <w:p>
      <w:pPr>
        <w:spacing w:after="0" w:line="264"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w:t>
      </w:r>
    </w:p>
    <w:p>
      <w:pPr>
        <w:spacing w:after="0" w:line="168"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color w:val="auto"/>
        </w:rPr>
        <w:t>Business</w:t>
      </w:r>
    </w:p>
    <w:p>
      <w:pPr>
        <w:spacing w:after="0" w:line="91" w:lineRule="exact"/>
        <w:rPr>
          <w:sz w:val="20"/>
          <w:szCs w:val="20"/>
          <w:color w:val="auto"/>
        </w:rPr>
      </w:pPr>
    </w:p>
    <w:p>
      <w:pPr>
        <w:ind w:left="460" w:right="8180" w:hanging="4"/>
        <w:spacing w:after="0" w:line="459" w:lineRule="auto"/>
        <w:tabs>
          <w:tab w:leader="none" w:pos="883"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General Development of Business Summary Description of Chevron</w:t>
      </w:r>
    </w:p>
    <w:p>
      <w:pPr>
        <w:spacing w:after="0" w:line="1" w:lineRule="exact"/>
        <w:rPr>
          <w:sz w:val="20"/>
          <w:szCs w:val="20"/>
          <w:color w:val="auto"/>
        </w:rPr>
      </w:pPr>
    </w:p>
    <w:p>
      <w:pPr>
        <w:ind w:left="460" w:right="20"/>
        <w:spacing w:after="0" w:line="308" w:lineRule="auto"/>
        <w:rPr>
          <w:sz w:val="20"/>
          <w:szCs w:val="20"/>
          <w:color w:val="auto"/>
        </w:rPr>
      </w:pPr>
      <w:r>
        <w:rPr>
          <w:rFonts w:ascii="Arial" w:cs="Arial" w:eastAsia="Arial" w:hAnsi="Arial"/>
          <w:sz w:val="11"/>
          <w:szCs w:val="11"/>
          <w:color w:val="auto"/>
        </w:rPr>
        <w:t>Chevron Corporation,</w:t>
      </w:r>
      <w:r>
        <w:rPr>
          <w:rFonts w:ascii="Arial" w:cs="Arial" w:eastAsia="Arial" w:hAnsi="Arial"/>
          <w:sz w:val="8"/>
          <w:szCs w:val="8"/>
          <w:color w:val="auto"/>
        </w:rPr>
        <w:t>1</w:t>
      </w:r>
      <w:r>
        <w:rPr>
          <w:rFonts w:ascii="Arial" w:cs="Arial" w:eastAsia="Arial" w:hAnsi="Arial"/>
          <w:sz w:val="11"/>
          <w:szCs w:val="11"/>
          <w:color w:val="auto"/>
        </w:rPr>
        <w:t xml:space="preserve"> a Delaware corporation, manages its investments in subsidiaries and affiliates and provides administrative, financial, management and technology support to U.S. and international subsidiaries that engage in fully integrated petroleum operations, chemicals operations, mining operations, power generation and energy services. Exploration and production (upstream) operations consist of exploring for, developing and producing crude oil and natural gas and also marketing natural gas. Refining, marketing and transportation (downstream) operations relate to refining crude oil into finished petroleum products; marketing crude oil and the many products derived from petroleum; and transporting crude oil, natural gas and petroleum products by pipeline, marine vessel, motor equipment and rail car. Chemical operations include the manufacture and marketing of commodity petrochemicals, plastics for industrial uses, and fuel and lubricant oil additives.</w:t>
      </w:r>
    </w:p>
    <w:p>
      <w:pPr>
        <w:spacing w:after="0" w:line="44" w:lineRule="exact"/>
        <w:rPr>
          <w:sz w:val="20"/>
          <w:szCs w:val="20"/>
          <w:color w:val="auto"/>
        </w:rPr>
      </w:pPr>
    </w:p>
    <w:p>
      <w:pPr>
        <w:ind w:left="460" w:right="440"/>
        <w:spacing w:after="0" w:line="267" w:lineRule="auto"/>
        <w:rPr>
          <w:sz w:val="20"/>
          <w:szCs w:val="20"/>
          <w:color w:val="auto"/>
        </w:rPr>
      </w:pPr>
      <w:r>
        <w:rPr>
          <w:rFonts w:ascii="Arial" w:cs="Arial" w:eastAsia="Arial" w:hAnsi="Arial"/>
          <w:sz w:val="13"/>
          <w:szCs w:val="13"/>
          <w:color w:val="auto"/>
        </w:rPr>
        <w:t>A list of the company’s major subsidiaries is presented on pages E-125 and E-126. As of December 31, 2008, Chevron had approximately 67,000 employees (including about 5,000 service station employees). Approximately 32,000 employees (including about 4,000 service station employees), or 48 percent, were employed in U.S. operations.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Overview of Petroleum Industry</w:t>
      </w:r>
    </w:p>
    <w:p>
      <w:pPr>
        <w:spacing w:after="0" w:line="95" w:lineRule="exact"/>
        <w:rPr>
          <w:sz w:val="20"/>
          <w:szCs w:val="20"/>
          <w:color w:val="auto"/>
        </w:rPr>
      </w:pPr>
    </w:p>
    <w:p>
      <w:pPr>
        <w:ind w:left="460" w:right="60"/>
        <w:spacing w:after="0" w:line="274" w:lineRule="auto"/>
        <w:rPr>
          <w:sz w:val="20"/>
          <w:szCs w:val="20"/>
          <w:color w:val="auto"/>
        </w:rPr>
      </w:pPr>
      <w:r>
        <w:rPr>
          <w:rFonts w:ascii="Arial" w:cs="Arial" w:eastAsia="Arial" w:hAnsi="Arial"/>
          <w:sz w:val="12"/>
          <w:szCs w:val="12"/>
          <w:color w:val="auto"/>
        </w:rPr>
        <w:t>Petroleum industry operations and profitability are influenced by many factors, and individual petroleum companies have little control over some of them. Governmental policies, particularly in the areas of taxation, energy and the environment have a significant impact on petroleum activities, regulating how companies are structured and where and how companies conduct their operations and formulate their products and, in some cases, limiting their profits directly. Prices for crude oil and natural gas, petroleum products and petrochemicals are generally determined by supply and demand for these commodities. However, some governments impose price controls on refined products such as gasoline or diesel fuel. The members of the Organization of Petroleum Exporting Countries (OPEC) are typically the world’s swing producers of crude oil, and their production levels are a major factor in determining worldwide supply. Demand for crude oil and its products and for natural gas is largely driven by the conditions of local, national and global economies, although weather patterns and taxation relative to other energy sources also play a significant part. Seasonality is not a primary driver to changes in the company’s quarterly earnings during the year.</w:t>
      </w:r>
    </w:p>
    <w:p>
      <w:pPr>
        <w:spacing w:after="0" w:line="60" w:lineRule="exact"/>
        <w:rPr>
          <w:sz w:val="20"/>
          <w:szCs w:val="20"/>
          <w:color w:val="auto"/>
        </w:rPr>
      </w:pPr>
    </w:p>
    <w:p>
      <w:pPr>
        <w:ind w:left="460" w:right="20"/>
        <w:spacing w:after="0" w:line="281" w:lineRule="auto"/>
        <w:rPr>
          <w:sz w:val="20"/>
          <w:szCs w:val="20"/>
          <w:color w:val="auto"/>
        </w:rPr>
      </w:pPr>
      <w:r>
        <w:rPr>
          <w:rFonts w:ascii="Arial" w:cs="Arial" w:eastAsia="Arial" w:hAnsi="Arial"/>
          <w:sz w:val="12"/>
          <w:szCs w:val="12"/>
          <w:color w:val="auto"/>
        </w:rPr>
        <w:t>Strong competition exists in all sectors of the petroleum and petrochemical industries in supplying the energy, fuel and chemical needs of industry and individual consumers. Chevron competes with fully integrated major global petroleum companies, as well as independent and national petroleum companies, for the acquisition of crude oil and natural gas leases and other properties and for the equipment and labor required to develop and operate those properties. In its downstream business, Chevron also competes with fully integrated major petroleum companies and other independent refining, marketing and transportation entities in the sale or acquisition of various goods or services in many national and international markets.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Operating Environment</w:t>
      </w:r>
    </w:p>
    <w:p>
      <w:pPr>
        <w:spacing w:after="0" w:line="95" w:lineRule="exact"/>
        <w:rPr>
          <w:sz w:val="20"/>
          <w:szCs w:val="20"/>
          <w:color w:val="auto"/>
        </w:rPr>
      </w:pPr>
    </w:p>
    <w:p>
      <w:pPr>
        <w:ind w:left="460" w:right="380"/>
        <w:spacing w:after="0" w:line="267" w:lineRule="auto"/>
        <w:rPr>
          <w:sz w:val="20"/>
          <w:szCs w:val="20"/>
          <w:color w:val="auto"/>
        </w:rPr>
      </w:pPr>
      <w:r>
        <w:rPr>
          <w:rFonts w:ascii="Arial" w:cs="Arial" w:eastAsia="Arial" w:hAnsi="Arial"/>
          <w:sz w:val="13"/>
          <w:szCs w:val="13"/>
          <w:color w:val="auto"/>
        </w:rPr>
        <w:t>Refer to pages FS-2 through FS-8 of this Form 10-K in Management’s Discussion and Analysis of Financial Condition and Results of Operations for a discussion of the company’s current business environment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50800</wp:posOffset>
            </wp:positionV>
            <wp:extent cx="8604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0425" cy="6350"/>
                    </a:xfrm>
                    <a:prstGeom prst="rect">
                      <a:avLst/>
                    </a:prstGeom>
                    <a:noFill/>
                  </pic:spPr>
                </pic:pic>
              </a:graphicData>
            </a:graphic>
          </wp:anchor>
        </w:drawing>
      </w:r>
    </w:p>
    <w:p>
      <w:pPr>
        <w:spacing w:after="0" w:line="105" w:lineRule="exact"/>
        <w:rPr>
          <w:sz w:val="20"/>
          <w:szCs w:val="20"/>
          <w:color w:val="auto"/>
        </w:rPr>
      </w:pPr>
    </w:p>
    <w:p>
      <w:pPr>
        <w:jc w:val="both"/>
        <w:ind w:left="560" w:hanging="103"/>
        <w:spacing w:after="0" w:line="232" w:lineRule="auto"/>
        <w:tabs>
          <w:tab w:leader="none" w:pos="530" w:val="left"/>
        </w:tabs>
        <w:numPr>
          <w:ilvl w:val="0"/>
          <w:numId w:val="4"/>
        </w:numPr>
        <w:rPr>
          <w:rFonts w:ascii="Arial" w:cs="Arial" w:eastAsia="Arial" w:hAnsi="Arial"/>
          <w:sz w:val="9"/>
          <w:szCs w:val="9"/>
          <w:color w:val="auto"/>
        </w:rPr>
      </w:pPr>
      <w:r>
        <w:rPr>
          <w:rFonts w:ascii="Arial" w:cs="Arial" w:eastAsia="Arial" w:hAnsi="Arial"/>
          <w:sz w:val="10"/>
          <w:szCs w:val="10"/>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and “us” may refer to Chevron Corporation, one or more of its consolidated subsidiaries, or all of them taken as a whole, but unless stated otherwise, it does not include “affiliates” of Chevron — i.e., those companies accounted for by the equity method (generally owned 50 percent or less) or investments accounted for by the cost method. All of these terms are used for convenience only and are not intended as a precise description of any of the separate companies, each of which manages its own affairs.</w:t>
      </w: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Chevron Strategic Direction</w:t>
      </w:r>
    </w:p>
    <w:p>
      <w:pPr>
        <w:spacing w:after="0" w:line="95" w:lineRule="exact"/>
        <w:rPr>
          <w:sz w:val="20"/>
          <w:szCs w:val="20"/>
          <w:color w:val="auto"/>
        </w:rPr>
      </w:pPr>
    </w:p>
    <w:p>
      <w:pPr>
        <w:ind w:left="460" w:right="160"/>
        <w:spacing w:after="0" w:line="267" w:lineRule="auto"/>
        <w:rPr>
          <w:sz w:val="20"/>
          <w:szCs w:val="20"/>
          <w:color w:val="auto"/>
        </w:rPr>
      </w:pPr>
      <w:r>
        <w:rPr>
          <w:rFonts w:ascii="Arial" w:cs="Arial" w:eastAsia="Arial" w:hAnsi="Arial"/>
          <w:sz w:val="13"/>
          <w:szCs w:val="13"/>
          <w:color w:val="auto"/>
        </w:rPr>
        <w:t>Chevron’s primary objective is to create stockholder value and achieve sustained financial returns from its operations that will enable it to outperform its competitors. As a foundation for achieving this objective, the company has established the following strategies: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Strategies for Major Businesses</w:t>
      </w:r>
    </w:p>
    <w:p>
      <w:pPr>
        <w:spacing w:after="0" w:line="95" w:lineRule="exact"/>
        <w:rPr>
          <w:sz w:val="20"/>
          <w:szCs w:val="20"/>
          <w:color w:val="auto"/>
        </w:rPr>
      </w:pPr>
    </w:p>
    <w:p>
      <w:pPr>
        <w:ind w:left="1500" w:right="240" w:hanging="208"/>
        <w:spacing w:after="0" w:line="267" w:lineRule="auto"/>
        <w:tabs>
          <w:tab w:leader="none" w:pos="150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Upstream — </w:t>
      </w:r>
      <w:r>
        <w:rPr>
          <w:rFonts w:ascii="Arial" w:cs="Arial" w:eastAsia="Arial" w:hAnsi="Arial"/>
          <w:sz w:val="13"/>
          <w:szCs w:val="13"/>
          <w:color w:val="auto"/>
        </w:rPr>
        <w:t>grow profitably in core areas, build new legacy positions and commercialize the company’s equity natural-gas resource base while growing a high-impact global gas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business</w:t>
      </w:r>
    </w:p>
    <w:p>
      <w:pPr>
        <w:spacing w:after="0" w:line="51" w:lineRule="exact"/>
        <w:rPr>
          <w:rFonts w:ascii="Arial" w:cs="Arial" w:eastAsia="Arial" w:hAnsi="Arial"/>
          <w:sz w:val="13"/>
          <w:szCs w:val="13"/>
          <w:color w:val="auto"/>
        </w:rPr>
      </w:pPr>
    </w:p>
    <w:p>
      <w:pPr>
        <w:ind w:left="1500" w:hanging="208"/>
        <w:spacing w:after="0"/>
        <w:tabs>
          <w:tab w:leader="none" w:pos="150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Downstream — </w:t>
      </w:r>
      <w:r>
        <w:rPr>
          <w:rFonts w:ascii="Arial" w:cs="Arial" w:eastAsia="Arial" w:hAnsi="Arial"/>
          <w:sz w:val="13"/>
          <w:szCs w:val="13"/>
          <w:color w:val="auto"/>
        </w:rPr>
        <w:t>improve returns and selectively grow, with a focus on integrated value creation</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company also continues to invest in renewable-energy technologies, with an objective of capturing profitable positions.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Enabling Strategies Companywide</w:t>
      </w:r>
    </w:p>
    <w:p>
      <w:pPr>
        <w:spacing w:after="0" w:line="95" w:lineRule="exact"/>
        <w:rPr>
          <w:sz w:val="20"/>
          <w:szCs w:val="20"/>
          <w:color w:val="auto"/>
        </w:rPr>
      </w:pPr>
    </w:p>
    <w:p>
      <w:pPr>
        <w:ind w:left="1500" w:hanging="208"/>
        <w:spacing w:after="0"/>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 in people </w:t>
      </w:r>
      <w:r>
        <w:rPr>
          <w:rFonts w:ascii="Arial" w:cs="Arial" w:eastAsia="Arial" w:hAnsi="Arial"/>
          <w:sz w:val="13"/>
          <w:szCs w:val="13"/>
          <w:color w:val="auto"/>
        </w:rPr>
        <w:t>to achieve the company’s strategies</w:t>
      </w:r>
    </w:p>
    <w:p>
      <w:pPr>
        <w:spacing w:after="0" w:line="81" w:lineRule="exact"/>
        <w:rPr>
          <w:rFonts w:ascii="Arial" w:cs="Arial" w:eastAsia="Arial" w:hAnsi="Arial"/>
          <w:sz w:val="13"/>
          <w:szCs w:val="13"/>
          <w:color w:val="auto"/>
        </w:rPr>
      </w:pPr>
    </w:p>
    <w:p>
      <w:pPr>
        <w:ind w:left="1500" w:hanging="208"/>
        <w:spacing w:after="0"/>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technology </w:t>
      </w:r>
      <w:r>
        <w:rPr>
          <w:rFonts w:ascii="Arial" w:cs="Arial" w:eastAsia="Arial" w:hAnsi="Arial"/>
          <w:sz w:val="13"/>
          <w:szCs w:val="13"/>
          <w:color w:val="auto"/>
        </w:rPr>
        <w:t>to deliver superior performance and growth</w:t>
      </w:r>
    </w:p>
    <w:p>
      <w:pPr>
        <w:spacing w:after="0" w:line="81" w:lineRule="exact"/>
        <w:rPr>
          <w:rFonts w:ascii="Arial" w:cs="Arial" w:eastAsia="Arial" w:hAnsi="Arial"/>
          <w:sz w:val="13"/>
          <w:szCs w:val="13"/>
          <w:color w:val="auto"/>
        </w:rPr>
      </w:pPr>
    </w:p>
    <w:p>
      <w:pPr>
        <w:ind w:left="1500" w:hanging="208"/>
        <w:spacing w:after="0"/>
        <w:tabs>
          <w:tab w:leader="none" w:pos="1500" w:val="left"/>
        </w:tabs>
        <w:numPr>
          <w:ilvl w:val="1"/>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Build organizational capability </w:t>
      </w:r>
      <w:r>
        <w:rPr>
          <w:rFonts w:ascii="Arial" w:cs="Arial" w:eastAsia="Arial" w:hAnsi="Arial"/>
          <w:sz w:val="13"/>
          <w:szCs w:val="13"/>
          <w:color w:val="auto"/>
        </w:rPr>
        <w:t>to deliver world-class performance in operational excellence, cost management, capital stewardship and profitable growth</w:t>
      </w:r>
    </w:p>
    <w:p>
      <w:pPr>
        <w:spacing w:after="0" w:line="163" w:lineRule="exact"/>
        <w:rPr>
          <w:rFonts w:ascii="Arial" w:cs="Arial" w:eastAsia="Arial" w:hAnsi="Arial"/>
          <w:sz w:val="13"/>
          <w:szCs w:val="13"/>
          <w:color w:val="auto"/>
        </w:rPr>
      </w:pPr>
    </w:p>
    <w:p>
      <w:pPr>
        <w:ind w:left="680" w:hanging="224"/>
        <w:spacing w:after="0"/>
        <w:tabs>
          <w:tab w:leader="none" w:pos="68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 and Properties</w:t>
      </w:r>
    </w:p>
    <w:p>
      <w:pPr>
        <w:spacing w:after="0" w:line="95" w:lineRule="exact"/>
        <w:rPr>
          <w:sz w:val="20"/>
          <w:szCs w:val="20"/>
          <w:color w:val="auto"/>
        </w:rPr>
      </w:pPr>
    </w:p>
    <w:p>
      <w:pPr>
        <w:ind w:left="460" w:right="20"/>
        <w:spacing w:after="0" w:line="281" w:lineRule="auto"/>
        <w:rPr>
          <w:sz w:val="20"/>
          <w:szCs w:val="20"/>
          <w:color w:val="auto"/>
        </w:rPr>
      </w:pPr>
      <w:r>
        <w:rPr>
          <w:rFonts w:ascii="Arial" w:cs="Arial" w:eastAsia="Arial" w:hAnsi="Arial"/>
          <w:sz w:val="12"/>
          <w:szCs w:val="12"/>
          <w:color w:val="auto"/>
        </w:rPr>
        <w:t>The upstream, downstream and chemicals activities of the company and its equity affiliates are widely dispersed geographically, with operations in North America, South America, Europe, Africa, the Middle East, Asia and Australia. Tabulations of segment sales and other operating revenues, earnings and income taxes for the three years ending December 31, 2008, and assets as of the end of 2008 and 2007 — for the United States and the company’s international geographic areas — are in Note 9 to the Consolidated Financial Statements beginning on page FS-38. Similar comparative data for the company’s investments in and income from equity affiliates and property, plant and equipment are in Notes 12 and 13 on pages FS-41 to FS-43.</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Capital and Exploratory Expenditures</w:t>
      </w:r>
    </w:p>
    <w:p>
      <w:pPr>
        <w:spacing w:after="0" w:line="95" w:lineRule="exact"/>
        <w:rPr>
          <w:sz w:val="20"/>
          <w:szCs w:val="20"/>
          <w:color w:val="auto"/>
        </w:rPr>
      </w:pPr>
    </w:p>
    <w:p>
      <w:pPr>
        <w:ind w:left="460" w:right="100"/>
        <w:spacing w:after="0" w:line="309" w:lineRule="auto"/>
        <w:rPr>
          <w:sz w:val="20"/>
          <w:szCs w:val="20"/>
          <w:color w:val="auto"/>
        </w:rPr>
      </w:pPr>
      <w:r>
        <w:rPr>
          <w:rFonts w:ascii="Arial" w:cs="Arial" w:eastAsia="Arial" w:hAnsi="Arial"/>
          <w:sz w:val="12"/>
          <w:szCs w:val="12"/>
          <w:color w:val="auto"/>
        </w:rPr>
        <w:t>Total expenditures for 2008 were $22.8 billion, including $2.3 billion for Chevron’s share of expenditures by affiliated companies, which did not require cash outlays by the company. In 2007 and 2006, expenditures were $20 billion and $16.6 billion, respectively, including the company’s share of affiliates’ expenditures of $2.3 billion and $1.9 billion in the corresponding periods.</w:t>
      </w:r>
    </w:p>
    <w:p>
      <w:pPr>
        <w:spacing w:after="0" w:line="39"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Of the $22.8 billion in expenditures for 2008, about three-fourths, or $17.5 billion, was related to upstream activities. Approximately the same percentage was also expended for upstream operations in 2007 and 2006. International upstream accounted for about 70 percent of the worldwide upstream investment in each of the three years, reflecting the company’s continuing focus on opportunities that are available outside the United States.</w:t>
      </w:r>
    </w:p>
    <w:p>
      <w:pPr>
        <w:spacing w:after="0" w:line="69" w:lineRule="exact"/>
        <w:rPr>
          <w:sz w:val="20"/>
          <w:szCs w:val="20"/>
          <w:color w:val="auto"/>
        </w:rPr>
      </w:pPr>
    </w:p>
    <w:p>
      <w:pPr>
        <w:ind w:left="460" w:right="40"/>
        <w:spacing w:after="0" w:line="267" w:lineRule="auto"/>
        <w:rPr>
          <w:sz w:val="20"/>
          <w:szCs w:val="20"/>
          <w:color w:val="auto"/>
        </w:rPr>
      </w:pPr>
      <w:r>
        <w:rPr>
          <w:rFonts w:ascii="Arial" w:cs="Arial" w:eastAsia="Arial" w:hAnsi="Arial"/>
          <w:sz w:val="13"/>
          <w:szCs w:val="13"/>
          <w:color w:val="auto"/>
        </w:rPr>
        <w:t>In 2009, the company estimates capital and exploratory expenditures will be $22.8 billion, including $1.8 billion of spending by affiliates. About three-fourths of the total, or $17.5 billion, is budgeted for exploration and production activities, with $13.9 billion of that amount outside the United States.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also to a discussion of the company’s capital and exploratory expenditures on page FS-11 and FS-12.</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Upstream — Exploration and Production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table on the following page summarizes the net production of liquids and natural gas for 2008 and 2007 by the company and its affiliates.</w:t>
      </w: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Net Production of Crude Oil and Natural Gas Liquids and Natural Gas</w:t>
      </w:r>
      <w:r>
        <w:rPr>
          <w:rFonts w:ascii="Arial" w:cs="Arial" w:eastAsia="Arial" w:hAnsi="Arial"/>
          <w:sz w:val="10"/>
          <w:szCs w:val="10"/>
          <w:b w:val="1"/>
          <w:bCs w:val="1"/>
          <w:color w:val="auto"/>
        </w:rPr>
        <w:t>1</w:t>
      </w:r>
    </w:p>
    <w:p>
      <w:pPr>
        <w:spacing w:after="0" w:line="155" w:lineRule="exact"/>
        <w:rPr>
          <w:sz w:val="20"/>
          <w:szCs w:val="20"/>
          <w:color w:val="auto"/>
        </w:rPr>
      </w:pPr>
    </w:p>
    <w:tbl>
      <w:tblPr>
        <w:tblLayout w:type="fixed"/>
        <w:tblInd w:w="470" w:type="dxa"/>
        <w:tblCellMar>
          <w:top w:w="0" w:type="dxa"/>
          <w:left w:w="0" w:type="dxa"/>
          <w:bottom w:w="0" w:type="dxa"/>
          <w:right w:w="0" w:type="dxa"/>
        </w:tblCellMar>
      </w:tblPr>
      <w:tr>
        <w:trPr>
          <w:trHeight w:val="247"/>
        </w:trPr>
        <w:tc>
          <w:tcPr>
            <w:tcW w:w="120" w:type="dxa"/>
            <w:vAlign w:val="bottom"/>
            <w:tcBorders>
              <w:top w:val="single" w:sz="8" w:color="auto"/>
              <w:left w:val="single" w:sz="8" w:color="auto"/>
            </w:tcBorders>
          </w:tcPr>
          <w:p>
            <w:pPr>
              <w:spacing w:after="0"/>
              <w:rPr>
                <w:sz w:val="21"/>
                <w:szCs w:val="21"/>
                <w:color w:val="auto"/>
              </w:rPr>
            </w:pPr>
          </w:p>
        </w:tc>
        <w:tc>
          <w:tcPr>
            <w:tcW w:w="36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4"/>
            <w:vMerge w:val="restart"/>
          </w:tcPr>
          <w:p>
            <w:pPr>
              <w:jc w:val="center"/>
              <w:ind w:left="249"/>
              <w:spacing w:after="0"/>
              <w:rPr>
                <w:sz w:val="20"/>
                <w:szCs w:val="20"/>
                <w:color w:val="auto"/>
              </w:rPr>
            </w:pPr>
            <w:r>
              <w:rPr>
                <w:rFonts w:ascii="Arial" w:cs="Arial" w:eastAsia="Arial" w:hAnsi="Arial"/>
                <w:sz w:val="10"/>
                <w:szCs w:val="10"/>
                <w:b w:val="1"/>
                <w:bCs w:val="1"/>
                <w:color w:val="auto"/>
                <w:w w:val="98"/>
              </w:rPr>
              <w:t>Crude Oil &amp; Natural Gas</w:t>
            </w:r>
          </w:p>
        </w:tc>
        <w:tc>
          <w:tcPr>
            <w:tcW w:w="3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4"/>
          </w:tcPr>
          <w:p>
            <w:pPr>
              <w:ind w:left="10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omponents of Oil-Equivalent</w:t>
            </w:r>
          </w:p>
        </w:tc>
        <w:tc>
          <w:tcPr>
            <w:tcW w:w="5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120" w:type="dxa"/>
            <w:vAlign w:val="bottom"/>
            <w:tcBorders>
              <w:left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20" w:type="dxa"/>
            <w:vAlign w:val="bottom"/>
            <w:tcBorders>
              <w:left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800" w:type="dxa"/>
            <w:vAlign w:val="bottom"/>
            <w:gridSpan w:val="4"/>
          </w:tcPr>
          <w:p>
            <w:pPr>
              <w:jc w:val="center"/>
              <w:ind w:left="249"/>
              <w:spacing w:after="0" w:line="106" w:lineRule="exact"/>
              <w:rPr>
                <w:sz w:val="20"/>
                <w:szCs w:val="20"/>
                <w:color w:val="auto"/>
              </w:rPr>
            </w:pPr>
            <w:r>
              <w:rPr>
                <w:rFonts w:ascii="Arial" w:cs="Arial" w:eastAsia="Arial" w:hAnsi="Arial"/>
                <w:sz w:val="10"/>
                <w:szCs w:val="10"/>
                <w:b w:val="1"/>
                <w:bCs w:val="1"/>
                <w:color w:val="auto"/>
                <w:w w:val="93"/>
              </w:rPr>
              <w:t>Oil-Equivalent (Thousands</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gridSpan w:val="4"/>
          </w:tcPr>
          <w:p>
            <w:pPr>
              <w:jc w:val="center"/>
              <w:ind w:left="249"/>
              <w:spacing w:after="0" w:line="106" w:lineRule="exact"/>
              <w:rPr>
                <w:sz w:val="20"/>
                <w:szCs w:val="20"/>
                <w:color w:val="auto"/>
              </w:rPr>
            </w:pPr>
            <w:r>
              <w:rPr>
                <w:rFonts w:ascii="Arial" w:cs="Arial" w:eastAsia="Arial" w:hAnsi="Arial"/>
                <w:sz w:val="10"/>
                <w:szCs w:val="10"/>
                <w:b w:val="1"/>
                <w:bCs w:val="1"/>
                <w:color w:val="auto"/>
                <w:w w:val="93"/>
              </w:rPr>
              <w:t>Liquids (Thousands of</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5"/>
          </w:tcPr>
          <w:p>
            <w:pPr>
              <w:jc w:val="center"/>
              <w:ind w:right="100"/>
              <w:spacing w:after="0" w:line="106" w:lineRule="exact"/>
              <w:rPr>
                <w:sz w:val="20"/>
                <w:szCs w:val="20"/>
                <w:color w:val="auto"/>
              </w:rPr>
            </w:pPr>
            <w:r>
              <w:rPr>
                <w:rFonts w:ascii="Arial" w:cs="Arial" w:eastAsia="Arial" w:hAnsi="Arial"/>
                <w:sz w:val="10"/>
                <w:szCs w:val="10"/>
                <w:b w:val="1"/>
                <w:bCs w:val="1"/>
                <w:color w:val="auto"/>
                <w:w w:val="94"/>
              </w:rPr>
              <w:t>Natural Gas (Millions of</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0"/>
                <w:szCs w:val="10"/>
                <w:b w:val="1"/>
                <w:bCs w:val="1"/>
                <w:color w:val="auto"/>
                <w:w w:val="93"/>
              </w:rPr>
              <w:t>of Barrels per Day)</w:t>
            </w:r>
          </w:p>
        </w:tc>
        <w:tc>
          <w:tcPr>
            <w:tcW w:w="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3"/>
              </w:rPr>
              <w:t>Barrels per Day)</w:t>
            </w: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0"/>
                <w:szCs w:val="10"/>
                <w:b w:val="1"/>
                <w:bCs w:val="1"/>
                <w:color w:val="auto"/>
                <w:w w:val="93"/>
              </w:rPr>
              <w:t>Cubic Feet per Day)</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780" w:type="dxa"/>
            <w:vAlign w:val="bottom"/>
            <w:tcBorders>
              <w:left w:val="single" w:sz="8" w:color="auto"/>
            </w:tcBorders>
            <w:gridSpan w:val="2"/>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2008</w:t>
            </w:r>
          </w:p>
        </w:tc>
        <w:tc>
          <w:tcPr>
            <w:tcW w:w="1200" w:type="dxa"/>
            <w:vAlign w:val="bottom"/>
            <w:gridSpan w:val="3"/>
          </w:tcPr>
          <w:p>
            <w:pPr>
              <w:jc w:val="right"/>
              <w:ind w:right="20"/>
              <w:spacing w:after="0" w:line="95"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2008</w:t>
            </w:r>
          </w:p>
        </w:tc>
        <w:tc>
          <w:tcPr>
            <w:tcW w:w="1160" w:type="dxa"/>
            <w:vAlign w:val="bottom"/>
            <w:gridSpan w:val="3"/>
          </w:tcPr>
          <w:p>
            <w:pPr>
              <w:jc w:val="right"/>
              <w:ind w:right="20"/>
              <w:spacing w:after="0" w:line="95"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jc w:val="right"/>
              <w:ind w:right="23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jc w:val="right"/>
              <w:ind w:right="256"/>
              <w:spacing w:after="0" w:line="95" w:lineRule="exact"/>
              <w:rPr>
                <w:sz w:val="20"/>
                <w:szCs w:val="20"/>
                <w:color w:val="auto"/>
              </w:rPr>
            </w:pPr>
            <w:r>
              <w:rPr>
                <w:rFonts w:ascii="Arial" w:cs="Arial" w:eastAsia="Arial" w:hAnsi="Arial"/>
                <w:sz w:val="10"/>
                <w:szCs w:val="10"/>
                <w:b w:val="1"/>
                <w:bCs w:val="1"/>
                <w:color w:val="auto"/>
                <w:w w:val="89"/>
              </w:rPr>
              <w:t>2007</w:t>
            </w: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36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United States:</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California</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215</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221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201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205</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88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Gulf of Mexico</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160</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439</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Texas (Onshore)</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149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153</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76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77</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441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States</w:t>
            </w:r>
          </w:p>
        </w:tc>
        <w:tc>
          <w:tcPr>
            <w:tcW w:w="6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3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533</w:t>
            </w:r>
          </w:p>
        </w:tc>
        <w:tc>
          <w:tcPr>
            <w:tcW w:w="3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United States</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671</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421</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1,501</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1,699</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Africa:</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Angola</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154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145</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171</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52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Nigeria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142</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72</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Chad</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32</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28</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31</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5</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Republic of the Congo</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660" w:type="dxa"/>
            <w:vAlign w:val="bottom"/>
          </w:tcPr>
          <w:p>
            <w:pPr>
              <w:ind w:left="60"/>
              <w:spacing w:after="0"/>
              <w:rPr>
                <w:sz w:val="20"/>
                <w:szCs w:val="20"/>
                <w:color w:val="auto"/>
              </w:rPr>
            </w:pPr>
            <w:r>
              <w:rPr>
                <w:rFonts w:ascii="Arial" w:cs="Arial" w:eastAsia="Arial" w:hAnsi="Arial"/>
                <w:sz w:val="13"/>
                <w:szCs w:val="13"/>
                <w:color w:val="auto"/>
              </w:rPr>
              <w:t>Democratic Republic of the Congo</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Africa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352</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328</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142</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Asia-Pacific:</w:t>
            </w:r>
          </w:p>
        </w:tc>
        <w:tc>
          <w:tcPr>
            <w:tcW w:w="6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Thailand</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217</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894</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Partitioned Neutral Zone (PNZ)</w:t>
            </w:r>
            <w:r>
              <w:rPr>
                <w:rFonts w:ascii="Arial" w:cs="Arial" w:eastAsia="Arial" w:hAnsi="Arial"/>
                <w:sz w:val="10"/>
                <w:szCs w:val="10"/>
                <w:color w:val="auto"/>
              </w:rPr>
              <w:t>2</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106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112</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103</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109</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Australia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Bangladesh</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71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47</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414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Kazakhstan</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153</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Azerbaijan</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28</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60</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7</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Philippines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128</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China</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22</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22</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22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Myanmar</w:t>
            </w:r>
          </w:p>
        </w:tc>
        <w:tc>
          <w:tcPr>
            <w:tcW w:w="6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w:t>
            </w:r>
          </w:p>
        </w:tc>
        <w:tc>
          <w:tcPr>
            <w:tcW w:w="3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Asia-Pacific</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648</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299</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2,103</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Indonesia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235</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182</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319</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Other International:</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United Kingdom</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208</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Denmark</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61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63</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41</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142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Argentina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Canada</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35</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Colombia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209</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tcPr>
          <w:p>
            <w:pPr>
              <w:ind w:left="60"/>
              <w:spacing w:after="0"/>
              <w:rPr>
                <w:sz w:val="20"/>
                <w:szCs w:val="20"/>
                <w:color w:val="auto"/>
              </w:rPr>
            </w:pPr>
            <w:r>
              <w:rPr>
                <w:rFonts w:ascii="Arial" w:cs="Arial" w:eastAsia="Arial" w:hAnsi="Arial"/>
                <w:sz w:val="13"/>
                <w:szCs w:val="13"/>
                <w:color w:val="auto"/>
              </w:rPr>
              <w:t>Trinidad and Tobago</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32</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29</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gridSpan w:val="3"/>
          </w:tcPr>
          <w:p>
            <w:pPr>
              <w:jc w:val="right"/>
              <w:ind w:right="8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rPr>
              <w:t>189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Netherlands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660" w:type="dxa"/>
            <w:vAlign w:val="bottom"/>
          </w:tcPr>
          <w:p>
            <w:pPr>
              <w:ind w:left="60"/>
              <w:spacing w:after="0"/>
              <w:rPr>
                <w:sz w:val="20"/>
                <w:szCs w:val="20"/>
                <w:color w:val="auto"/>
              </w:rPr>
            </w:pPr>
            <w:r>
              <w:rPr>
                <w:rFonts w:ascii="Arial" w:cs="Arial" w:eastAsia="Arial" w:hAnsi="Arial"/>
                <w:sz w:val="13"/>
                <w:szCs w:val="13"/>
                <w:color w:val="auto"/>
              </w:rPr>
              <w:t>Norway</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Total Other International</w:t>
            </w:r>
          </w:p>
        </w:tc>
        <w:tc>
          <w:tcPr>
            <w:tcW w:w="6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330</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w:t>
            </w:r>
          </w:p>
        </w:tc>
        <w:tc>
          <w:tcPr>
            <w:tcW w:w="3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3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838</w:t>
            </w:r>
          </w:p>
        </w:tc>
        <w:tc>
          <w:tcPr>
            <w:tcW w:w="3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International</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1,565</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1,601</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998</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1,084</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3,402</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Consolidated Operations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2,236</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2,344</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1,419</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1,544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4,903</w:t>
            </w: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660" w:type="dxa"/>
            <w:vAlign w:val="bottom"/>
          </w:tcPr>
          <w:p>
            <w:pPr>
              <w:ind w:left="60"/>
              <w:spacing w:after="0"/>
              <w:rPr>
                <w:sz w:val="20"/>
                <w:szCs w:val="20"/>
                <w:color w:val="auto"/>
              </w:rPr>
            </w:pPr>
            <w:r>
              <w:rPr>
                <w:rFonts w:ascii="Arial" w:cs="Arial" w:eastAsia="Arial" w:hAnsi="Arial"/>
                <w:sz w:val="13"/>
                <w:szCs w:val="13"/>
                <w:color w:val="auto"/>
              </w:rPr>
              <w:t>Equity Affiliates</w:t>
            </w:r>
            <w:r>
              <w:rPr>
                <w:rFonts w:ascii="Arial" w:cs="Arial" w:eastAsia="Arial" w:hAnsi="Arial"/>
                <w:sz w:val="10"/>
                <w:szCs w:val="10"/>
                <w:color w:val="auto"/>
              </w:rPr>
              <w:t>3</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267</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230</w:t>
            </w: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222</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Including Affiliates</w:t>
            </w:r>
            <w:r>
              <w:rPr>
                <w:rFonts w:ascii="Arial" w:cs="Arial" w:eastAsia="Arial" w:hAnsi="Arial"/>
                <w:sz w:val="10"/>
                <w:szCs w:val="10"/>
                <w:color w:val="auto"/>
              </w:rPr>
              <w:t>4</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2,503</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2,592</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1,649</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1,756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5,125</w:t>
            </w: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5,019</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-4414520</wp:posOffset>
            </wp:positionV>
            <wp:extent cx="6626860" cy="4344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860" cy="4344670"/>
                    </a:xfrm>
                    <a:prstGeom prst="rect">
                      <a:avLst/>
                    </a:prstGeom>
                    <a:noFill/>
                  </pic:spPr>
                </pic:pic>
              </a:graphicData>
            </a:graphic>
          </wp:anchor>
        </w:drawing>
      </w:r>
    </w:p>
    <w:p>
      <w:pPr>
        <w:ind w:left="540" w:hanging="82"/>
        <w:spacing w:after="0"/>
        <w:tabs>
          <w:tab w:leader="none" w:pos="5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Excludes Athabasca oil sands</w:t>
      </w:r>
    </w:p>
    <w:p>
      <w:pPr>
        <w:spacing w:after="0" w:line="6" w:lineRule="exact"/>
        <w:rPr>
          <w:sz w:val="20"/>
          <w:szCs w:val="20"/>
          <w:color w:val="auto"/>
        </w:rPr>
      </w:pPr>
    </w:p>
    <w:p>
      <w:pPr>
        <w:ind w:left="580"/>
        <w:spacing w:after="0"/>
        <w:tabs>
          <w:tab w:leader="none" w:pos="4540" w:val="left"/>
          <w:tab w:leader="none" w:pos="5680" w:val="left"/>
          <w:tab w:leader="none" w:pos="6840" w:val="left"/>
          <w:tab w:leader="none" w:pos="8000" w:val="left"/>
          <w:tab w:leader="none" w:pos="9180" w:val="left"/>
          <w:tab w:leader="none" w:pos="10340" w:val="left"/>
        </w:tabs>
        <w:rPr>
          <w:sz w:val="20"/>
          <w:szCs w:val="20"/>
          <w:color w:val="auto"/>
        </w:rPr>
      </w:pPr>
      <w:r>
        <w:rPr>
          <w:rFonts w:ascii="Arial" w:cs="Arial" w:eastAsia="Arial" w:hAnsi="Arial"/>
          <w:sz w:val="12"/>
          <w:szCs w:val="12"/>
          <w:color w:val="auto"/>
        </w:rPr>
        <w:t>production, net:</w:t>
      </w:r>
      <w:r>
        <w:rPr>
          <w:sz w:val="20"/>
          <w:szCs w:val="20"/>
          <w:color w:val="auto"/>
        </w:rPr>
        <w:tab/>
      </w: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27</w:t>
      </w:r>
      <w:r>
        <w:rPr>
          <w:sz w:val="20"/>
          <w:szCs w:val="20"/>
          <w:color w:val="auto"/>
        </w:rPr>
        <w:tab/>
      </w: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27</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ind w:left="540" w:hanging="82"/>
        <w:spacing w:after="0" w:line="188" w:lineRule="auto"/>
        <w:tabs>
          <w:tab w:leader="none" w:pos="540" w:val="left"/>
        </w:tabs>
        <w:numPr>
          <w:ilvl w:val="0"/>
          <w:numId w:val="8"/>
        </w:numPr>
        <w:rPr>
          <w:rFonts w:ascii="Arial" w:cs="Arial" w:eastAsia="Arial" w:hAnsi="Arial"/>
          <w:sz w:val="16"/>
          <w:szCs w:val="16"/>
          <w:color w:val="auto"/>
          <w:vertAlign w:val="superscript"/>
        </w:rPr>
      </w:pPr>
      <w:r>
        <w:rPr>
          <w:rFonts w:ascii="Arial" w:cs="Arial" w:eastAsia="Arial" w:hAnsi="Arial"/>
          <w:sz w:val="10"/>
          <w:szCs w:val="10"/>
          <w:color w:val="auto"/>
        </w:rPr>
        <w:t>Located between Saudi Arabia and Kuwait.</w:t>
      </w:r>
    </w:p>
    <w:p>
      <w:pPr>
        <w:ind w:left="540" w:hanging="82"/>
        <w:spacing w:after="0" w:line="188" w:lineRule="auto"/>
        <w:tabs>
          <w:tab w:leader="none" w:pos="540" w:val="left"/>
        </w:tabs>
        <w:numPr>
          <w:ilvl w:val="0"/>
          <w:numId w:val="9"/>
        </w:numPr>
        <w:rPr>
          <w:rFonts w:ascii="Arial" w:cs="Arial" w:eastAsia="Arial" w:hAnsi="Arial"/>
          <w:sz w:val="16"/>
          <w:szCs w:val="16"/>
          <w:color w:val="auto"/>
          <w:vertAlign w:val="superscript"/>
        </w:rPr>
      </w:pPr>
      <w:r>
        <w:rPr>
          <w:rFonts w:ascii="Arial" w:cs="Arial" w:eastAsia="Arial" w:hAnsi="Arial"/>
          <w:sz w:val="10"/>
          <w:szCs w:val="10"/>
          <w:color w:val="auto"/>
        </w:rPr>
        <w:t>Volumes represent Chevron’s share of production by affiliates, including Tengizchevroil (TCO) in Kazakhstan and Petroboscan, Petroindependiente and Petropiar/Hamaca in Venezuela.</w:t>
      </w:r>
    </w:p>
    <w:p>
      <w:pPr>
        <w:spacing w:after="0" w:line="7" w:lineRule="exact"/>
        <w:rPr>
          <w:rFonts w:ascii="Arial" w:cs="Arial" w:eastAsia="Arial" w:hAnsi="Arial"/>
          <w:sz w:val="16"/>
          <w:szCs w:val="16"/>
          <w:color w:val="auto"/>
          <w:vertAlign w:val="superscript"/>
        </w:rPr>
      </w:pPr>
    </w:p>
    <w:p>
      <w:pPr>
        <w:ind w:left="460"/>
        <w:spacing w:after="0"/>
        <w:rPr>
          <w:rFonts w:ascii="Arial" w:cs="Arial" w:eastAsia="Arial" w:hAnsi="Arial"/>
          <w:sz w:val="16"/>
          <w:szCs w:val="16"/>
          <w:color w:val="auto"/>
          <w:vertAlign w:val="superscript"/>
        </w:rPr>
      </w:pPr>
      <w:r>
        <w:rPr>
          <w:rFonts w:ascii="Arial" w:cs="Arial" w:eastAsia="Arial" w:hAnsi="Arial"/>
          <w:sz w:val="19"/>
          <w:szCs w:val="19"/>
          <w:color w:val="auto"/>
          <w:vertAlign w:val="superscript"/>
        </w:rPr>
        <w:t>4</w:t>
      </w:r>
      <w:r>
        <w:rPr>
          <w:rFonts w:ascii="Arial" w:cs="Arial" w:eastAsia="Arial" w:hAnsi="Arial"/>
          <w:sz w:val="12"/>
          <w:szCs w:val="12"/>
          <w:color w:val="auto"/>
        </w:rPr>
        <w:t xml:space="preserve"> Volumes include natural gas consumed in operations of 520 million and 498 million cubic feet per day in 2008 and 2007, respectively.</w:t>
      </w:r>
    </w:p>
    <w:p>
      <w:pPr>
        <w:spacing w:after="0" w:line="10" w:lineRule="exact"/>
        <w:rPr>
          <w:sz w:val="20"/>
          <w:szCs w:val="20"/>
          <w:color w:val="auto"/>
        </w:rPr>
      </w:pPr>
    </w:p>
    <w:p>
      <w:pPr>
        <w:jc w:val="both"/>
        <w:ind w:left="460" w:right="280"/>
        <w:spacing w:after="0" w:line="248" w:lineRule="auto"/>
        <w:rPr>
          <w:sz w:val="20"/>
          <w:szCs w:val="20"/>
          <w:color w:val="auto"/>
        </w:rPr>
      </w:pPr>
      <w:r>
        <w:rPr>
          <w:rFonts w:ascii="Arial" w:cs="Arial" w:eastAsia="Arial" w:hAnsi="Arial"/>
          <w:sz w:val="13"/>
          <w:szCs w:val="13"/>
          <w:color w:val="auto"/>
        </w:rPr>
        <w:t>Worldwide oil-equivalent production, including volumes from oil sands (refer to footnote 1 above), was 2.53 million barrels per day, down about 3 percent from 2007. The decline was mostly attributable to damages to facilities caused by September 2008 hurricanes in the U.S. Gulf of Mexico and the impact of higher prices on certain production-sharing and variable-royalty agreements outside the United States. Refer to the “Results of Operations” section beginning on page FS-6 for a detailed discussion of the factors explaining the 2006 — 2008 changes in production for crude oil and natural gas liquids and natural gas.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340"/>
        <w:spacing w:after="0" w:line="250" w:lineRule="auto"/>
        <w:rPr>
          <w:sz w:val="20"/>
          <w:szCs w:val="20"/>
          <w:color w:val="auto"/>
        </w:rPr>
      </w:pPr>
      <w:r>
        <w:rPr>
          <w:rFonts w:ascii="Arial" w:cs="Arial" w:eastAsia="Arial" w:hAnsi="Arial"/>
          <w:sz w:val="13"/>
          <w:szCs w:val="13"/>
          <w:color w:val="auto"/>
        </w:rPr>
        <w:t>The company estimates that its average worldwide oil-equivalent production in 2009 will be approximately 2.63 million barrels per day. This estimate is subject to many uncertainties, including quotas that may be imposed by OPEC, the price effect on production volumes calculated under cost-recovery and variable-royalty provisions of certain contracts, changes in fiscal terms or restrictions on the scope of company operations, delays in project start-ups, fluctuations in demand for natural gas in various markets, and production that may have to be shut in due to weather conditions, civil unrest, changing geopolitics or other disruptions to operations. Future production levels also are affected by the size and number of economic investment opportunities and, for new large-scale projects, the time lag between initial exploration and the beginning of production. Refer to the “Review of Ongoing Exploration and Production Activities in Key Areas,” beginning on page 9, for a discussion of the company’s major oil and gas development projects.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Average Sales Prices and Production Costs per Unit of Production</w:t>
      </w:r>
    </w:p>
    <w:p>
      <w:pPr>
        <w:spacing w:after="0" w:line="95" w:lineRule="exact"/>
        <w:rPr>
          <w:sz w:val="20"/>
          <w:szCs w:val="20"/>
          <w:color w:val="auto"/>
        </w:rPr>
      </w:pPr>
    </w:p>
    <w:p>
      <w:pPr>
        <w:ind w:left="460" w:right="380"/>
        <w:spacing w:after="0" w:line="267" w:lineRule="auto"/>
        <w:rPr>
          <w:sz w:val="20"/>
          <w:szCs w:val="20"/>
          <w:color w:val="auto"/>
        </w:rPr>
      </w:pPr>
      <w:r>
        <w:rPr>
          <w:rFonts w:ascii="Arial" w:cs="Arial" w:eastAsia="Arial" w:hAnsi="Arial"/>
          <w:sz w:val="13"/>
          <w:szCs w:val="13"/>
          <w:color w:val="auto"/>
        </w:rPr>
        <w:t>Refer to Table IV on page FS-67 for the company’s average sales price per barrel of crude oil and natural gas liquids and per thousand cubic feet of natural gas produced and the average production cost per oil-equivalent barrel for 2008, 2007 and 2006.</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Gross and Net Productive Wells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gross and net productive wells at year-end 2008 for the company and its affiliates:</w:t>
      </w: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Productive Oil and Gas Wells</w:t>
      </w:r>
      <w:r>
        <w:rPr>
          <w:rFonts w:ascii="Arial" w:cs="Arial" w:eastAsia="Arial" w:hAnsi="Arial"/>
          <w:sz w:val="10"/>
          <w:szCs w:val="10"/>
          <w:b w:val="1"/>
          <w:bCs w:val="1"/>
          <w:color w:val="auto"/>
        </w:rPr>
        <w:t>1</w:t>
      </w:r>
      <w:r>
        <w:rPr>
          <w:rFonts w:ascii="Arial" w:cs="Arial" w:eastAsia="Arial" w:hAnsi="Arial"/>
          <w:sz w:val="13"/>
          <w:szCs w:val="13"/>
          <w:b w:val="1"/>
          <w:bCs w:val="1"/>
          <w:color w:val="auto"/>
        </w:rPr>
        <w:t xml:space="preserve"> at December 31, 2008</w:t>
      </w:r>
    </w:p>
    <w:p>
      <w:pPr>
        <w:spacing w:after="0" w:line="155" w:lineRule="exact"/>
        <w:rPr>
          <w:sz w:val="20"/>
          <w:szCs w:val="20"/>
          <w:color w:val="auto"/>
        </w:rPr>
      </w:pPr>
    </w:p>
    <w:tbl>
      <w:tblPr>
        <w:tblLayout w:type="fixed"/>
        <w:tblInd w:w="470" w:type="dxa"/>
        <w:tblCellMar>
          <w:top w:w="0" w:type="dxa"/>
          <w:left w:w="0" w:type="dxa"/>
          <w:bottom w:w="0" w:type="dxa"/>
          <w:right w:w="0" w:type="dxa"/>
        </w:tblCellMar>
      </w:tblPr>
      <w:tr>
        <w:trPr>
          <w:trHeight w:val="271"/>
        </w:trPr>
        <w:tc>
          <w:tcPr>
            <w:tcW w:w="120" w:type="dxa"/>
            <w:vAlign w:val="bottom"/>
            <w:tcBorders>
              <w:top w:val="single" w:sz="8" w:color="auto"/>
              <w:left w:val="single" w:sz="8" w:color="auto"/>
            </w:tcBorders>
          </w:tcPr>
          <w:p>
            <w:pPr>
              <w:spacing w:after="0"/>
              <w:rPr>
                <w:sz w:val="23"/>
                <w:szCs w:val="23"/>
                <w:color w:val="auto"/>
              </w:rPr>
            </w:pPr>
          </w:p>
        </w:tc>
        <w:tc>
          <w:tcPr>
            <w:tcW w:w="59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3"/>
          </w:tcPr>
          <w:p>
            <w:pPr>
              <w:jc w:val="center"/>
              <w:ind w:left="556"/>
              <w:spacing w:after="0"/>
              <w:rPr>
                <w:sz w:val="20"/>
                <w:szCs w:val="20"/>
                <w:color w:val="auto"/>
              </w:rPr>
            </w:pPr>
            <w:r>
              <w:rPr>
                <w:rFonts w:ascii="Arial" w:cs="Arial" w:eastAsia="Arial" w:hAnsi="Arial"/>
                <w:sz w:val="13"/>
                <w:szCs w:val="13"/>
                <w:b w:val="1"/>
                <w:bCs w:val="1"/>
                <w:color w:val="auto"/>
                <w:w w:val="87"/>
              </w:rPr>
              <w:t>Productive</w:t>
            </w:r>
            <w:r>
              <w:rPr>
                <w:rFonts w:ascii="Arial" w:cs="Arial" w:eastAsia="Arial" w:hAnsi="Arial"/>
                <w:sz w:val="10"/>
                <w:szCs w:val="10"/>
                <w:b w:val="1"/>
                <w:bCs w:val="1"/>
                <w:color w:val="auto"/>
                <w:w w:val="87"/>
              </w:rPr>
              <w:t>2</w:t>
            </w:r>
          </w:p>
        </w:tc>
        <w:tc>
          <w:tcPr>
            <w:tcW w:w="6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gridSpan w:val="3"/>
          </w:tcPr>
          <w:p>
            <w:pPr>
              <w:jc w:val="center"/>
              <w:ind w:left="516"/>
              <w:spacing w:after="0"/>
              <w:rPr>
                <w:sz w:val="20"/>
                <w:szCs w:val="20"/>
                <w:color w:val="auto"/>
              </w:rPr>
            </w:pPr>
            <w:r>
              <w:rPr>
                <w:rFonts w:ascii="Arial" w:cs="Arial" w:eastAsia="Arial" w:hAnsi="Arial"/>
                <w:sz w:val="13"/>
                <w:szCs w:val="13"/>
                <w:b w:val="1"/>
                <w:bCs w:val="1"/>
                <w:color w:val="auto"/>
                <w:w w:val="90"/>
              </w:rPr>
              <w:t>Productive</w:t>
            </w:r>
            <w:r>
              <w:rPr>
                <w:rFonts w:ascii="Arial" w:cs="Arial" w:eastAsia="Arial" w:hAnsi="Arial"/>
                <w:sz w:val="10"/>
                <w:szCs w:val="10"/>
                <w:b w:val="1"/>
                <w:bCs w:val="1"/>
                <w:color w:val="auto"/>
                <w:w w:val="90"/>
              </w:rPr>
              <w:t>2</w:t>
            </w: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20" w:type="dxa"/>
            <w:vAlign w:val="bottom"/>
            <w:tcBorders>
              <w:left w:val="single" w:sz="8" w:color="auto"/>
            </w:tcBorders>
          </w:tcPr>
          <w:p>
            <w:pPr>
              <w:spacing w:after="0"/>
              <w:rPr>
                <w:sz w:val="14"/>
                <w:szCs w:val="14"/>
                <w:color w:val="auto"/>
              </w:rPr>
            </w:pPr>
          </w:p>
        </w:tc>
        <w:tc>
          <w:tcPr>
            <w:tcW w:w="596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3"/>
                <w:szCs w:val="13"/>
                <w:b w:val="1"/>
                <w:bCs w:val="1"/>
                <w:color w:val="auto"/>
                <w:w w:val="94"/>
              </w:rPr>
              <w:t>Oil Wells</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3"/>
                <w:szCs w:val="13"/>
                <w:b w:val="1"/>
                <w:bCs w:val="1"/>
                <w:color w:val="auto"/>
                <w:w w:val="86"/>
              </w:rPr>
              <w:t>Gas Wells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gridSpan w:val="3"/>
          </w:tcPr>
          <w:p>
            <w:pPr>
              <w:ind w:left="300"/>
              <w:spacing w:after="0" w:line="144" w:lineRule="exact"/>
              <w:rPr>
                <w:sz w:val="20"/>
                <w:szCs w:val="20"/>
                <w:color w:val="auto"/>
              </w:rPr>
            </w:pPr>
            <w:r>
              <w:rPr>
                <w:rFonts w:ascii="Arial" w:cs="Arial" w:eastAsia="Arial" w:hAnsi="Arial"/>
                <w:sz w:val="13"/>
                <w:szCs w:val="13"/>
                <w:b w:val="1"/>
                <w:bCs w:val="1"/>
                <w:color w:val="auto"/>
              </w:rPr>
              <w:t>Gross</w:t>
            </w:r>
          </w:p>
        </w:tc>
        <w:tc>
          <w:tcPr>
            <w:tcW w:w="640" w:type="dxa"/>
            <w:vAlign w:val="bottom"/>
          </w:tcPr>
          <w:p>
            <w:pPr>
              <w:jc w:val="right"/>
              <w:ind w:right="276"/>
              <w:spacing w:after="0" w:line="144" w:lineRule="exact"/>
              <w:rPr>
                <w:sz w:val="20"/>
                <w:szCs w:val="20"/>
                <w:color w:val="auto"/>
              </w:rPr>
            </w:pPr>
            <w:r>
              <w:rPr>
                <w:rFonts w:ascii="Arial" w:cs="Arial" w:eastAsia="Arial" w:hAnsi="Arial"/>
                <w:sz w:val="13"/>
                <w:szCs w:val="13"/>
                <w:b w:val="1"/>
                <w:bCs w:val="1"/>
                <w:color w:val="auto"/>
              </w:rPr>
              <w:t>Net</w:t>
            </w:r>
          </w:p>
        </w:tc>
        <w:tc>
          <w:tcPr>
            <w:tcW w:w="320" w:type="dxa"/>
            <w:vAlign w:val="bottom"/>
          </w:tcPr>
          <w:p>
            <w:pPr>
              <w:spacing w:after="0"/>
              <w:rPr>
                <w:sz w:val="12"/>
                <w:szCs w:val="12"/>
                <w:color w:val="auto"/>
              </w:rPr>
            </w:pPr>
          </w:p>
        </w:tc>
        <w:tc>
          <w:tcPr>
            <w:tcW w:w="1360" w:type="dxa"/>
            <w:vAlign w:val="bottom"/>
            <w:gridSpan w:val="3"/>
          </w:tcPr>
          <w:p>
            <w:pPr>
              <w:ind w:left="240"/>
              <w:spacing w:after="0" w:line="144"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59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ind w:left="60"/>
              <w:spacing w:after="0"/>
              <w:rPr>
                <w:sz w:val="20"/>
                <w:szCs w:val="20"/>
                <w:color w:val="auto"/>
              </w:rPr>
            </w:pPr>
            <w:r>
              <w:rPr>
                <w:rFonts w:ascii="Arial" w:cs="Arial" w:eastAsia="Arial" w:hAnsi="Arial"/>
                <w:sz w:val="13"/>
                <w:szCs w:val="13"/>
                <w:color w:val="auto"/>
              </w:rPr>
              <w:t>California</w:t>
            </w:r>
          </w:p>
        </w:tc>
        <w:tc>
          <w:tcPr>
            <w:tcW w:w="940" w:type="dxa"/>
            <w:vAlign w:val="bottom"/>
          </w:tcPr>
          <w:p>
            <w:pPr>
              <w:jc w:val="right"/>
              <w:spacing w:after="0"/>
              <w:rPr>
                <w:sz w:val="20"/>
                <w:szCs w:val="20"/>
                <w:color w:val="auto"/>
              </w:rPr>
            </w:pPr>
            <w:r>
              <w:rPr>
                <w:rFonts w:ascii="Arial" w:cs="Arial" w:eastAsia="Arial" w:hAnsi="Arial"/>
                <w:sz w:val="13"/>
                <w:szCs w:val="13"/>
                <w:color w:val="auto"/>
              </w:rPr>
              <w:t>25,726</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23,921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188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Gulf of Mexico</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ind w:left="60"/>
              <w:spacing w:after="0"/>
              <w:rPr>
                <w:sz w:val="20"/>
                <w:szCs w:val="20"/>
                <w:color w:val="auto"/>
              </w:rPr>
            </w:pPr>
            <w:r>
              <w:rPr>
                <w:rFonts w:ascii="Arial" w:cs="Arial" w:eastAsia="Arial" w:hAnsi="Arial"/>
                <w:sz w:val="13"/>
                <w:szCs w:val="13"/>
                <w:color w:val="auto"/>
              </w:rPr>
              <w:t>Other 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23,729</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8,460</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10,587</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Total United States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50,944</w:t>
            </w:r>
          </w:p>
        </w:tc>
        <w:tc>
          <w:tcPr>
            <w:tcW w:w="3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33,595</w:t>
            </w:r>
          </w:p>
        </w:tc>
        <w:tc>
          <w:tcPr>
            <w:tcW w:w="3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11,697</w:t>
            </w:r>
          </w:p>
        </w:tc>
        <w:tc>
          <w:tcPr>
            <w:tcW w:w="3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Africa</w:t>
            </w:r>
          </w:p>
        </w:tc>
        <w:tc>
          <w:tcPr>
            <w:tcW w:w="940" w:type="dxa"/>
            <w:vAlign w:val="bottom"/>
          </w:tcPr>
          <w:p>
            <w:pPr>
              <w:jc w:val="right"/>
              <w:spacing w:after="0"/>
              <w:rPr>
                <w:sz w:val="20"/>
                <w:szCs w:val="20"/>
                <w:color w:val="auto"/>
              </w:rPr>
            </w:pPr>
            <w:r>
              <w:rPr>
                <w:rFonts w:ascii="Arial" w:cs="Arial" w:eastAsia="Arial" w:hAnsi="Arial"/>
                <w:sz w:val="13"/>
                <w:szCs w:val="13"/>
                <w:color w:val="auto"/>
              </w:rPr>
              <w:t>2,126</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Indonesia</w:t>
            </w:r>
          </w:p>
        </w:tc>
        <w:tc>
          <w:tcPr>
            <w:tcW w:w="940" w:type="dxa"/>
            <w:vAlign w:val="bottom"/>
          </w:tcPr>
          <w:p>
            <w:pPr>
              <w:jc w:val="right"/>
              <w:spacing w:after="0"/>
              <w:rPr>
                <w:sz w:val="20"/>
                <w:szCs w:val="20"/>
                <w:color w:val="auto"/>
              </w:rPr>
            </w:pPr>
            <w:r>
              <w:rPr>
                <w:rFonts w:ascii="Arial" w:cs="Arial" w:eastAsia="Arial" w:hAnsi="Arial"/>
                <w:sz w:val="13"/>
                <w:szCs w:val="13"/>
                <w:color w:val="auto"/>
              </w:rPr>
              <w:t>7,879</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7,737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Other International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3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3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3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International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13,575</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10,290</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64,519</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14,660</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Equity in Affiliates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65,693</w:t>
            </w:r>
          </w:p>
        </w:tc>
        <w:tc>
          <w:tcPr>
            <w:tcW w:w="3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44,298</w:t>
            </w:r>
          </w:p>
        </w:tc>
        <w:tc>
          <w:tcPr>
            <w:tcW w:w="32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14,667</w:t>
            </w:r>
          </w:p>
        </w:tc>
        <w:tc>
          <w:tcPr>
            <w:tcW w:w="3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7,408</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8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Multiple completion wells included above:</w:t>
            </w:r>
          </w:p>
        </w:tc>
        <w:tc>
          <w:tcPr>
            <w:tcW w:w="940" w:type="dxa"/>
            <w:vAlign w:val="bottom"/>
          </w:tcPr>
          <w:p>
            <w:pPr>
              <w:jc w:val="right"/>
              <w:spacing w:after="0"/>
              <w:rPr>
                <w:sz w:val="20"/>
                <w:szCs w:val="20"/>
                <w:color w:val="auto"/>
              </w:rPr>
            </w:pPr>
            <w:r>
              <w:rPr>
                <w:rFonts w:ascii="Arial" w:cs="Arial" w:eastAsia="Arial" w:hAnsi="Arial"/>
                <w:sz w:val="13"/>
                <w:szCs w:val="13"/>
                <w:color w:val="auto"/>
              </w:rPr>
              <w:t>881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318</w:t>
            </w: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5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-1863725</wp:posOffset>
            </wp:positionV>
            <wp:extent cx="6626860" cy="1788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860" cy="1788160"/>
                    </a:xfrm>
                    <a:prstGeom prst="rect">
                      <a:avLst/>
                    </a:prstGeom>
                    <a:noFill/>
                  </pic:spPr>
                </pic:pic>
              </a:graphicData>
            </a:graphic>
          </wp:anchor>
        </w:drawing>
      </w:r>
    </w:p>
    <w:p>
      <w:pPr>
        <w:spacing w:after="0" w:line="58" w:lineRule="exact"/>
        <w:rPr>
          <w:sz w:val="20"/>
          <w:szCs w:val="20"/>
          <w:color w:val="auto"/>
        </w:rPr>
      </w:pPr>
    </w:p>
    <w:p>
      <w:pPr>
        <w:ind w:left="880" w:hanging="156"/>
        <w:spacing w:after="0"/>
        <w:tabs>
          <w:tab w:leader="none" w:pos="88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Includes wells producing or capable of producing and injection wells temporarily functioning as producing wells. Wells that produce both oil and gas are classified as oil wells.</w:t>
      </w:r>
    </w:p>
    <w:p>
      <w:pPr>
        <w:ind w:left="880" w:hanging="156"/>
        <w:spacing w:after="0" w:line="188" w:lineRule="auto"/>
        <w:tabs>
          <w:tab w:leader="none" w:pos="880"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Gross wells include the total number of wells in which the company has an interest. Net wells include wholly owned wells and the sum of the company’s fractional interests in gross wells.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Reserves</w:t>
      </w:r>
    </w:p>
    <w:p>
      <w:pPr>
        <w:spacing w:after="0" w:line="95" w:lineRule="exact"/>
        <w:rPr>
          <w:sz w:val="20"/>
          <w:szCs w:val="20"/>
          <w:color w:val="auto"/>
        </w:rPr>
      </w:pPr>
    </w:p>
    <w:p>
      <w:pPr>
        <w:ind w:left="460" w:right="340"/>
        <w:spacing w:after="0" w:line="308" w:lineRule="auto"/>
        <w:rPr>
          <w:sz w:val="20"/>
          <w:szCs w:val="20"/>
          <w:color w:val="auto"/>
        </w:rPr>
      </w:pPr>
      <w:r>
        <w:rPr>
          <w:rFonts w:ascii="Arial" w:cs="Arial" w:eastAsia="Arial" w:hAnsi="Arial"/>
          <w:sz w:val="11"/>
          <w:szCs w:val="11"/>
          <w:color w:val="auto"/>
        </w:rPr>
        <w:t>Refer to Table V beginning on page FS-67 for a tabulation of the company’s proved net oil and gas reserves by geographic area, at the beginning of 2006 and each year-end from 2006 through 2008, and an accompanying discussion of major changes to proved reserves by geographic area for the three-year period ending December 31, 2008. During 2008, the company provided oil and gas reserves estimates for 2007 to the Department of Energy, Energy Information Administration (EIA), that agree with the 2007 reserve volumes in Table V. This reporting fulfilled the requirement that such estimates are to be consistent with, and do not differ more than 5 percent from, the information furnished to the Securities and Exchange Commission in the company’s 2007 Annual Report on Form 10-K. During 2009, the company will file estimates of oil and gas reserves with the Department of Energy, EIA, consistent with the 2008 reserve data reported in Table V.</w:t>
      </w: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net proved-reserve balances at the end of each of the three years 2006 through 2008 are shown in the table below:</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Net Proved Reserves at December 31</w:t>
      </w:r>
    </w:p>
    <w:p>
      <w:pPr>
        <w:spacing w:after="0" w:line="184" w:lineRule="exact"/>
        <w:rPr>
          <w:sz w:val="20"/>
          <w:szCs w:val="20"/>
          <w:color w:val="auto"/>
        </w:rPr>
      </w:pPr>
    </w:p>
    <w:tbl>
      <w:tblPr>
        <w:tblLayout w:type="fixed"/>
        <w:tblInd w:w="470" w:type="dxa"/>
        <w:tblCellMar>
          <w:top w:w="0" w:type="dxa"/>
          <w:left w:w="0" w:type="dxa"/>
          <w:bottom w:w="0" w:type="dxa"/>
          <w:right w:w="0" w:type="dxa"/>
        </w:tblCellMar>
      </w:tblPr>
      <w:tr>
        <w:trPr>
          <w:trHeight w:val="284"/>
        </w:trPr>
        <w:tc>
          <w:tcPr>
            <w:tcW w:w="12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2008</w:t>
            </w:r>
          </w:p>
        </w:tc>
        <w:tc>
          <w:tcPr>
            <w:tcW w:w="12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2007</w:t>
            </w: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69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Liquids* — Millions of barrels</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tcPr>
          <w:p>
            <w:pPr>
              <w:ind w:left="120"/>
              <w:spacing w:after="0"/>
              <w:rPr>
                <w:sz w:val="20"/>
                <w:szCs w:val="20"/>
                <w:color w:val="auto"/>
              </w:rPr>
            </w:pPr>
            <w:r>
              <w:rPr>
                <w:rFonts w:ascii="Arial" w:cs="Arial" w:eastAsia="Arial" w:hAnsi="Arial"/>
                <w:sz w:val="13"/>
                <w:szCs w:val="13"/>
                <w:color w:val="auto"/>
              </w:rPr>
              <w:t>Consolidated Companies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4,735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4,665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5,294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Affiliated Companies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Natural Gas — Billions of cubic feet</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Consolidated Companies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19,022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19,137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19,910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tcPr>
          <w:p>
            <w:pPr>
              <w:ind w:left="120"/>
              <w:spacing w:after="0"/>
              <w:rPr>
                <w:sz w:val="20"/>
                <w:szCs w:val="20"/>
                <w:color w:val="auto"/>
              </w:rPr>
            </w:pPr>
            <w:r>
              <w:rPr>
                <w:rFonts w:ascii="Arial" w:cs="Arial" w:eastAsia="Arial" w:hAnsi="Arial"/>
                <w:sz w:val="13"/>
                <w:szCs w:val="13"/>
                <w:color w:val="auto"/>
              </w:rPr>
              <w:t>Affiliated Companies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4,053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3,003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2,974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Total Oil-Equivalent — Millions of barrels</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tcPr>
          <w:p>
            <w:pPr>
              <w:ind w:left="120"/>
              <w:spacing w:after="0"/>
              <w:rPr>
                <w:sz w:val="20"/>
                <w:szCs w:val="20"/>
                <w:color w:val="auto"/>
              </w:rPr>
            </w:pPr>
            <w:r>
              <w:rPr>
                <w:rFonts w:ascii="Arial" w:cs="Arial" w:eastAsia="Arial" w:hAnsi="Arial"/>
                <w:sz w:val="13"/>
                <w:szCs w:val="13"/>
                <w:color w:val="auto"/>
              </w:rPr>
              <w:t>Consolidated Companies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7,905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7,855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8,612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Affiliated Companies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20" w:type="dxa"/>
            <w:vAlign w:val="bottom"/>
            <w:tcBorders>
              <w:left w:val="single" w:sz="8" w:color="auto"/>
              <w:bottom w:val="single" w:sz="8" w:color="auto"/>
            </w:tcBorders>
          </w:tcPr>
          <w:p>
            <w:pPr>
              <w:spacing w:after="0"/>
              <w:rPr>
                <w:sz w:val="7"/>
                <w:szCs w:val="7"/>
                <w:color w:val="auto"/>
              </w:rPr>
            </w:pPr>
          </w:p>
        </w:tc>
        <w:tc>
          <w:tcPr>
            <w:tcW w:w="6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-1082675</wp:posOffset>
            </wp:positionV>
            <wp:extent cx="6626860" cy="1012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860" cy="1012825"/>
                    </a:xfrm>
                    <a:prstGeom prst="rect">
                      <a:avLst/>
                    </a:prstGeom>
                    <a:noFill/>
                  </pic:spPr>
                </pic:pic>
              </a:graphicData>
            </a:graphic>
          </wp:anchor>
        </w:drawing>
      </w:r>
    </w:p>
    <w:p>
      <w:pPr>
        <w:spacing w:after="0" w:line="160" w:lineRule="exact"/>
        <w:rPr>
          <w:sz w:val="20"/>
          <w:szCs w:val="20"/>
          <w:color w:val="auto"/>
        </w:rPr>
      </w:pPr>
    </w:p>
    <w:p>
      <w:pPr>
        <w:ind w:left="720"/>
        <w:spacing w:after="0"/>
        <w:tabs>
          <w:tab w:leader="none" w:pos="8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Crude oil, condensate and natural gas liquids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Acreage</w:t>
      </w:r>
    </w:p>
    <w:p>
      <w:pPr>
        <w:spacing w:after="0" w:line="95" w:lineRule="exact"/>
        <w:rPr>
          <w:sz w:val="20"/>
          <w:szCs w:val="20"/>
          <w:color w:val="auto"/>
        </w:rPr>
      </w:pPr>
    </w:p>
    <w:p>
      <w:pPr>
        <w:ind w:left="460" w:right="300"/>
        <w:spacing w:after="0" w:line="267" w:lineRule="auto"/>
        <w:rPr>
          <w:sz w:val="20"/>
          <w:szCs w:val="20"/>
          <w:color w:val="auto"/>
        </w:rPr>
      </w:pPr>
      <w:r>
        <w:rPr>
          <w:rFonts w:ascii="Arial" w:cs="Arial" w:eastAsia="Arial" w:hAnsi="Arial"/>
          <w:sz w:val="13"/>
          <w:szCs w:val="13"/>
          <w:color w:val="auto"/>
        </w:rPr>
        <w:t>At December 31, 2008, the company owned or had under lease or similar agreements undeveloped and developed oil and gas properties located throughout the world. The geographical distribution of the company’s acreage is shown in the following table.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Acreage</w:t>
      </w:r>
      <w:r>
        <w:rPr>
          <w:rFonts w:ascii="Arial" w:cs="Arial" w:eastAsia="Arial" w:hAnsi="Arial"/>
          <w:sz w:val="10"/>
          <w:szCs w:val="10"/>
          <w:b w:val="1"/>
          <w:bCs w:val="1"/>
          <w:color w:val="auto"/>
        </w:rPr>
        <w:t>1</w:t>
      </w:r>
      <w:r>
        <w:rPr>
          <w:rFonts w:ascii="Arial" w:cs="Arial" w:eastAsia="Arial" w:hAnsi="Arial"/>
          <w:sz w:val="13"/>
          <w:szCs w:val="13"/>
          <w:b w:val="1"/>
          <w:bCs w:val="1"/>
          <w:color w:val="auto"/>
        </w:rPr>
        <w:t xml:space="preserve"> at December 31, 2008</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(Thousands of Acres)</w:t>
      </w:r>
    </w:p>
    <w:p>
      <w:pPr>
        <w:spacing w:after="0" w:line="172" w:lineRule="exact"/>
        <w:rPr>
          <w:sz w:val="20"/>
          <w:szCs w:val="20"/>
          <w:color w:val="auto"/>
        </w:rPr>
      </w:pPr>
    </w:p>
    <w:tbl>
      <w:tblPr>
        <w:tblLayout w:type="fixed"/>
        <w:tblInd w:w="470" w:type="dxa"/>
        <w:tblCellMar>
          <w:top w:w="0" w:type="dxa"/>
          <w:left w:w="0" w:type="dxa"/>
          <w:bottom w:w="0" w:type="dxa"/>
          <w:right w:w="0" w:type="dxa"/>
        </w:tblCellMar>
      </w:tblPr>
      <w:tr>
        <w:trPr>
          <w:trHeight w:val="261"/>
        </w:trPr>
        <w:tc>
          <w:tcPr>
            <w:tcW w:w="120" w:type="dxa"/>
            <w:vAlign w:val="bottom"/>
            <w:tcBorders>
              <w:top w:val="single" w:sz="8" w:color="auto"/>
              <w:left w:val="single" w:sz="8" w:color="auto"/>
            </w:tcBorders>
          </w:tcPr>
          <w:p>
            <w:pPr>
              <w:spacing w:after="0"/>
              <w:rPr>
                <w:sz w:val="22"/>
                <w:szCs w:val="22"/>
                <w:color w:val="auto"/>
              </w:rPr>
            </w:pPr>
          </w:p>
        </w:tc>
        <w:tc>
          <w:tcPr>
            <w:tcW w:w="32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vMerge w:val="restart"/>
          </w:tcPr>
          <w:p>
            <w:pPr>
              <w:ind w:left="660"/>
              <w:spacing w:after="0"/>
              <w:rPr>
                <w:sz w:val="20"/>
                <w:szCs w:val="20"/>
                <w:color w:val="auto"/>
              </w:rPr>
            </w:pPr>
            <w:r>
              <w:rPr>
                <w:rFonts w:ascii="Arial" w:cs="Arial" w:eastAsia="Arial" w:hAnsi="Arial"/>
                <w:sz w:val="13"/>
                <w:szCs w:val="13"/>
                <w:b w:val="1"/>
                <w:bCs w:val="1"/>
                <w:color w:val="auto"/>
                <w:w w:val="93"/>
              </w:rPr>
              <w:t>Undeveloped</w:t>
            </w:r>
            <w:r>
              <w:rPr>
                <w:rFonts w:ascii="Arial" w:cs="Arial" w:eastAsia="Arial" w:hAnsi="Arial"/>
                <w:sz w:val="10"/>
                <w:szCs w:val="10"/>
                <w:b w:val="1"/>
                <w:bCs w:val="1"/>
                <w:color w:val="auto"/>
                <w:w w:val="93"/>
              </w:rPr>
              <w:t>2</w:t>
            </w:r>
          </w:p>
        </w:tc>
        <w:tc>
          <w:tcPr>
            <w:tcW w:w="6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vMerge w:val="restart"/>
          </w:tcPr>
          <w:p>
            <w:pPr>
              <w:ind w:left="740"/>
              <w:spacing w:after="0"/>
              <w:rPr>
                <w:sz w:val="20"/>
                <w:szCs w:val="20"/>
                <w:color w:val="auto"/>
              </w:rPr>
            </w:pPr>
            <w:r>
              <w:rPr>
                <w:rFonts w:ascii="Arial" w:cs="Arial" w:eastAsia="Arial" w:hAnsi="Arial"/>
                <w:sz w:val="13"/>
                <w:szCs w:val="13"/>
                <w:b w:val="1"/>
                <w:bCs w:val="1"/>
                <w:color w:val="auto"/>
              </w:rPr>
              <w:t>Developed</w:t>
            </w:r>
            <w:r>
              <w:rPr>
                <w:rFonts w:ascii="Arial" w:cs="Arial" w:eastAsia="Arial" w:hAnsi="Arial"/>
                <w:sz w:val="10"/>
                <w:szCs w:val="10"/>
                <w:b w:val="1"/>
                <w:bCs w:val="1"/>
                <w:color w:val="auto"/>
              </w:rPr>
              <w:t>2</w:t>
            </w:r>
          </w:p>
        </w:tc>
        <w:tc>
          <w:tcPr>
            <w:tcW w:w="6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jc w:val="center"/>
              <w:ind w:left="496"/>
              <w:spacing w:after="0"/>
              <w:rPr>
                <w:sz w:val="20"/>
                <w:szCs w:val="20"/>
                <w:color w:val="auto"/>
              </w:rPr>
            </w:pPr>
            <w:r>
              <w:rPr>
                <w:rFonts w:ascii="Arial" w:cs="Arial" w:eastAsia="Arial" w:hAnsi="Arial"/>
                <w:sz w:val="13"/>
                <w:szCs w:val="13"/>
                <w:b w:val="1"/>
                <w:bCs w:val="1"/>
                <w:color w:val="auto"/>
                <w:w w:val="86"/>
              </w:rPr>
              <w:t>Developed and</w:t>
            </w:r>
          </w:p>
        </w:tc>
        <w:tc>
          <w:tcPr>
            <w:tcW w:w="5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2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3"/>
                <w:szCs w:val="13"/>
                <w:b w:val="1"/>
                <w:bCs w:val="1"/>
                <w:color w:val="auto"/>
                <w:w w:val="88"/>
              </w:rPr>
              <w:t>Undeveloped</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50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420" w:type="dxa"/>
            <w:vAlign w:val="bottom"/>
          </w:tcPr>
          <w:p>
            <w:pPr>
              <w:spacing w:after="0"/>
              <w:rPr>
                <w:sz w:val="12"/>
                <w:szCs w:val="12"/>
                <w:color w:val="auto"/>
              </w:rPr>
            </w:pPr>
          </w:p>
        </w:tc>
        <w:tc>
          <w:tcPr>
            <w:tcW w:w="148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Gross</w:t>
            </w:r>
          </w:p>
        </w:tc>
        <w:tc>
          <w:tcPr>
            <w:tcW w:w="640" w:type="dxa"/>
            <w:vAlign w:val="bottom"/>
          </w:tcPr>
          <w:p>
            <w:pPr>
              <w:jc w:val="right"/>
              <w:ind w:right="276"/>
              <w:spacing w:after="0" w:line="144" w:lineRule="exact"/>
              <w:rPr>
                <w:sz w:val="20"/>
                <w:szCs w:val="20"/>
                <w:color w:val="auto"/>
              </w:rPr>
            </w:pPr>
            <w:r>
              <w:rPr>
                <w:rFonts w:ascii="Arial" w:cs="Arial" w:eastAsia="Arial" w:hAnsi="Arial"/>
                <w:sz w:val="13"/>
                <w:szCs w:val="13"/>
                <w:b w:val="1"/>
                <w:bCs w:val="1"/>
                <w:color w:val="auto"/>
              </w:rPr>
              <w:t>Net</w:t>
            </w:r>
          </w:p>
        </w:tc>
        <w:tc>
          <w:tcPr>
            <w:tcW w:w="400" w:type="dxa"/>
            <w:vAlign w:val="bottom"/>
          </w:tcPr>
          <w:p>
            <w:pPr>
              <w:spacing w:after="0"/>
              <w:rPr>
                <w:sz w:val="12"/>
                <w:szCs w:val="12"/>
                <w:color w:val="auto"/>
              </w:rPr>
            </w:pPr>
          </w:p>
        </w:tc>
        <w:tc>
          <w:tcPr>
            <w:tcW w:w="1480" w:type="dxa"/>
            <w:vAlign w:val="bottom"/>
            <w:gridSpan w:val="3"/>
          </w:tcPr>
          <w:p>
            <w:pPr>
              <w:ind w:left="240"/>
              <w:spacing w:after="0" w:line="144" w:lineRule="exact"/>
              <w:rPr>
                <w:sz w:val="20"/>
                <w:szCs w:val="20"/>
                <w:color w:val="auto"/>
              </w:rPr>
            </w:pPr>
            <w:r>
              <w:rPr>
                <w:rFonts w:ascii="Arial" w:cs="Arial" w:eastAsia="Arial" w:hAnsi="Arial"/>
                <w:sz w:val="13"/>
                <w:szCs w:val="13"/>
                <w:b w:val="1"/>
                <w:bCs w:val="1"/>
                <w:color w:val="auto"/>
              </w:rPr>
              <w:t>Gross</w:t>
            </w:r>
          </w:p>
        </w:tc>
        <w:tc>
          <w:tcPr>
            <w:tcW w:w="58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ind w:left="120"/>
              <w:spacing w:after="0"/>
              <w:rPr>
                <w:sz w:val="20"/>
                <w:szCs w:val="20"/>
                <w:color w:val="auto"/>
              </w:rPr>
            </w:pPr>
            <w:r>
              <w:rPr>
                <w:rFonts w:ascii="Arial" w:cs="Arial" w:eastAsia="Arial" w:hAnsi="Arial"/>
                <w:sz w:val="13"/>
                <w:szCs w:val="13"/>
                <w:color w:val="auto"/>
              </w:rPr>
              <w:t>California</w:t>
            </w:r>
          </w:p>
        </w:tc>
        <w:tc>
          <w:tcPr>
            <w:tcW w:w="840" w:type="dxa"/>
            <w:vAlign w:val="bottom"/>
          </w:tcPr>
          <w:p>
            <w:pPr>
              <w:jc w:val="right"/>
              <w:spacing w:after="0"/>
              <w:rPr>
                <w:sz w:val="20"/>
                <w:szCs w:val="20"/>
                <w:color w:val="auto"/>
              </w:rPr>
            </w:pPr>
            <w:r>
              <w:rPr>
                <w:rFonts w:ascii="Arial" w:cs="Arial" w:eastAsia="Arial" w:hAnsi="Arial"/>
                <w:sz w:val="13"/>
                <w:szCs w:val="13"/>
                <w:color w:val="auto"/>
              </w:rPr>
              <w:t>138</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122</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183</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321</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Gulf of Mexico</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3,676</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ind w:left="120"/>
              <w:spacing w:after="0"/>
              <w:rPr>
                <w:sz w:val="20"/>
                <w:szCs w:val="20"/>
                <w:color w:val="auto"/>
              </w:rPr>
            </w:pPr>
            <w:r>
              <w:rPr>
                <w:rFonts w:ascii="Arial" w:cs="Arial" w:eastAsia="Arial" w:hAnsi="Arial"/>
                <w:sz w:val="13"/>
                <w:szCs w:val="13"/>
                <w:color w:val="auto"/>
              </w:rPr>
              <w:t>Other U.S.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3,441</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2,784</w:t>
            </w:r>
          </w:p>
        </w:tc>
        <w:tc>
          <w:tcPr>
            <w:tcW w:w="4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4,461</w:t>
            </w: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2,497</w:t>
            </w: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7,902</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5,281</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 United States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5,687</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4,406</w:t>
            </w:r>
          </w:p>
        </w:tc>
        <w:tc>
          <w:tcPr>
            <w:tcW w:w="4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4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4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11,899</w:t>
            </w:r>
          </w:p>
        </w:tc>
        <w:tc>
          <w:tcPr>
            <w:tcW w:w="4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8,220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Africa</w:t>
            </w:r>
          </w:p>
        </w:tc>
        <w:tc>
          <w:tcPr>
            <w:tcW w:w="840" w:type="dxa"/>
            <w:vAlign w:val="bottom"/>
          </w:tcPr>
          <w:p>
            <w:pPr>
              <w:jc w:val="right"/>
              <w:spacing w:after="0"/>
              <w:rPr>
                <w:sz w:val="20"/>
                <w:szCs w:val="20"/>
                <w:color w:val="auto"/>
              </w:rPr>
            </w:pPr>
            <w:r>
              <w:rPr>
                <w:rFonts w:ascii="Arial" w:cs="Arial" w:eastAsia="Arial" w:hAnsi="Arial"/>
                <w:sz w:val="13"/>
                <w:szCs w:val="13"/>
                <w:color w:val="auto"/>
              </w:rPr>
              <w:t>17,686</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7,710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2,487</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20,173</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8,631</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45,429</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5,937</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51,366</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Indonesia</w:t>
            </w:r>
          </w:p>
        </w:tc>
        <w:tc>
          <w:tcPr>
            <w:tcW w:w="840" w:type="dxa"/>
            <w:vAlign w:val="bottom"/>
          </w:tcPr>
          <w:p>
            <w:pPr>
              <w:jc w:val="right"/>
              <w:spacing w:after="0"/>
              <w:rPr>
                <w:sz w:val="20"/>
                <w:szCs w:val="20"/>
                <w:color w:val="auto"/>
              </w:rPr>
            </w:pPr>
            <w:r>
              <w:rPr>
                <w:rFonts w:ascii="Arial" w:cs="Arial" w:eastAsia="Arial" w:hAnsi="Arial"/>
                <w:sz w:val="13"/>
                <w:szCs w:val="13"/>
                <w:color w:val="auto"/>
              </w:rPr>
              <w:t>8,031</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383</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8,414</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5,689</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Other International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35,236</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19,957</w:t>
            </w:r>
          </w:p>
        </w:tc>
        <w:tc>
          <w:tcPr>
            <w:tcW w:w="4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1,924</w:t>
            </w:r>
          </w:p>
        </w:tc>
        <w:tc>
          <w:tcPr>
            <w:tcW w:w="4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4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37,160</w:t>
            </w:r>
          </w:p>
        </w:tc>
        <w:tc>
          <w:tcPr>
            <w:tcW w:w="4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20,570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International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106,382</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55,462</w:t>
            </w:r>
          </w:p>
        </w:tc>
        <w:tc>
          <w:tcPr>
            <w:tcW w:w="4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10,731</w:t>
            </w: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w:t>
            </w: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117,113</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59,986</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112,069</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16,943</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129,012</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68,206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Equity in Affiliates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4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112,709</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17,202</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129,911</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68,610</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Borders>
              <w:left w:val="single" w:sz="8" w:color="auto"/>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-1765935</wp:posOffset>
            </wp:positionV>
            <wp:extent cx="6626860" cy="169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860" cy="1690370"/>
                    </a:xfrm>
                    <a:prstGeom prst="rect">
                      <a:avLst/>
                    </a:prstGeom>
                    <a:noFill/>
                  </pic:spPr>
                </pic:pic>
              </a:graphicData>
            </a:graphic>
          </wp:anchor>
        </w:drawing>
      </w:r>
    </w:p>
    <w:p>
      <w:pPr>
        <w:spacing w:after="0" w:line="111" w:lineRule="exact"/>
        <w:rPr>
          <w:sz w:val="20"/>
          <w:szCs w:val="20"/>
          <w:color w:val="auto"/>
        </w:rPr>
      </w:pPr>
    </w:p>
    <w:p>
      <w:pPr>
        <w:ind w:left="880" w:hanging="156"/>
        <w:spacing w:after="0"/>
        <w:tabs>
          <w:tab w:leader="none" w:pos="880" w:val="left"/>
        </w:tabs>
        <w:numPr>
          <w:ilvl w:val="0"/>
          <w:numId w:val="12"/>
        </w:numPr>
        <w:rPr>
          <w:rFonts w:ascii="Arial" w:cs="Arial" w:eastAsia="Arial" w:hAnsi="Arial"/>
          <w:sz w:val="17"/>
          <w:szCs w:val="17"/>
          <w:color w:val="auto"/>
          <w:vertAlign w:val="superscript"/>
        </w:rPr>
      </w:pPr>
      <w:r>
        <w:rPr>
          <w:rFonts w:ascii="Arial" w:cs="Arial" w:eastAsia="Arial" w:hAnsi="Arial"/>
          <w:sz w:val="10"/>
          <w:szCs w:val="10"/>
          <w:color w:val="auto"/>
        </w:rPr>
        <w:t>Gross acreage includes the total number of acres in all tracts in which the company has an interest. Net acreage includes wholly owned interests and the sum of the company’s fractional interests in gross acreage.</w:t>
      </w:r>
    </w:p>
    <w:p>
      <w:pPr>
        <w:spacing w:after="0" w:line="4" w:lineRule="exact"/>
        <w:rPr>
          <w:sz w:val="20"/>
          <w:szCs w:val="20"/>
          <w:color w:val="auto"/>
        </w:rPr>
      </w:pPr>
    </w:p>
    <w:p>
      <w:pPr>
        <w:ind w:left="880" w:right="320" w:hanging="156"/>
        <w:spacing w:after="0" w:line="204" w:lineRule="auto"/>
        <w:tabs>
          <w:tab w:leader="none" w:pos="88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Developed acreage is spaced or assignable to productive wells. Undeveloped acreage is acreage on which wells have not been drilled or completed to permit commercial production and that may contain undeveloped proved reserves. The gross undeveloped acres that will expire in 2009, 2010 and 2011 if production is not established by certain required dates are 5,707, 8,290 and 4,720, respectively.</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Delivery Commitments</w:t>
      </w:r>
    </w:p>
    <w:p>
      <w:pPr>
        <w:spacing w:after="0" w:line="95" w:lineRule="exact"/>
        <w:rPr>
          <w:sz w:val="20"/>
          <w:szCs w:val="20"/>
          <w:color w:val="auto"/>
        </w:rPr>
      </w:pPr>
    </w:p>
    <w:p>
      <w:pPr>
        <w:ind w:left="460" w:right="360"/>
        <w:spacing w:after="0" w:line="267" w:lineRule="auto"/>
        <w:rPr>
          <w:sz w:val="20"/>
          <w:szCs w:val="20"/>
          <w:color w:val="auto"/>
        </w:rPr>
      </w:pPr>
      <w:r>
        <w:rPr>
          <w:rFonts w:ascii="Arial" w:cs="Arial" w:eastAsia="Arial" w:hAnsi="Arial"/>
          <w:sz w:val="13"/>
          <w:szCs w:val="13"/>
          <w:color w:val="auto"/>
        </w:rPr>
        <w:t>The company sells crude oil and natural gas from its producing operations under a variety of contractual obligations. Most contracts generally commit the company to sell quantities based on production from specified properties, but some natural gas sales contracts specify delivery of fixed and determinable quantities, as discussed below.</w:t>
      </w:r>
    </w:p>
    <w:p>
      <w:pPr>
        <w:spacing w:after="0" w:line="61" w:lineRule="exact"/>
        <w:rPr>
          <w:sz w:val="20"/>
          <w:szCs w:val="20"/>
          <w:color w:val="auto"/>
        </w:rPr>
      </w:pPr>
    </w:p>
    <w:p>
      <w:pPr>
        <w:ind w:left="460" w:right="300"/>
        <w:spacing w:after="0" w:line="359" w:lineRule="auto"/>
        <w:rPr>
          <w:sz w:val="20"/>
          <w:szCs w:val="20"/>
          <w:color w:val="auto"/>
        </w:rPr>
      </w:pPr>
      <w:r>
        <w:rPr>
          <w:rFonts w:ascii="Arial" w:cs="Arial" w:eastAsia="Arial" w:hAnsi="Arial"/>
          <w:sz w:val="11"/>
          <w:szCs w:val="11"/>
          <w:color w:val="auto"/>
        </w:rPr>
        <w:t>In the United States, the company is contractually committed to deliver to third parties and affiliates 414 billion cubic feet of natural gas through 2011. The company believes it can satisfy these contracts from quantities available from production of the company’s proved developed U.S. reserves. These contracts include a variety of pricing terms, including both index and fixed-price contracts.</w:t>
      </w:r>
    </w:p>
    <w:p>
      <w:pPr>
        <w:spacing w:after="0" w:line="16" w:lineRule="exact"/>
        <w:rPr>
          <w:sz w:val="20"/>
          <w:szCs w:val="20"/>
          <w:color w:val="auto"/>
        </w:rPr>
      </w:pPr>
    </w:p>
    <w:p>
      <w:pPr>
        <w:ind w:left="460" w:right="500"/>
        <w:spacing w:after="0" w:line="281" w:lineRule="auto"/>
        <w:rPr>
          <w:sz w:val="20"/>
          <w:szCs w:val="20"/>
          <w:color w:val="auto"/>
        </w:rPr>
      </w:pPr>
      <w:r>
        <w:rPr>
          <w:rFonts w:ascii="Arial" w:cs="Arial" w:eastAsia="Arial" w:hAnsi="Arial"/>
          <w:sz w:val="12"/>
          <w:szCs w:val="12"/>
          <w:color w:val="auto"/>
        </w:rPr>
        <w:t>Outside the United States, the company is contractually committed to deliver to third parties a total of 865 billion cubic feet of natural gas from 2009 through 2011 from Argentina, Australia, Canada, Colombia, Denmark and the Philippines. The sales contracts contain variable pricing formulas that are generally referenced to the prevailing market price for crude oil, natural gas or other petroleum products at the time of delivery. The company believes it can satisfy these contracts from quantities available from production of the company’s proved developed reserves in Argentina, Australia, Colombia, Denmark and the Philippines. The company plans to meet its Canadian contractual delivery commitments of 28 billion cubic feet through third-party purchases.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Development Activities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to Table I on page FS-62 for details associated with the company’s development expenditures and costs of proved property acquisitions for 2008, 2007 and 2006.</w:t>
      </w:r>
    </w:p>
    <w:p>
      <w:pPr>
        <w:spacing w:after="0" w:line="91" w:lineRule="exact"/>
        <w:rPr>
          <w:sz w:val="20"/>
          <w:szCs w:val="20"/>
          <w:color w:val="auto"/>
        </w:rPr>
      </w:pPr>
    </w:p>
    <w:p>
      <w:pPr>
        <w:ind w:left="460" w:right="420"/>
        <w:spacing w:after="0" w:line="309" w:lineRule="auto"/>
        <w:rPr>
          <w:sz w:val="20"/>
          <w:szCs w:val="20"/>
          <w:color w:val="auto"/>
        </w:rPr>
      </w:pPr>
      <w:r>
        <w:rPr>
          <w:rFonts w:ascii="Arial" w:cs="Arial" w:eastAsia="Arial" w:hAnsi="Arial"/>
          <w:sz w:val="12"/>
          <w:szCs w:val="12"/>
          <w:color w:val="auto"/>
        </w:rPr>
        <w:t>The table below summarizes the company’s net interest in productive and dry development wells completed in each of the past three years and the status of the company’s development wells drilling at December 31, 2008. A “development well” is a well drilled within the proved area of a crude oil or natural gas reservoir to the depth of a stratigraphic horizon known to be productive.</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Development Well Activity</w:t>
      </w:r>
    </w:p>
    <w:p>
      <w:pPr>
        <w:spacing w:after="0" w:line="136" w:lineRule="exact"/>
        <w:rPr>
          <w:sz w:val="20"/>
          <w:szCs w:val="20"/>
          <w:color w:val="auto"/>
        </w:rPr>
      </w:pPr>
    </w:p>
    <w:tbl>
      <w:tblPr>
        <w:tblLayout w:type="fixed"/>
        <w:tblInd w:w="470" w:type="dxa"/>
        <w:tblCellMar>
          <w:top w:w="0" w:type="dxa"/>
          <w:left w:w="0" w:type="dxa"/>
          <w:bottom w:w="0" w:type="dxa"/>
          <w:right w:w="0" w:type="dxa"/>
        </w:tblCellMar>
      </w:tblPr>
      <w:tr>
        <w:trPr>
          <w:trHeight w:val="274"/>
        </w:trPr>
        <w:tc>
          <w:tcPr>
            <w:tcW w:w="120" w:type="dxa"/>
            <w:vAlign w:val="bottom"/>
            <w:tcBorders>
              <w:top w:val="single" w:sz="8" w:color="auto"/>
              <w:left w:val="single" w:sz="8" w:color="auto"/>
            </w:tcBorders>
          </w:tcPr>
          <w:p>
            <w:pPr>
              <w:spacing w:after="0"/>
              <w:rPr>
                <w:sz w:val="23"/>
                <w:szCs w:val="23"/>
                <w:color w:val="auto"/>
              </w:rPr>
            </w:pPr>
          </w:p>
        </w:tc>
        <w:tc>
          <w:tcPr>
            <w:tcW w:w="490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2"/>
              </w:rPr>
              <w:t>Wells Drilling</w:t>
            </w:r>
          </w:p>
        </w:tc>
        <w:tc>
          <w:tcPr>
            <w:tcW w:w="40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8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Net Wells Completed</w:t>
            </w:r>
            <w:r>
              <w:rPr>
                <w:rFonts w:ascii="Arial" w:cs="Arial" w:eastAsia="Arial" w:hAnsi="Arial"/>
                <w:sz w:val="10"/>
                <w:szCs w:val="10"/>
                <w:b w:val="1"/>
                <w:bCs w:val="1"/>
                <w:color w:val="auto"/>
                <w:w w:val="88"/>
              </w:rPr>
              <w:t>1</w:t>
            </w:r>
          </w:p>
        </w:tc>
        <w:tc>
          <w:tcPr>
            <w:tcW w:w="40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gridSpan w:val="3"/>
          </w:tcPr>
          <w:p>
            <w:pPr>
              <w:jc w:val="center"/>
              <w:ind w:left="156"/>
              <w:spacing w:after="0" w:line="144" w:lineRule="exact"/>
              <w:rPr>
                <w:sz w:val="20"/>
                <w:szCs w:val="20"/>
                <w:color w:val="auto"/>
              </w:rPr>
            </w:pPr>
            <w:r>
              <w:rPr>
                <w:rFonts w:ascii="Arial" w:cs="Arial" w:eastAsia="Arial" w:hAnsi="Arial"/>
                <w:sz w:val="13"/>
                <w:szCs w:val="13"/>
                <w:b w:val="1"/>
                <w:bCs w:val="1"/>
                <w:color w:val="auto"/>
                <w:w w:val="89"/>
              </w:rPr>
              <w:t>at 12/31/08</w:t>
            </w:r>
            <w:r>
              <w:rPr>
                <w:rFonts w:ascii="Arial" w:cs="Arial" w:eastAsia="Arial" w:hAnsi="Arial"/>
                <w:sz w:val="10"/>
                <w:szCs w:val="10"/>
                <w:b w:val="1"/>
                <w:bCs w:val="1"/>
                <w:color w:val="auto"/>
                <w:w w:val="89"/>
              </w:rPr>
              <w:t>2</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2"/>
                <w:szCs w:val="12"/>
                <w:color w:val="auto"/>
              </w:rPr>
            </w:pPr>
          </w:p>
        </w:tc>
        <w:tc>
          <w:tcPr>
            <w:tcW w:w="1200" w:type="dxa"/>
            <w:vAlign w:val="bottom"/>
            <w:gridSpan w:val="3"/>
          </w:tcPr>
          <w:p>
            <w:pPr>
              <w:jc w:val="right"/>
              <w:ind w:right="160"/>
              <w:spacing w:after="0" w:line="144"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5"/>
              </w:rPr>
              <w:t>Net</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49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ind w:left="120"/>
              <w:spacing w:after="0"/>
              <w:rPr>
                <w:sz w:val="20"/>
                <w:szCs w:val="20"/>
                <w:color w:val="auto"/>
              </w:rPr>
            </w:pPr>
            <w:r>
              <w:rPr>
                <w:rFonts w:ascii="Arial" w:cs="Arial" w:eastAsia="Arial" w:hAnsi="Arial"/>
                <w:sz w:val="13"/>
                <w:szCs w:val="13"/>
                <w:color w:val="auto"/>
              </w:rPr>
              <w:t>California</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533</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620</w:t>
            </w:r>
          </w:p>
        </w:tc>
        <w:tc>
          <w:tcPr>
            <w:tcW w:w="4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600</w:t>
            </w:r>
          </w:p>
        </w:tc>
        <w:tc>
          <w:tcPr>
            <w:tcW w:w="4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Gulf of Mexico</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ind w:left="120"/>
              <w:spacing w:after="0"/>
              <w:rPr>
                <w:sz w:val="20"/>
                <w:szCs w:val="20"/>
                <w:color w:val="auto"/>
              </w:rPr>
            </w:pPr>
            <w:r>
              <w:rPr>
                <w:rFonts w:ascii="Arial" w:cs="Arial" w:eastAsia="Arial" w:hAnsi="Arial"/>
                <w:sz w:val="13"/>
                <w:szCs w:val="13"/>
                <w:color w:val="auto"/>
              </w:rPr>
              <w:t>Other U.S.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w:t>
            </w:r>
          </w:p>
        </w:tc>
        <w:tc>
          <w:tcPr>
            <w:tcW w:w="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United States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w:t>
            </w:r>
          </w:p>
        </w:tc>
        <w:tc>
          <w:tcPr>
            <w:tcW w:w="4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846</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4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2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Africa</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203</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4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Indonesia</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462</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374</w:t>
            </w:r>
          </w:p>
        </w:tc>
        <w:tc>
          <w:tcPr>
            <w:tcW w:w="4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258</w:t>
            </w:r>
          </w:p>
        </w:tc>
        <w:tc>
          <w:tcPr>
            <w:tcW w:w="4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Other International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4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4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2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International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w:t>
            </w:r>
          </w:p>
        </w:tc>
        <w:tc>
          <w:tcPr>
            <w:tcW w:w="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739</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w:t>
            </w:r>
          </w:p>
        </w:tc>
        <w:tc>
          <w:tcPr>
            <w:tcW w:w="40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1,585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Equity in Affiliates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98</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51</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1,601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1,570</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Borders>
              <w:left w:val="single" w:sz="8" w:color="auto"/>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-1772285</wp:posOffset>
            </wp:positionV>
            <wp:extent cx="6626860" cy="169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860" cy="1696720"/>
                    </a:xfrm>
                    <a:prstGeom prst="rect">
                      <a:avLst/>
                    </a:prstGeom>
                    <a:noFill/>
                  </pic:spPr>
                </pic:pic>
              </a:graphicData>
            </a:graphic>
          </wp:anchor>
        </w:drawing>
      </w:r>
    </w:p>
    <w:p>
      <w:pPr>
        <w:spacing w:after="0" w:line="111" w:lineRule="exact"/>
        <w:rPr>
          <w:sz w:val="20"/>
          <w:szCs w:val="20"/>
          <w:color w:val="auto"/>
        </w:rPr>
      </w:pPr>
    </w:p>
    <w:p>
      <w:pPr>
        <w:ind w:left="880" w:hanging="156"/>
        <w:spacing w:after="0"/>
        <w:tabs>
          <w:tab w:leader="none" w:pos="880" w:val="left"/>
        </w:tabs>
        <w:numPr>
          <w:ilvl w:val="0"/>
          <w:numId w:val="14"/>
        </w:numPr>
        <w:rPr>
          <w:rFonts w:ascii="Arial" w:cs="Arial" w:eastAsia="Arial" w:hAnsi="Arial"/>
          <w:sz w:val="17"/>
          <w:szCs w:val="17"/>
          <w:color w:val="auto"/>
          <w:vertAlign w:val="superscript"/>
        </w:rPr>
      </w:pPr>
      <w:r>
        <w:rPr>
          <w:rFonts w:ascii="Arial" w:cs="Arial" w:eastAsia="Arial" w:hAnsi="Arial"/>
          <w:sz w:val="10"/>
          <w:szCs w:val="10"/>
          <w:color w:val="auto"/>
        </w:rPr>
        <w:t>Indicates the fractional number of wells completed during the year, regardless of when drilling was initiated. Completion refers to the installation of permanent equipment for the production of crude oil or natural gas</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2"/>
          <w:szCs w:val="12"/>
          <w:color w:val="auto"/>
        </w:rPr>
        <w:t>or, in the case of a dry well, the reporting of abandonment to the appropriate agency.</w:t>
      </w:r>
    </w:p>
    <w:p>
      <w:pPr>
        <w:ind w:left="880" w:right="380" w:hanging="156"/>
        <w:spacing w:after="0" w:line="188" w:lineRule="auto"/>
        <w:tabs>
          <w:tab w:leader="none" w:pos="880"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Represents wells in the process of drilling, including wells for which drilling was not completed and which were temporarily suspended at the end of 2008. Gross wells include the total number of wells in which the company has an interest. Net wells include wholly owned wells and the sum of the company’s fractional interests in gross wells.</w:t>
      </w: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Exploration Activities</w:t>
      </w:r>
    </w:p>
    <w:p>
      <w:pPr>
        <w:spacing w:after="0" w:line="95" w:lineRule="exact"/>
        <w:rPr>
          <w:sz w:val="20"/>
          <w:szCs w:val="20"/>
          <w:color w:val="auto"/>
        </w:rPr>
      </w:pPr>
    </w:p>
    <w:p>
      <w:pPr>
        <w:jc w:val="both"/>
        <w:ind w:left="460" w:right="280"/>
        <w:spacing w:after="0" w:line="256" w:lineRule="auto"/>
        <w:rPr>
          <w:sz w:val="20"/>
          <w:szCs w:val="20"/>
          <w:color w:val="auto"/>
        </w:rPr>
      </w:pPr>
      <w:r>
        <w:rPr>
          <w:rFonts w:ascii="Arial" w:cs="Arial" w:eastAsia="Arial" w:hAnsi="Arial"/>
          <w:sz w:val="13"/>
          <w:szCs w:val="13"/>
          <w:color w:val="auto"/>
        </w:rPr>
        <w:t>The following table summarizes the company’s net interests in productive and dry exploratory wells completed in each of the last three years and the number of exploratory wells drilling at December 31, 2008. “Exploratory wells” are wells drilled to find and produce crude oil or natural gas in unproved areas and include delineation wells, which are wells drilled to find a new reservoir in a field previously found to be productive of crude oil or natural gas in another reservoir or to extend a known reservoir beyond the proved area.</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Exploratory Well Activity</w:t>
      </w:r>
    </w:p>
    <w:p>
      <w:pPr>
        <w:spacing w:after="0" w:line="136" w:lineRule="exact"/>
        <w:rPr>
          <w:sz w:val="20"/>
          <w:szCs w:val="20"/>
          <w:color w:val="auto"/>
        </w:rPr>
      </w:pPr>
    </w:p>
    <w:tbl>
      <w:tblPr>
        <w:tblLayout w:type="fixed"/>
        <w:tblInd w:w="470" w:type="dxa"/>
        <w:tblCellMar>
          <w:top w:w="0" w:type="dxa"/>
          <w:left w:w="0" w:type="dxa"/>
          <w:bottom w:w="0" w:type="dxa"/>
          <w:right w:w="0" w:type="dxa"/>
        </w:tblCellMar>
      </w:tblPr>
      <w:tr>
        <w:trPr>
          <w:trHeight w:val="274"/>
        </w:trPr>
        <w:tc>
          <w:tcPr>
            <w:tcW w:w="120" w:type="dxa"/>
            <w:vAlign w:val="bottom"/>
            <w:tcBorders>
              <w:top w:val="single" w:sz="8" w:color="auto"/>
              <w:left w:val="single" w:sz="8" w:color="auto"/>
            </w:tcBorders>
          </w:tcPr>
          <w:p>
            <w:pPr>
              <w:spacing w:after="0"/>
              <w:rPr>
                <w:sz w:val="23"/>
                <w:szCs w:val="23"/>
                <w:color w:val="auto"/>
              </w:rPr>
            </w:pPr>
          </w:p>
        </w:tc>
        <w:tc>
          <w:tcPr>
            <w:tcW w:w="344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3"/>
          </w:tcPr>
          <w:p>
            <w:pPr>
              <w:jc w:val="center"/>
              <w:ind w:left="476"/>
              <w:spacing w:after="0"/>
              <w:rPr>
                <w:sz w:val="20"/>
                <w:szCs w:val="20"/>
                <w:color w:val="auto"/>
              </w:rPr>
            </w:pPr>
            <w:r>
              <w:rPr>
                <w:rFonts w:ascii="Arial" w:cs="Arial" w:eastAsia="Arial" w:hAnsi="Arial"/>
                <w:sz w:val="13"/>
                <w:szCs w:val="13"/>
                <w:b w:val="1"/>
                <w:bCs w:val="1"/>
                <w:color w:val="auto"/>
                <w:w w:val="92"/>
              </w:rPr>
              <w:t>Wells Drilling</w:t>
            </w:r>
          </w:p>
        </w:tc>
        <w:tc>
          <w:tcPr>
            <w:tcW w:w="5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rPr>
              <w:t>Net Wells Completed</w:t>
            </w:r>
            <w:r>
              <w:rPr>
                <w:rFonts w:ascii="Arial" w:cs="Arial" w:eastAsia="Arial" w:hAnsi="Arial"/>
                <w:sz w:val="10"/>
                <w:szCs w:val="10"/>
                <w:b w:val="1"/>
                <w:bCs w:val="1"/>
                <w:color w:val="auto"/>
              </w:rPr>
              <w:t>1,2</w:t>
            </w:r>
          </w:p>
        </w:tc>
        <w:tc>
          <w:tcPr>
            <w:tcW w:w="40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tcBorders>
              <w:bottom w:val="single" w:sz="8" w:color="auto"/>
            </w:tcBorders>
            <w:gridSpan w:val="3"/>
          </w:tcPr>
          <w:p>
            <w:pPr>
              <w:jc w:val="center"/>
              <w:ind w:left="476"/>
              <w:spacing w:after="0" w:line="144" w:lineRule="exact"/>
              <w:rPr>
                <w:sz w:val="20"/>
                <w:szCs w:val="20"/>
                <w:color w:val="auto"/>
              </w:rPr>
            </w:pPr>
            <w:r>
              <w:rPr>
                <w:rFonts w:ascii="Arial" w:cs="Arial" w:eastAsia="Arial" w:hAnsi="Arial"/>
                <w:sz w:val="13"/>
                <w:szCs w:val="13"/>
                <w:b w:val="1"/>
                <w:bCs w:val="1"/>
                <w:color w:val="auto"/>
                <w:w w:val="89"/>
              </w:rPr>
              <w:t>at 12/31/08</w:t>
            </w:r>
            <w:r>
              <w:rPr>
                <w:rFonts w:ascii="Arial" w:cs="Arial" w:eastAsia="Arial" w:hAnsi="Arial"/>
                <w:sz w:val="10"/>
                <w:szCs w:val="10"/>
                <w:b w:val="1"/>
                <w:bCs w:val="1"/>
                <w:color w:val="auto"/>
                <w:w w:val="89"/>
              </w:rPr>
              <w:t>3</w:t>
            </w:r>
          </w:p>
        </w:tc>
        <w:tc>
          <w:tcPr>
            <w:tcW w:w="5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2008</w:t>
            </w:r>
          </w:p>
        </w:tc>
        <w:tc>
          <w:tcPr>
            <w:tcW w:w="3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6"/>
              <w:spacing w:after="0" w:line="144" w:lineRule="exact"/>
              <w:rPr>
                <w:sz w:val="20"/>
                <w:szCs w:val="20"/>
                <w:color w:val="auto"/>
              </w:rPr>
            </w:pPr>
            <w:r>
              <w:rPr>
                <w:rFonts w:ascii="Arial" w:cs="Arial" w:eastAsia="Arial" w:hAnsi="Arial"/>
                <w:sz w:val="13"/>
                <w:szCs w:val="13"/>
                <w:b w:val="1"/>
                <w:bCs w:val="1"/>
                <w:color w:val="auto"/>
                <w:w w:val="89"/>
              </w:rPr>
              <w:t>2007</w:t>
            </w:r>
          </w:p>
        </w:tc>
        <w:tc>
          <w:tcPr>
            <w:tcW w:w="3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4" w:lineRule="exact"/>
              <w:rPr>
                <w:sz w:val="20"/>
                <w:szCs w:val="20"/>
                <w:color w:val="auto"/>
              </w:rPr>
            </w:pPr>
            <w:r>
              <w:rPr>
                <w:rFonts w:ascii="Arial" w:cs="Arial" w:eastAsia="Arial" w:hAnsi="Arial"/>
                <w:sz w:val="13"/>
                <w:szCs w:val="13"/>
                <w:b w:val="1"/>
                <w:bCs w:val="1"/>
                <w:color w:val="auto"/>
              </w:rPr>
              <w:t>2006</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Gross</w:t>
            </w:r>
          </w:p>
        </w:tc>
        <w:tc>
          <w:tcPr>
            <w:tcW w:w="560" w:type="dxa"/>
            <w:vAlign w:val="bottom"/>
          </w:tcPr>
          <w:p>
            <w:pPr>
              <w:jc w:val="right"/>
              <w:ind w:right="216"/>
              <w:spacing w:after="0" w:line="144" w:lineRule="exact"/>
              <w:rPr>
                <w:sz w:val="20"/>
                <w:szCs w:val="20"/>
                <w:color w:val="auto"/>
              </w:rPr>
            </w:pPr>
            <w:r>
              <w:rPr>
                <w:rFonts w:ascii="Arial" w:cs="Arial" w:eastAsia="Arial" w:hAnsi="Arial"/>
                <w:sz w:val="13"/>
                <w:szCs w:val="13"/>
                <w:b w:val="1"/>
                <w:bCs w:val="1"/>
                <w:color w:val="auto"/>
              </w:rPr>
              <w:t>Net</w:t>
            </w:r>
          </w:p>
        </w:tc>
        <w:tc>
          <w:tcPr>
            <w:tcW w:w="420" w:type="dxa"/>
            <w:vAlign w:val="bottom"/>
          </w:tcPr>
          <w:p>
            <w:pPr>
              <w:spacing w:after="0"/>
              <w:rPr>
                <w:sz w:val="12"/>
                <w:szCs w:val="12"/>
                <w:color w:val="auto"/>
              </w:rPr>
            </w:pPr>
          </w:p>
        </w:tc>
        <w:tc>
          <w:tcPr>
            <w:tcW w:w="940" w:type="dxa"/>
            <w:vAlign w:val="bottom"/>
            <w:gridSpan w:val="2"/>
          </w:tcPr>
          <w:p>
            <w:pPr>
              <w:jc w:val="right"/>
              <w:ind w:right="540"/>
              <w:spacing w:after="0" w:line="144" w:lineRule="exact"/>
              <w:rPr>
                <w:sz w:val="20"/>
                <w:szCs w:val="20"/>
                <w:color w:val="auto"/>
              </w:rPr>
            </w:pPr>
            <w:r>
              <w:rPr>
                <w:rFonts w:ascii="Arial" w:cs="Arial" w:eastAsia="Arial" w:hAnsi="Arial"/>
                <w:sz w:val="13"/>
                <w:szCs w:val="13"/>
                <w:b w:val="1"/>
                <w:bCs w:val="1"/>
                <w:color w:val="auto"/>
              </w:rPr>
              <w:t>Prod.</w:t>
            </w:r>
          </w:p>
        </w:tc>
        <w:tc>
          <w:tcPr>
            <w:tcW w:w="3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Dry</w:t>
            </w:r>
          </w:p>
        </w:tc>
        <w:tc>
          <w:tcPr>
            <w:tcW w:w="42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Prod.</w:t>
            </w:r>
          </w:p>
        </w:tc>
        <w:tc>
          <w:tcPr>
            <w:tcW w:w="44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Dry</w:t>
            </w:r>
          </w:p>
        </w:tc>
        <w:tc>
          <w:tcPr>
            <w:tcW w:w="40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Prod.</w:t>
            </w:r>
          </w:p>
        </w:tc>
        <w:tc>
          <w:tcPr>
            <w:tcW w:w="420" w:type="dxa"/>
            <w:vAlign w:val="bottom"/>
          </w:tcPr>
          <w:p>
            <w:pPr>
              <w:spacing w:after="0"/>
              <w:rPr>
                <w:sz w:val="12"/>
                <w:szCs w:val="12"/>
                <w:color w:val="auto"/>
              </w:rPr>
            </w:pPr>
          </w:p>
        </w:tc>
        <w:tc>
          <w:tcPr>
            <w:tcW w:w="400" w:type="dxa"/>
            <w:vAlign w:val="bottom"/>
          </w:tcPr>
          <w:p>
            <w:pPr>
              <w:jc w:val="right"/>
              <w:ind w:right="36"/>
              <w:spacing w:after="0" w:line="144" w:lineRule="exact"/>
              <w:rPr>
                <w:sz w:val="20"/>
                <w:szCs w:val="20"/>
                <w:color w:val="auto"/>
              </w:rPr>
            </w:pPr>
            <w:r>
              <w:rPr>
                <w:rFonts w:ascii="Arial" w:cs="Arial" w:eastAsia="Arial" w:hAnsi="Arial"/>
                <w:sz w:val="13"/>
                <w:szCs w:val="13"/>
                <w:b w:val="1"/>
                <w:bCs w:val="1"/>
                <w:color w:val="auto"/>
              </w:rPr>
              <w:t>Dry</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34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California</w:t>
            </w:r>
          </w:p>
        </w:tc>
        <w:tc>
          <w:tcPr>
            <w:tcW w:w="14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Gulf of Mexico</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Other U.S.</w:t>
            </w:r>
          </w:p>
        </w:tc>
        <w:tc>
          <w:tcPr>
            <w:tcW w:w="14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w:t>
            </w:r>
          </w:p>
        </w:tc>
        <w:tc>
          <w:tcPr>
            <w:tcW w:w="42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Total United States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44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42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40" w:type="dxa"/>
            <w:vAlign w:val="bottom"/>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0" w:type="dxa"/>
            <w:vAlign w:val="bottom"/>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20" w:type="dxa"/>
            <w:vAlign w:val="bottom"/>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Africa</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4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420" w:type="dxa"/>
            <w:vAlign w:val="bottom"/>
          </w:tcPr>
          <w:p>
            <w:pPr>
              <w:spacing w:after="0"/>
              <w:rPr>
                <w:sz w:val="13"/>
                <w:szCs w:val="13"/>
                <w:color w:val="auto"/>
              </w:rPr>
            </w:pPr>
          </w:p>
        </w:tc>
        <w:tc>
          <w:tcPr>
            <w:tcW w:w="6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Asia-Pacific</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Indonesia</w:t>
            </w:r>
          </w:p>
        </w:tc>
        <w:tc>
          <w:tcPr>
            <w:tcW w:w="14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4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42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Other International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4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Total International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w:t>
            </w: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4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42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4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4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42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63</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Equity in Affiliates</w:t>
            </w:r>
          </w:p>
        </w:tc>
        <w:tc>
          <w:tcPr>
            <w:tcW w:w="1460" w:type="dxa"/>
            <w:vAlign w:val="bottom"/>
            <w:gridSpan w:val="3"/>
          </w:tcPr>
          <w:p>
            <w:pPr>
              <w:jc w:val="right"/>
              <w:ind w:right="6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42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44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w:t>
            </w:r>
          </w:p>
        </w:tc>
        <w:tc>
          <w:tcPr>
            <w:tcW w:w="420" w:type="dxa"/>
            <w:vAlign w:val="bottom"/>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420" w:type="dxa"/>
            <w:vAlign w:val="bottom"/>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40" w:type="dxa"/>
            <w:vAlign w:val="bottom"/>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2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-1772285</wp:posOffset>
            </wp:positionV>
            <wp:extent cx="6626860" cy="169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860" cy="1696720"/>
                    </a:xfrm>
                    <a:prstGeom prst="rect">
                      <a:avLst/>
                    </a:prstGeom>
                    <a:noFill/>
                  </pic:spPr>
                </pic:pic>
              </a:graphicData>
            </a:graphic>
          </wp:anchor>
        </w:drawing>
      </w:r>
    </w:p>
    <w:p>
      <w:pPr>
        <w:spacing w:after="0" w:line="77" w:lineRule="exact"/>
        <w:rPr>
          <w:sz w:val="20"/>
          <w:szCs w:val="20"/>
          <w:color w:val="auto"/>
        </w:rPr>
      </w:pPr>
    </w:p>
    <w:p>
      <w:pPr>
        <w:ind w:left="880" w:hanging="156"/>
        <w:spacing w:after="0"/>
        <w:tabs>
          <w:tab w:leader="none" w:pos="88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2007 conformed to 2008 presentation.</w:t>
      </w:r>
    </w:p>
    <w:p>
      <w:pPr>
        <w:spacing w:after="0" w:line="4" w:lineRule="exact"/>
        <w:rPr>
          <w:sz w:val="20"/>
          <w:szCs w:val="20"/>
          <w:color w:val="auto"/>
        </w:rPr>
      </w:pPr>
    </w:p>
    <w:p>
      <w:pPr>
        <w:jc w:val="both"/>
        <w:ind w:left="880" w:right="260" w:hanging="156"/>
        <w:spacing w:after="0" w:line="241" w:lineRule="auto"/>
        <w:tabs>
          <w:tab w:leader="none" w:pos="880" w:val="left"/>
        </w:tabs>
        <w:numPr>
          <w:ilvl w:val="0"/>
          <w:numId w:val="17"/>
        </w:numPr>
        <w:rPr>
          <w:rFonts w:ascii="Arial" w:cs="Arial" w:eastAsia="Arial" w:hAnsi="Arial"/>
          <w:sz w:val="17"/>
          <w:szCs w:val="17"/>
          <w:color w:val="auto"/>
          <w:vertAlign w:val="superscript"/>
        </w:rPr>
      </w:pPr>
      <w:r>
        <w:rPr>
          <w:rFonts w:ascii="Arial" w:cs="Arial" w:eastAsia="Arial" w:hAnsi="Arial"/>
          <w:sz w:val="10"/>
          <w:szCs w:val="10"/>
          <w:color w:val="auto"/>
        </w:rPr>
        <w:t>Indicates the fractional number of wells completed during the year, regardless of when drilling was initiated. Completion refers to the installation of permanent equipment for the production of crude oil or natural gas or, in the case of a dry well, the reporting of abandonment to the appropriate agency. Some exploratory wells are not drilled with the intention of producing from the well bore. In such cases, “completion” refers to the completion of drilling. Further categorization of productive or dry is based on the determination as to whether hydrocarbons in a sufficient quantity were found to justify completion as a producing well, whether or not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2"/>
          <w:szCs w:val="12"/>
          <w:color w:val="auto"/>
        </w:rPr>
        <w:t>the well is actually going to be completed as a producer.</w:t>
      </w:r>
    </w:p>
    <w:p>
      <w:pPr>
        <w:spacing w:after="0" w:line="6" w:lineRule="exact"/>
        <w:rPr>
          <w:sz w:val="20"/>
          <w:szCs w:val="20"/>
          <w:color w:val="auto"/>
        </w:rPr>
      </w:pPr>
    </w:p>
    <w:p>
      <w:pPr>
        <w:ind w:left="880" w:right="400" w:hanging="156"/>
        <w:spacing w:after="0" w:line="225" w:lineRule="auto"/>
        <w:tabs>
          <w:tab w:leader="none" w:pos="880" w:val="left"/>
        </w:tabs>
        <w:numPr>
          <w:ilvl w:val="0"/>
          <w:numId w:val="18"/>
        </w:numPr>
        <w:rPr>
          <w:rFonts w:ascii="Arial" w:cs="Arial" w:eastAsia="Arial" w:hAnsi="Arial"/>
          <w:sz w:val="18"/>
          <w:szCs w:val="18"/>
          <w:color w:val="auto"/>
          <w:vertAlign w:val="superscript"/>
        </w:rPr>
      </w:pPr>
      <w:r>
        <w:rPr>
          <w:rFonts w:ascii="Arial" w:cs="Arial" w:eastAsia="Arial" w:hAnsi="Arial"/>
          <w:sz w:val="11"/>
          <w:szCs w:val="11"/>
          <w:color w:val="auto"/>
        </w:rPr>
        <w:t>Represents wells that are in the process of drilling but have been neither abandoned nor completed as of the last day of the year, including wells for which drilling was not completed and which were temporarily suspended at the end of 2008. Does not include wells for which drilling was completed at year-end 2008 and that were reported as suspended wells in Note 20 beginning on page FS-48. Gross wells include the total number of wells in which the company has an interest. Net wells include wholly owned wells and the sum of the company’s fractional interests in gross wells.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to Table I on page FS-62 for detail of the company’s exploration expenditures and costs of unproved property acquisitions for 2008, 2007 and 2006.</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Review of Ongoing Exploration and Production Activities in Key Areas</w:t>
      </w:r>
    </w:p>
    <w:p>
      <w:pPr>
        <w:spacing w:after="0" w:line="95" w:lineRule="exact"/>
        <w:rPr>
          <w:sz w:val="20"/>
          <w:szCs w:val="20"/>
          <w:color w:val="auto"/>
        </w:rPr>
      </w:pPr>
    </w:p>
    <w:p>
      <w:pPr>
        <w:ind w:left="460" w:right="640"/>
        <w:spacing w:after="0" w:line="309" w:lineRule="auto"/>
        <w:rPr>
          <w:sz w:val="20"/>
          <w:szCs w:val="20"/>
          <w:color w:val="auto"/>
        </w:rPr>
      </w:pPr>
      <w:r>
        <w:rPr>
          <w:rFonts w:ascii="Arial" w:cs="Arial" w:eastAsia="Arial" w:hAnsi="Arial"/>
          <w:sz w:val="12"/>
          <w:szCs w:val="12"/>
          <w:color w:val="auto"/>
        </w:rPr>
        <w:t>Chevron’s 2008 key upstream activities, some of which are also discussed in Management’s Discussion and Analysis of Financial Condition and Results of Operations beginning on page FS-2, are presented below. The comments include references to “total production” and “net production,” which are defined under “Production” in Exhibit 99.1 on page E-146.</w:t>
      </w:r>
    </w:p>
    <w:p>
      <w:pPr>
        <w:spacing w:after="0" w:line="39" w:lineRule="exact"/>
        <w:rPr>
          <w:sz w:val="20"/>
          <w:szCs w:val="20"/>
          <w:color w:val="auto"/>
        </w:rPr>
      </w:pPr>
    </w:p>
    <w:p>
      <w:pPr>
        <w:jc w:val="both"/>
        <w:ind w:left="460" w:right="400"/>
        <w:spacing w:after="0" w:line="288" w:lineRule="auto"/>
        <w:rPr>
          <w:sz w:val="20"/>
          <w:szCs w:val="20"/>
          <w:color w:val="auto"/>
        </w:rPr>
      </w:pPr>
      <w:r>
        <w:rPr>
          <w:rFonts w:ascii="Arial" w:cs="Arial" w:eastAsia="Arial" w:hAnsi="Arial"/>
          <w:sz w:val="12"/>
          <w:szCs w:val="12"/>
          <w:color w:val="auto"/>
        </w:rPr>
        <w:t>The discussion that follows references the status of proved reserves recognition for significant long-lead-time projects not yet on production and for projects recently placed on production. Reserves are not discussed for recent discoveries that have yet to advance to a project stage or for mature areas of production that do not have individual projects requiring significant levels of capital or exploratory investment. Amounts indicated for project costs represent total project costs, not the company’s share of costs for projects that are less than wholly owned.</w:t>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71755</wp:posOffset>
            </wp:positionV>
            <wp:extent cx="2392045" cy="1610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92045" cy="1610995"/>
                    </a:xfrm>
                    <a:prstGeom prst="rect">
                      <a:avLst/>
                    </a:prstGeom>
                    <a:noFill/>
                  </pic:spPr>
                </pic:pic>
              </a:graphicData>
            </a:graphic>
          </wp:anchor>
        </w:drawing>
      </w:r>
    </w:p>
    <w:p>
      <w:pPr>
        <w:spacing w:after="0" w:line="238" w:lineRule="exact"/>
        <w:rPr>
          <w:sz w:val="20"/>
          <w:szCs w:val="20"/>
          <w:color w:val="auto"/>
        </w:rPr>
      </w:pPr>
    </w:p>
    <w:p>
      <w:pPr>
        <w:ind w:left="6200"/>
        <w:spacing w:after="0" w:line="251" w:lineRule="auto"/>
        <w:rPr>
          <w:sz w:val="20"/>
          <w:szCs w:val="20"/>
          <w:color w:val="auto"/>
        </w:rPr>
      </w:pPr>
      <w:r>
        <w:rPr>
          <w:rFonts w:ascii="Arial" w:cs="Arial" w:eastAsia="Arial" w:hAnsi="Arial"/>
          <w:sz w:val="13"/>
          <w:szCs w:val="13"/>
          <w:color w:val="auto"/>
        </w:rPr>
        <w:t>Chevron has production and exploration activities in most of the world’s major hydrocarbon basins. The company’s upstream strategy is to grow profitably in core areas, build new legacy positions and commercialize the company’s equity natural-gas resource base while growing a high-impact global gas business. The map at left indicates Chevron’s primary areas of production and exploration.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hanging="324"/>
        <w:spacing w:after="0"/>
        <w:tabs>
          <w:tab w:leader="none" w:pos="7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United States</w:t>
      </w:r>
    </w:p>
    <w:p>
      <w:pPr>
        <w:spacing w:after="0" w:line="95"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Upstream activities in the United States are concentrated in California, the Gulf of Mexico, Louisiana, Texas, New Mexico, the Rocky Mountains and Alaska. Average net oil-equivalent production in the United States during 2008 was 671,000 barrels per day, composed of 421,000 barrels of crude oil and natural gas liquids and 1.5 billion cubic feet of natural gas. Refer to Table V beginning on page FS-67 for a discussion of the net proved reserves and different hydrocarbon characteristics for the company’s major U.S. producing areas.</w:t>
      </w:r>
    </w:p>
    <w:p>
      <w:pPr>
        <w:spacing w:after="0" w:line="133" w:lineRule="exact"/>
        <w:rPr>
          <w:sz w:val="20"/>
          <w:szCs w:val="20"/>
          <w:color w:val="auto"/>
        </w:rPr>
      </w:pPr>
    </w:p>
    <w:p>
      <w:pPr>
        <w:ind w:left="5780" w:right="120"/>
        <w:spacing w:after="0" w:line="253" w:lineRule="auto"/>
        <w:rPr>
          <w:sz w:val="20"/>
          <w:szCs w:val="20"/>
          <w:color w:val="auto"/>
        </w:rPr>
      </w:pPr>
      <w:r>
        <w:rPr>
          <w:rFonts w:ascii="Arial" w:cs="Arial" w:eastAsia="Arial" w:hAnsi="Arial"/>
          <w:sz w:val="13"/>
          <w:szCs w:val="13"/>
          <w:b w:val="1"/>
          <w:bCs w:val="1"/>
          <w:color w:val="auto"/>
        </w:rPr>
        <w:t xml:space="preserve">California: </w:t>
      </w:r>
      <w:r>
        <w:rPr>
          <w:rFonts w:ascii="Arial" w:cs="Arial" w:eastAsia="Arial" w:hAnsi="Arial"/>
          <w:sz w:val="13"/>
          <w:szCs w:val="13"/>
          <w:color w:val="auto"/>
        </w:rPr>
        <w:t>The company has significant production in the San Joaquin Valley. In 2008, average</w:t>
      </w:r>
      <w:r>
        <w:rPr>
          <w:rFonts w:ascii="Arial" w:cs="Arial" w:eastAsia="Arial" w:hAnsi="Arial"/>
          <w:sz w:val="13"/>
          <w:szCs w:val="13"/>
          <w:b w:val="1"/>
          <w:bCs w:val="1"/>
          <w:color w:val="auto"/>
        </w:rPr>
        <w:t xml:space="preserve"> </w:t>
      </w:r>
      <w:r>
        <w:rPr>
          <w:rFonts w:ascii="Arial" w:cs="Arial" w:eastAsia="Arial" w:hAnsi="Arial"/>
          <w:sz w:val="13"/>
          <w:szCs w:val="13"/>
          <w:color w:val="auto"/>
        </w:rPr>
        <w:t>net oil-equivalent production was 215,000 barrels per day, composed of 196,000 barrels of crude oil, 88 million cubic feet of natural gas and 5,000 barrels of natural gas liquids. Approximately 84 percent of the crude-oil production is considered heavy oil (typically with API gravity lower than 22 degrees).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-491490</wp:posOffset>
            </wp:positionV>
            <wp:extent cx="2111375" cy="1788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1375"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5680" w:right="120"/>
        <w:spacing w:after="0" w:line="316" w:lineRule="auto"/>
        <w:rPr>
          <w:sz w:val="20"/>
          <w:szCs w:val="20"/>
          <w:color w:val="auto"/>
        </w:rPr>
      </w:pPr>
      <w:r>
        <w:rPr>
          <w:rFonts w:ascii="Arial" w:cs="Arial" w:eastAsia="Arial" w:hAnsi="Arial"/>
          <w:sz w:val="11"/>
          <w:szCs w:val="11"/>
          <w:b w:val="1"/>
          <w:bCs w:val="1"/>
          <w:color w:val="auto"/>
        </w:rPr>
        <w:t xml:space="preserve">Gulf of Mexico: </w:t>
      </w:r>
      <w:r>
        <w:rPr>
          <w:rFonts w:ascii="Arial" w:cs="Arial" w:eastAsia="Arial" w:hAnsi="Arial"/>
          <w:sz w:val="11"/>
          <w:szCs w:val="11"/>
          <w:color w:val="auto"/>
        </w:rPr>
        <w:t>Average net oil-equivalent production during 2008 for the company’s combined</w:t>
      </w:r>
      <w:r>
        <w:rPr>
          <w:rFonts w:ascii="Arial" w:cs="Arial" w:eastAsia="Arial" w:hAnsi="Arial"/>
          <w:sz w:val="11"/>
          <w:szCs w:val="11"/>
          <w:b w:val="1"/>
          <w:bCs w:val="1"/>
          <w:color w:val="auto"/>
        </w:rPr>
        <w:t xml:space="preserve"> </w:t>
      </w:r>
      <w:r>
        <w:rPr>
          <w:rFonts w:ascii="Arial" w:cs="Arial" w:eastAsia="Arial" w:hAnsi="Arial"/>
          <w:sz w:val="11"/>
          <w:szCs w:val="11"/>
          <w:color w:val="auto"/>
        </w:rPr>
        <w:t>interests in the Gulf of Mexico shelf and deepwater areas, and the onshore fields in the region was 160,000 barrels per day. The daily oil-equivalent production comprised 76,000 barrels of crude oil, 439 million cubic feet of natural gas and 10,000 barrels of natural gas liquids.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-414020</wp:posOffset>
            </wp:positionV>
            <wp:extent cx="2111375" cy="1428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11375" cy="1428115"/>
                    </a:xfrm>
                    <a:prstGeom prst="rect">
                      <a:avLst/>
                    </a:prstGeom>
                    <a:noFill/>
                  </pic:spPr>
                </pic:pic>
              </a:graphicData>
            </a:graphic>
          </wp:anchor>
        </w:drawing>
      </w:r>
    </w:p>
    <w:p>
      <w:pPr>
        <w:spacing w:after="0" w:line="87" w:lineRule="exact"/>
        <w:rPr>
          <w:sz w:val="20"/>
          <w:szCs w:val="20"/>
          <w:color w:val="auto"/>
        </w:rPr>
      </w:pPr>
    </w:p>
    <w:p>
      <w:pPr>
        <w:ind w:left="5680" w:right="100"/>
        <w:spacing w:after="0" w:line="281" w:lineRule="auto"/>
        <w:rPr>
          <w:sz w:val="20"/>
          <w:szCs w:val="20"/>
          <w:color w:val="auto"/>
        </w:rPr>
      </w:pPr>
      <w:r>
        <w:rPr>
          <w:rFonts w:ascii="Arial" w:cs="Arial" w:eastAsia="Arial" w:hAnsi="Arial"/>
          <w:sz w:val="12"/>
          <w:szCs w:val="12"/>
          <w:color w:val="auto"/>
        </w:rPr>
        <w:t>Production levels in 2008 were adversely affected by damage to facilities caused by hurricanes Gustav and Ike in September. At the end of 2008, approximately 50,000 barrels per day of oil-equivalent production remained offline, with restoration of the volumes to occur as repairs to third-party pipelines and producing facilities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120"/>
        <w:spacing w:after="0" w:line="253" w:lineRule="auto"/>
        <w:rPr>
          <w:sz w:val="20"/>
          <w:szCs w:val="20"/>
          <w:color w:val="auto"/>
        </w:rPr>
      </w:pPr>
      <w:r>
        <w:rPr>
          <w:rFonts w:ascii="Arial" w:cs="Arial" w:eastAsia="Arial" w:hAnsi="Arial"/>
          <w:sz w:val="13"/>
          <w:szCs w:val="13"/>
          <w:color w:val="auto"/>
        </w:rPr>
        <w:t>During 2008, Chevron was engaged in various development and exploration activities in the deepwater Gulf of Mexico. Production start-up occurred in fourth quarter 2008 at the 75 percent-owned and operated Blind Faith project. The project was designed for daily production capacity of 65,000 barrels of crude oil and 55 million cubic feet of natural gas from subsea wells tied back to a semisubmersible hull. Proved undeveloped reserves were initially recorded in 2005, and a portion was transferred to the proved-developed category in 2008 coincident with project start-up. The production life of the field is estimated to be approximately 20 years.</w:t>
      </w:r>
    </w:p>
    <w:p>
      <w:pPr>
        <w:spacing w:after="0" w:line="71" w:lineRule="exact"/>
        <w:rPr>
          <w:sz w:val="20"/>
          <w:szCs w:val="20"/>
          <w:color w:val="auto"/>
        </w:rPr>
      </w:pPr>
    </w:p>
    <w:p>
      <w:pPr>
        <w:ind w:left="460" w:right="380"/>
        <w:spacing w:after="0" w:line="309" w:lineRule="auto"/>
        <w:rPr>
          <w:sz w:val="20"/>
          <w:szCs w:val="20"/>
          <w:color w:val="auto"/>
        </w:rPr>
      </w:pPr>
      <w:r>
        <w:rPr>
          <w:rFonts w:ascii="Arial" w:cs="Arial" w:eastAsia="Arial" w:hAnsi="Arial"/>
          <w:sz w:val="12"/>
          <w:szCs w:val="12"/>
          <w:color w:val="auto"/>
        </w:rPr>
        <w:t>At Caesar/Tonga, the company participated in a successful appraisal well in 2008. The Tonga and Caesar partnerships have formed a unit agreement for the area, with Chevron having a 20 percent nonoperated working interest. First oil is expected by 2011. Development plans include a subsea tie-back to a nearby third-party production facility.</w:t>
      </w:r>
    </w:p>
    <w:p>
      <w:pPr>
        <w:spacing w:after="0" w:line="39" w:lineRule="exact"/>
        <w:rPr>
          <w:sz w:val="20"/>
          <w:szCs w:val="20"/>
          <w:color w:val="auto"/>
        </w:rPr>
      </w:pPr>
    </w:p>
    <w:p>
      <w:pPr>
        <w:jc w:val="both"/>
        <w:ind w:left="460" w:right="120"/>
        <w:spacing w:after="0" w:line="297" w:lineRule="auto"/>
        <w:rPr>
          <w:sz w:val="20"/>
          <w:szCs w:val="20"/>
          <w:color w:val="auto"/>
        </w:rPr>
      </w:pPr>
      <w:r>
        <w:rPr>
          <w:rFonts w:ascii="Arial" w:cs="Arial" w:eastAsia="Arial" w:hAnsi="Arial"/>
          <w:sz w:val="11"/>
          <w:szCs w:val="11"/>
          <w:color w:val="auto"/>
        </w:rPr>
        <w:t>The company is also participating in the ultra-deep Perdido Regional Development. The project encompasses the installation of a producing host facility to service multiple fields, including Chevron’s 33 percent-owned Great White, 60 percent-owned Silvertip and 58 percent-owned Tobago. Chevron has a 38 percent interest in the Perdido Regional Host. All of these fields and the production facility are partner-operated. Activities during 2008 included facility construction, development drilling and spar installation. First oil is expected in early 2010, with the facility capable of handling</w:t>
      </w:r>
    </w:p>
    <w:p>
      <w:pPr>
        <w:ind w:left="460" w:right="360"/>
        <w:spacing w:after="0" w:line="253" w:lineRule="auto"/>
        <w:rPr>
          <w:sz w:val="20"/>
          <w:szCs w:val="20"/>
          <w:color w:val="auto"/>
        </w:rPr>
      </w:pPr>
      <w:r>
        <w:rPr>
          <w:rFonts w:ascii="Arial" w:cs="Arial" w:eastAsia="Arial" w:hAnsi="Arial"/>
          <w:sz w:val="13"/>
          <w:szCs w:val="13"/>
          <w:color w:val="auto"/>
        </w:rPr>
        <w:t>130,000 barrels of oil-equivalent per day. The project has an expected life of approximately 25 years. Proved undeveloped reserves related to the project were first recorded in 2006, and the phased reclassification of these reserves to the proved-developed category is anticipated near the time of production start-up.</w:t>
      </w:r>
    </w:p>
    <w:p>
      <w:pPr>
        <w:spacing w:after="0" w:line="70" w:lineRule="exact"/>
        <w:rPr>
          <w:sz w:val="20"/>
          <w:szCs w:val="20"/>
          <w:color w:val="auto"/>
        </w:rPr>
      </w:pPr>
    </w:p>
    <w:p>
      <w:pPr>
        <w:ind w:left="460" w:right="40"/>
        <w:spacing w:after="0" w:line="251" w:lineRule="auto"/>
        <w:rPr>
          <w:sz w:val="20"/>
          <w:szCs w:val="20"/>
          <w:color w:val="auto"/>
        </w:rPr>
      </w:pPr>
      <w:r>
        <w:rPr>
          <w:rFonts w:ascii="Arial" w:cs="Arial" w:eastAsia="Arial" w:hAnsi="Arial"/>
          <w:sz w:val="13"/>
          <w:szCs w:val="13"/>
          <w:color w:val="auto"/>
        </w:rPr>
        <w:t>At the 58 percent-owned and operated Tahiti Field, development work continued following a delay in 2007 due to metallurgical problems with the facility’s mooring shackles, which problems have been resolved. The project is designed as a subsea development, with the wells tied back to a truss-spar floating production facility. Production start-up is expected in mid-2009. Initial booking of proved undeveloped reserves occurred in 2003 for the project, with the transfer of a portion of these reserves into the proved-developed category anticipated near the time of production start-up. With an estimated production life of 30 years, Tahiti is designed to have a maximum total daily production of 125,000 barrels of crude oil and 70 million cubic feet of natural gas. In early 2009, a possible second phase of field development was under evaluation.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Deepwater exploration activities in 2008 and early 2009 included participation in 12 exploratory wells — four wildcat and eight appraisal. Exploratory work included the following:</w:t>
      </w:r>
    </w:p>
    <w:p>
      <w:pPr>
        <w:spacing w:after="0" w:line="91" w:lineRule="exact"/>
        <w:rPr>
          <w:sz w:val="20"/>
          <w:szCs w:val="20"/>
          <w:color w:val="auto"/>
        </w:rPr>
      </w:pPr>
    </w:p>
    <w:p>
      <w:pPr>
        <w:ind w:left="1500" w:right="420" w:hanging="208"/>
        <w:spacing w:after="0" w:line="267"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Big Foot — 60 percent-owned and operated. A successful appraisal well was completed in first quarter 2008. A final appraisal well began drilling in November 2008, and was completed in January 2009. As of late February 2009, evaluation of the drilling results was under way.</w:t>
      </w:r>
    </w:p>
    <w:p>
      <w:pPr>
        <w:spacing w:after="0" w:line="51" w:lineRule="exact"/>
        <w:rPr>
          <w:rFonts w:ascii="Arial" w:cs="Arial" w:eastAsia="Arial" w:hAnsi="Arial"/>
          <w:sz w:val="13"/>
          <w:szCs w:val="13"/>
          <w:color w:val="auto"/>
        </w:rPr>
      </w:pPr>
    </w:p>
    <w:p>
      <w:pPr>
        <w:ind w:left="1500" w:hanging="208"/>
        <w:spacing w:after="0"/>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Buckskin — 55 percent-owned and operated. A successful wildcat well was completed in early 2009.</w:t>
      </w:r>
    </w:p>
    <w:p>
      <w:pPr>
        <w:spacing w:after="0" w:line="81" w:lineRule="exact"/>
        <w:rPr>
          <w:rFonts w:ascii="Arial" w:cs="Arial" w:eastAsia="Arial" w:hAnsi="Arial"/>
          <w:sz w:val="13"/>
          <w:szCs w:val="13"/>
          <w:color w:val="auto"/>
        </w:rPr>
      </w:pPr>
    </w:p>
    <w:p>
      <w:pPr>
        <w:ind w:left="1500" w:right="320" w:hanging="208"/>
        <w:spacing w:after="0" w:line="267"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Jack &amp; St. Malo — 50 percent- and 41 percent-owned and operated interests, respectively. The prospects are being evaluated together due to their relative proximity. Successful appraisal wells were drilled during 2008 at both Jack and St. Malo, bringing the total wells drilled to three at Jack and four at St. Malo.</w:t>
      </w:r>
    </w:p>
    <w:p>
      <w:pPr>
        <w:spacing w:after="0" w:line="51" w:lineRule="exact"/>
        <w:rPr>
          <w:rFonts w:ascii="Arial" w:cs="Arial" w:eastAsia="Arial" w:hAnsi="Arial"/>
          <w:sz w:val="13"/>
          <w:szCs w:val="13"/>
          <w:color w:val="auto"/>
        </w:rPr>
      </w:pPr>
    </w:p>
    <w:p>
      <w:pPr>
        <w:ind w:left="1500" w:hanging="208"/>
        <w:spacing w:after="0" w:line="267"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Knotty Head — 25 percent-owned and nonoperated working interest. Subsurface studies continued during 2008 at this 2005 discovery, with an appraisal well planned for third quarter 2009.</w:t>
      </w:r>
    </w:p>
    <w:p>
      <w:pPr>
        <w:spacing w:after="0" w:line="51" w:lineRule="exact"/>
        <w:rPr>
          <w:rFonts w:ascii="Arial" w:cs="Arial" w:eastAsia="Arial" w:hAnsi="Arial"/>
          <w:sz w:val="13"/>
          <w:szCs w:val="13"/>
          <w:color w:val="auto"/>
        </w:rPr>
      </w:pPr>
    </w:p>
    <w:p>
      <w:pPr>
        <w:ind w:left="1500" w:hanging="208"/>
        <w:spacing w:after="0"/>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Puma — 22 percent-owned and nonoperated working interest. An appraisal well began drilling in late 2008 and was scheduled for completion in second quarter 2009.</w:t>
      </w:r>
    </w:p>
    <w:p>
      <w:pPr>
        <w:spacing w:after="0" w:line="92" w:lineRule="exact"/>
        <w:rPr>
          <w:rFonts w:ascii="Arial" w:cs="Arial" w:eastAsia="Arial" w:hAnsi="Arial"/>
          <w:sz w:val="12"/>
          <w:szCs w:val="12"/>
          <w:color w:val="auto"/>
        </w:rPr>
      </w:pPr>
    </w:p>
    <w:p>
      <w:pPr>
        <w:ind w:left="1500" w:hanging="208"/>
        <w:spacing w:after="0"/>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Tubular Bells — 30 percent-owned and nonoperated working interest. An appraisal well was completed in 2008.</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 the end of 2008, the company had not yet recognized proved reserves for any of the exploration projects discussed above.</w:t>
      </w:r>
    </w:p>
    <w:p>
      <w:pPr>
        <w:spacing w:after="0" w:line="91" w:lineRule="exact"/>
        <w:rPr>
          <w:sz w:val="20"/>
          <w:szCs w:val="20"/>
          <w:color w:val="auto"/>
        </w:rPr>
      </w:pPr>
    </w:p>
    <w:p>
      <w:pPr>
        <w:ind w:left="460" w:right="80"/>
        <w:spacing w:after="0" w:line="253" w:lineRule="auto"/>
        <w:rPr>
          <w:sz w:val="20"/>
          <w:szCs w:val="20"/>
          <w:color w:val="auto"/>
        </w:rPr>
      </w:pPr>
      <w:r>
        <w:rPr>
          <w:rFonts w:ascii="Arial" w:cs="Arial" w:eastAsia="Arial" w:hAnsi="Arial"/>
          <w:sz w:val="13"/>
          <w:szCs w:val="13"/>
          <w:color w:val="auto"/>
        </w:rPr>
        <w:t>Besides the activities connected with the development and exploration projects in the Gulf of Mexico, the company also has access to liquefied natural gas (LNG) for the North America natural gas market through the Sabine Pass LNG terminal in Louisiana. The terminal was completed in mid-2008, and Chevron has contracted for 1 billion cubic feet per day of regasification capacity at the facility beginning in July 2009. The company also has completed the permitting process to develop the Casotte Landing regasification facility adjacent to the company’s Pascagoula refinery in Mississippi. Casotte Landing remains a development option for Chevron to bring LNG into the United States.</w:t>
      </w:r>
    </w:p>
    <w:p>
      <w:pPr>
        <w:spacing w:after="0" w:line="71"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Also in the Sabine Pass area of Louisiana, the company has a binding agreement to be one of the anchor shippers in a 3.2 billion-cubic-feet-per-day third-party-owned natural gas pipeline. Chevron has contracted to have 1.6 billion cubic</w:t>
      </w:r>
    </w:p>
    <w:p>
      <w:pPr>
        <w:spacing w:after="0" w:line="26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220"/>
        <w:spacing w:after="0" w:line="288" w:lineRule="auto"/>
        <w:rPr>
          <w:sz w:val="20"/>
          <w:szCs w:val="20"/>
          <w:color w:val="auto"/>
        </w:rPr>
      </w:pPr>
      <w:r>
        <w:rPr>
          <w:rFonts w:ascii="Arial" w:cs="Arial" w:eastAsia="Arial" w:hAnsi="Arial"/>
          <w:sz w:val="12"/>
          <w:szCs w:val="12"/>
          <w:color w:val="auto"/>
        </w:rPr>
        <w:t>feet per day of capacity in the pipeline, of which 1 billion cubic feet per day is in a new pipeline and 600 million cubic feet per day is interconnecting capacity to an existing pipeline. The new pipeline system, expected to be completed in second quarter 2009, will provide access to Chevron’s Sabine and Bridgeline pipelines, which connect to the Henry Hub. The Henry Hub interconnects to nine interstate and four intrastate pipelines and is the pricing point for natural gas futures contracts traded on the NYMEX (New York Mercantile Exchange).</w:t>
      </w:r>
    </w:p>
    <w:p>
      <w:pPr>
        <w:spacing w:after="0" w:line="47" w:lineRule="exact"/>
        <w:rPr>
          <w:sz w:val="20"/>
          <w:szCs w:val="20"/>
          <w:color w:val="auto"/>
        </w:rPr>
      </w:pPr>
    </w:p>
    <w:p>
      <w:pPr>
        <w:ind w:left="460" w:right="20"/>
        <w:spacing w:after="0" w:line="260" w:lineRule="auto"/>
        <w:rPr>
          <w:sz w:val="20"/>
          <w:szCs w:val="20"/>
          <w:color w:val="auto"/>
        </w:rPr>
      </w:pPr>
      <w:r>
        <w:rPr>
          <w:rFonts w:ascii="Arial" w:cs="Arial" w:eastAsia="Arial" w:hAnsi="Arial"/>
          <w:sz w:val="13"/>
          <w:szCs w:val="13"/>
          <w:b w:val="1"/>
          <w:bCs w:val="1"/>
          <w:color w:val="auto"/>
        </w:rPr>
        <w:t xml:space="preserve">Other U.S. Areas: </w:t>
      </w:r>
      <w:r>
        <w:rPr>
          <w:rFonts w:ascii="Arial" w:cs="Arial" w:eastAsia="Arial" w:hAnsi="Arial"/>
          <w:sz w:val="13"/>
          <w:szCs w:val="13"/>
          <w:color w:val="auto"/>
        </w:rPr>
        <w:t>Outside California and the Gulf of Mexico, the company manages operations across the mid-continental United States and Alaska. During 2008, the company’s U.S. production outside</w:t>
      </w:r>
      <w:r>
        <w:rPr>
          <w:rFonts w:ascii="Arial" w:cs="Arial" w:eastAsia="Arial" w:hAnsi="Arial"/>
          <w:sz w:val="13"/>
          <w:szCs w:val="13"/>
          <w:b w:val="1"/>
          <w:bCs w:val="1"/>
          <w:color w:val="auto"/>
        </w:rPr>
        <w:t xml:space="preserve"> </w:t>
      </w:r>
      <w:r>
        <w:rPr>
          <w:rFonts w:ascii="Arial" w:cs="Arial" w:eastAsia="Arial" w:hAnsi="Arial"/>
          <w:sz w:val="13"/>
          <w:szCs w:val="13"/>
          <w:color w:val="auto"/>
        </w:rPr>
        <w:t>California and the Gulf of Mexico averaged 296,000 net oil-equivalent barrels per day, composed of 101,000 barrels of crude oil, 974 million cubic feet of natural gas and 33,000 barrels of natural gas liquids.</w:t>
      </w:r>
    </w:p>
    <w:p>
      <w:pPr>
        <w:spacing w:after="0" w:line="66"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In the Piceance Basin in northwestern Colorado, the company is continuing a natural-gas development in which it holds a 100 percent operated working interest. A pipeline to transport the gas to a gathering system was completed in 2008 and facilities to produce 60 million cubic feet of natural gas per day are expected to be completed in mid-2009. Development drilling began in 2007, and reserves will be recognized over the life of the project based upon drilling results.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b) Africa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Africa, the company is engaged in exploration and production activities in Angola, Chad, Democratic Republic of the Congo, Libya, Nigeria and Republic of the Congo.</w:t>
      </w:r>
    </w:p>
    <w:p>
      <w:pPr>
        <w:spacing w:after="0" w:line="250" w:lineRule="exact"/>
        <w:rPr>
          <w:sz w:val="20"/>
          <w:szCs w:val="20"/>
          <w:color w:val="auto"/>
        </w:rPr>
      </w:pPr>
    </w:p>
    <w:p>
      <w:pPr>
        <w:ind w:left="5260"/>
        <w:spacing w:after="0" w:line="291" w:lineRule="auto"/>
        <w:rPr>
          <w:sz w:val="20"/>
          <w:szCs w:val="20"/>
          <w:color w:val="auto"/>
        </w:rPr>
      </w:pPr>
      <w:r>
        <w:rPr>
          <w:rFonts w:ascii="Arial" w:cs="Arial" w:eastAsia="Arial" w:hAnsi="Arial"/>
          <w:sz w:val="12"/>
          <w:szCs w:val="12"/>
          <w:b w:val="1"/>
          <w:bCs w:val="1"/>
          <w:color w:val="auto"/>
        </w:rPr>
        <w:t xml:space="preserve">Angola: </w:t>
      </w:r>
      <w:r>
        <w:rPr>
          <w:rFonts w:ascii="Arial" w:cs="Arial" w:eastAsia="Arial" w:hAnsi="Arial"/>
          <w:sz w:val="12"/>
          <w:szCs w:val="12"/>
          <w:color w:val="auto"/>
        </w:rPr>
        <w:t>Chevron holds company-operated working interests in offshore Blocks 0 and 14 and nonoperated</w:t>
      </w:r>
      <w:r>
        <w:rPr>
          <w:rFonts w:ascii="Arial" w:cs="Arial" w:eastAsia="Arial" w:hAnsi="Arial"/>
          <w:sz w:val="12"/>
          <w:szCs w:val="12"/>
          <w:b w:val="1"/>
          <w:bCs w:val="1"/>
          <w:color w:val="auto"/>
        </w:rPr>
        <w:t xml:space="preserve"> </w:t>
      </w:r>
      <w:r>
        <w:rPr>
          <w:rFonts w:ascii="Arial" w:cs="Arial" w:eastAsia="Arial" w:hAnsi="Arial"/>
          <w:sz w:val="12"/>
          <w:szCs w:val="12"/>
          <w:color w:val="auto"/>
        </w:rPr>
        <w:t>working interests in offshore Block 2 and the onshore Fina Sonangol Texaco (FST) area. Net production from these operations in 2008 averaged 154,000 barrels of oil-equivalent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-309880</wp:posOffset>
            </wp:positionV>
            <wp:extent cx="2044065" cy="2275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4065" cy="2275840"/>
                    </a:xfrm>
                    <a:prstGeom prst="rect">
                      <a:avLst/>
                    </a:prstGeom>
                    <a:noFill/>
                  </pic:spPr>
                </pic:pic>
              </a:graphicData>
            </a:graphic>
          </wp:anchor>
        </w:drawing>
      </w:r>
    </w:p>
    <w:p>
      <w:pPr>
        <w:spacing w:after="0" w:line="97" w:lineRule="exact"/>
        <w:rPr>
          <w:sz w:val="20"/>
          <w:szCs w:val="20"/>
          <w:color w:val="auto"/>
        </w:rPr>
      </w:pPr>
    </w:p>
    <w:p>
      <w:pPr>
        <w:ind w:left="5260" w:right="180"/>
        <w:spacing w:after="0" w:line="309" w:lineRule="auto"/>
        <w:rPr>
          <w:sz w:val="20"/>
          <w:szCs w:val="20"/>
          <w:color w:val="auto"/>
        </w:rPr>
      </w:pPr>
      <w:r>
        <w:rPr>
          <w:rFonts w:ascii="Arial" w:cs="Arial" w:eastAsia="Arial" w:hAnsi="Arial"/>
          <w:sz w:val="12"/>
          <w:szCs w:val="12"/>
          <w:color w:val="auto"/>
        </w:rPr>
        <w:t>The company operates in areas A and B of the 39 percent-owned Block 0, which averaged 109,000 barrels per day of net liquids production in 2008. The Block 0 concession extends through 2030.</w:t>
      </w:r>
    </w:p>
    <w:p>
      <w:pPr>
        <w:spacing w:after="0" w:line="106" w:lineRule="exact"/>
        <w:rPr>
          <w:sz w:val="20"/>
          <w:szCs w:val="20"/>
          <w:color w:val="auto"/>
        </w:rPr>
      </w:pPr>
    </w:p>
    <w:p>
      <w:pPr>
        <w:ind w:left="5260" w:right="420"/>
        <w:spacing w:after="0" w:line="309" w:lineRule="auto"/>
        <w:rPr>
          <w:sz w:val="20"/>
          <w:szCs w:val="20"/>
          <w:color w:val="auto"/>
        </w:rPr>
      </w:pPr>
      <w:r>
        <w:rPr>
          <w:rFonts w:ascii="Arial" w:cs="Arial" w:eastAsia="Arial" w:hAnsi="Arial"/>
          <w:sz w:val="12"/>
          <w:szCs w:val="12"/>
          <w:color w:val="auto"/>
        </w:rPr>
        <w:t>Start-up of the Mafumeira Field in Area A of Block 0 is expected in third quarter 2009, with crude-oil production ramping up to the expected maximum total of 35,000 barrels per day in 2011.</w:t>
      </w:r>
    </w:p>
    <w:p>
      <w:pPr>
        <w:spacing w:after="0" w:line="106" w:lineRule="exact"/>
        <w:rPr>
          <w:sz w:val="20"/>
          <w:szCs w:val="20"/>
          <w:color w:val="auto"/>
        </w:rPr>
      </w:pPr>
    </w:p>
    <w:p>
      <w:pPr>
        <w:ind w:left="5260" w:right="220"/>
        <w:spacing w:after="0" w:line="256" w:lineRule="auto"/>
        <w:rPr>
          <w:sz w:val="20"/>
          <w:szCs w:val="20"/>
          <w:color w:val="auto"/>
        </w:rPr>
      </w:pPr>
      <w:r>
        <w:rPr>
          <w:rFonts w:ascii="Arial" w:cs="Arial" w:eastAsia="Arial" w:hAnsi="Arial"/>
          <w:sz w:val="13"/>
          <w:szCs w:val="13"/>
          <w:color w:val="auto"/>
        </w:rPr>
        <w:t>Two delineation wells were drilled in Area A. One well found commercial quantities of hydrocarbons and was placed into production during the year. The acquisition of seismic data started in late 2008 and is expected to be finalized in 2010.</w:t>
      </w:r>
    </w:p>
    <w:p>
      <w:pPr>
        <w:spacing w:after="0" w:line="137" w:lineRule="exact"/>
        <w:rPr>
          <w:sz w:val="20"/>
          <w:szCs w:val="20"/>
          <w:color w:val="auto"/>
        </w:rPr>
      </w:pPr>
    </w:p>
    <w:p>
      <w:pPr>
        <w:ind w:left="5260" w:right="20"/>
        <w:spacing w:after="0" w:line="267" w:lineRule="auto"/>
        <w:rPr>
          <w:sz w:val="20"/>
          <w:szCs w:val="20"/>
          <w:color w:val="auto"/>
        </w:rPr>
      </w:pPr>
      <w:r>
        <w:rPr>
          <w:rFonts w:ascii="Arial" w:cs="Arial" w:eastAsia="Arial" w:hAnsi="Arial"/>
          <w:sz w:val="13"/>
          <w:szCs w:val="13"/>
          <w:color w:val="auto"/>
        </w:rPr>
        <w:t>Also in Area A are three gas management projects that are expected to eliminate routine flaring of natural gas by injecting excess natural gas into various reservoirs.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The Takula gas-processing platform started production in December 2008. The Cabinda Gas Plant is scheduled for start-up in the second half of 2009. The Takula and Malongo Flare and Relief project is scheduled for start-up in stages beginning in the second half of 2009 and continuing into 2011. In Area B, development drilling occurred during 2008 at the Nemba and Kokongo fields. Front-end engineering and development (FEED) continued on the South N’Dola field development.</w:t>
      </w:r>
    </w:p>
    <w:p>
      <w:pPr>
        <w:spacing w:after="0" w:line="69" w:lineRule="exact"/>
        <w:rPr>
          <w:sz w:val="20"/>
          <w:szCs w:val="20"/>
          <w:color w:val="auto"/>
        </w:rPr>
      </w:pPr>
    </w:p>
    <w:p>
      <w:pPr>
        <w:ind w:left="460" w:right="20"/>
        <w:spacing w:after="0" w:line="267" w:lineRule="auto"/>
        <w:rPr>
          <w:sz w:val="20"/>
          <w:szCs w:val="20"/>
          <w:color w:val="auto"/>
        </w:rPr>
      </w:pPr>
      <w:r>
        <w:rPr>
          <w:rFonts w:ascii="Arial" w:cs="Arial" w:eastAsia="Arial" w:hAnsi="Arial"/>
          <w:sz w:val="13"/>
          <w:szCs w:val="13"/>
          <w:color w:val="auto"/>
        </w:rPr>
        <w:t>In 31 percent-owned Block 14, net production in 2008 averaged 33,000 barrels of liquids per day. Activities in 2008 included development drilling at the Benguela Belize-Lobito Tomboco (BBLT) project and the ongoing evaluation of the Negage project. Development and production rights for the various fields in Block 14 expire between 2027 and 2029.</w:t>
      </w:r>
    </w:p>
    <w:p>
      <w:pPr>
        <w:spacing w:after="0" w:line="61" w:lineRule="exact"/>
        <w:rPr>
          <w:sz w:val="20"/>
          <w:szCs w:val="20"/>
          <w:color w:val="auto"/>
        </w:rPr>
      </w:pPr>
    </w:p>
    <w:p>
      <w:pPr>
        <w:ind w:left="460" w:right="100"/>
        <w:spacing w:after="0" w:line="314" w:lineRule="auto"/>
        <w:rPr>
          <w:sz w:val="20"/>
          <w:szCs w:val="20"/>
          <w:color w:val="auto"/>
        </w:rPr>
      </w:pPr>
      <w:r>
        <w:rPr>
          <w:rFonts w:ascii="Arial" w:cs="Arial" w:eastAsia="Arial" w:hAnsi="Arial"/>
          <w:sz w:val="11"/>
          <w:szCs w:val="11"/>
          <w:color w:val="auto"/>
        </w:rPr>
        <w:t>Also in Block 14, development of the Tombua and Landana fields continued. Installation of producing facilities was completed in late 2008, with expected start-up in the second half of 2009. Production from the Landana North reservoir is expected to continue to utilize the BBLT infrastructure after start-up. The maximum total production from Tombua and Landana of 100,000 barrels of crude oil per day is expected to occur in 2011. Proved undeveloped reserves were recognized for Tombua and Landana in 2001 and 2002, respectively. Reclassification from proved undeveloped to proved developed for Landana occurred in 2006 and 2007. Further reclassification is expected between 2009 and 2012 as the Tombua-Landana facilities and the drilling program are completed.</w:t>
      </w: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80"/>
        <w:spacing w:after="0" w:line="256" w:lineRule="auto"/>
        <w:rPr>
          <w:sz w:val="20"/>
          <w:szCs w:val="20"/>
          <w:color w:val="auto"/>
        </w:rPr>
      </w:pPr>
      <w:r>
        <w:rPr>
          <w:rFonts w:ascii="Arial" w:cs="Arial" w:eastAsia="Arial" w:hAnsi="Arial"/>
          <w:sz w:val="13"/>
          <w:szCs w:val="13"/>
          <w:color w:val="auto"/>
        </w:rPr>
        <w:t>During 2008, in the Lucapa provisional development area of Block 14, exploratory drilling included an appraisal well that was the second successful appraisal of the 2006 Lucapa discovery. Studies to evaluate development alternatives at Lucapa began in second quarter 2008. At the end of 2008, proved reserves had not been recognized. At the 20 percent-owned Block 2 and the 16 percent-owned FST area, combined production during 2008 averaged 3,000 barrels of net liquids per day.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also to page 22 for a discussion of affiliate operations in Angola.</w:t>
      </w:r>
    </w:p>
    <w:p>
      <w:pPr>
        <w:spacing w:after="0" w:line="87" w:lineRule="exact"/>
        <w:rPr>
          <w:sz w:val="20"/>
          <w:szCs w:val="20"/>
          <w:color w:val="auto"/>
        </w:rPr>
      </w:pPr>
    </w:p>
    <w:p>
      <w:pPr>
        <w:jc w:val="both"/>
        <w:ind w:left="460"/>
        <w:spacing w:after="0" w:line="260" w:lineRule="auto"/>
        <w:rPr>
          <w:sz w:val="20"/>
          <w:szCs w:val="20"/>
          <w:color w:val="auto"/>
        </w:rPr>
      </w:pPr>
      <w:r>
        <w:rPr>
          <w:rFonts w:ascii="Arial" w:cs="Arial" w:eastAsia="Arial" w:hAnsi="Arial"/>
          <w:sz w:val="13"/>
          <w:szCs w:val="13"/>
          <w:b w:val="1"/>
          <w:bCs w:val="1"/>
          <w:color w:val="auto"/>
        </w:rPr>
        <w:t xml:space="preserve">Angola-Republic of the Congo Joint Development Area: </w:t>
      </w:r>
      <w:r>
        <w:rPr>
          <w:rFonts w:ascii="Arial" w:cs="Arial" w:eastAsia="Arial" w:hAnsi="Arial"/>
          <w:sz w:val="13"/>
          <w:szCs w:val="13"/>
          <w:color w:val="auto"/>
        </w:rPr>
        <w:t>Chevron operates and holds a 31 percent interest in the Lianzi Development Area located between Angola and Republic of the Congo. In 2006,</w:t>
      </w:r>
      <w:r>
        <w:rPr>
          <w:rFonts w:ascii="Arial" w:cs="Arial" w:eastAsia="Arial" w:hAnsi="Arial"/>
          <w:sz w:val="13"/>
          <w:szCs w:val="13"/>
          <w:b w:val="1"/>
          <w:bCs w:val="1"/>
          <w:color w:val="auto"/>
        </w:rPr>
        <w:t xml:space="preserve"> </w:t>
      </w:r>
      <w:r>
        <w:rPr>
          <w:rFonts w:ascii="Arial" w:cs="Arial" w:eastAsia="Arial" w:hAnsi="Arial"/>
          <w:sz w:val="13"/>
          <w:szCs w:val="13"/>
          <w:color w:val="auto"/>
        </w:rPr>
        <w:t>the development of the Lianzi area was approved by a committee of representatives from the two countries, and a conceptual field development plan was also submitted to this committee. In late 2008, the project entered FEED, and further development planning is scheduled in 2009.</w:t>
      </w:r>
    </w:p>
    <w:p>
      <w:pPr>
        <w:spacing w:after="0" w:line="62" w:lineRule="exact"/>
        <w:rPr>
          <w:sz w:val="20"/>
          <w:szCs w:val="20"/>
          <w:color w:val="auto"/>
        </w:rPr>
      </w:pPr>
    </w:p>
    <w:p>
      <w:pPr>
        <w:ind w:left="460" w:right="40"/>
        <w:spacing w:after="0" w:line="316" w:lineRule="auto"/>
        <w:rPr>
          <w:sz w:val="20"/>
          <w:szCs w:val="20"/>
          <w:color w:val="auto"/>
        </w:rPr>
      </w:pPr>
      <w:r>
        <w:rPr>
          <w:rFonts w:ascii="Arial" w:cs="Arial" w:eastAsia="Arial" w:hAnsi="Arial"/>
          <w:sz w:val="12"/>
          <w:szCs w:val="12"/>
          <w:b w:val="1"/>
          <w:bCs w:val="1"/>
          <w:color w:val="auto"/>
        </w:rPr>
        <w:t xml:space="preserve">Republic of the Congo: </w:t>
      </w:r>
      <w:r>
        <w:rPr>
          <w:rFonts w:ascii="Arial" w:cs="Arial" w:eastAsia="Arial" w:hAnsi="Arial"/>
          <w:sz w:val="12"/>
          <w:szCs w:val="12"/>
          <w:color w:val="auto"/>
        </w:rPr>
        <w:t>Chevron has a 32 percent nonoperated working interest in the Nkossa, Nsoko and Moho-Bilondo exploitation permits and a 29 percent nonoperated working interest in the Kitina</w:t>
      </w:r>
      <w:r>
        <w:rPr>
          <w:rFonts w:ascii="Arial" w:cs="Arial" w:eastAsia="Arial" w:hAnsi="Arial"/>
          <w:sz w:val="12"/>
          <w:szCs w:val="12"/>
          <w:b w:val="1"/>
          <w:bCs w:val="1"/>
          <w:color w:val="auto"/>
        </w:rPr>
        <w:t xml:space="preserve"> </w:t>
      </w:r>
      <w:r>
        <w:rPr>
          <w:rFonts w:ascii="Arial" w:cs="Arial" w:eastAsia="Arial" w:hAnsi="Arial"/>
          <w:sz w:val="12"/>
          <w:szCs w:val="12"/>
          <w:color w:val="auto"/>
        </w:rPr>
        <w:t>exploitation permit, all of which are offshore. Net production from the Republic of the Congo fields averaged 13,000 barrels of oil-equivalent per day in 2008.</w:t>
      </w:r>
    </w:p>
    <w:p>
      <w:pPr>
        <w:spacing w:after="0" w:line="35"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3"/>
          <w:szCs w:val="13"/>
          <w:color w:val="auto"/>
        </w:rPr>
        <w:t>Production at the Moho-Bilondo subsea development project started in April 2008. Maximum total production of 90,000 barrels of crude oil per day is expected in 2010. Proved undeveloped reserves were initially recognized in 2001. Transfer to the proved-developed category occurred in 2008. Chevron’s development and production rights for Moho-Bilondo expire in 2030. One appraisal well was drilled in the Moho-Bilondo permit area during 2008. Drilling began on an exploration well in early 2009.</w:t>
      </w:r>
    </w:p>
    <w:p>
      <w:pPr>
        <w:spacing w:after="0" w:line="65" w:lineRule="exact"/>
        <w:rPr>
          <w:sz w:val="20"/>
          <w:szCs w:val="20"/>
          <w:color w:val="auto"/>
        </w:rPr>
      </w:pPr>
    </w:p>
    <w:p>
      <w:pPr>
        <w:ind w:left="460" w:right="380"/>
        <w:spacing w:after="0" w:line="273" w:lineRule="auto"/>
        <w:rPr>
          <w:sz w:val="20"/>
          <w:szCs w:val="20"/>
          <w:color w:val="auto"/>
        </w:rPr>
      </w:pPr>
      <w:r>
        <w:rPr>
          <w:rFonts w:ascii="Arial" w:cs="Arial" w:eastAsia="Arial" w:hAnsi="Arial"/>
          <w:sz w:val="13"/>
          <w:szCs w:val="13"/>
          <w:b w:val="1"/>
          <w:bCs w:val="1"/>
          <w:color w:val="auto"/>
        </w:rPr>
        <w:t xml:space="preserve">Chad/Cameroon: </w:t>
      </w:r>
      <w:r>
        <w:rPr>
          <w:rFonts w:ascii="Arial" w:cs="Arial" w:eastAsia="Arial" w:hAnsi="Arial"/>
          <w:sz w:val="13"/>
          <w:szCs w:val="13"/>
          <w:color w:val="auto"/>
        </w:rPr>
        <w:t>Chevron participates in a project to develop crude-oil fields in southern Chad and transport the produced volumes by pipeline to the coast of Cameroon for export. Chevron has a</w:t>
      </w:r>
      <w:r>
        <w:rPr>
          <w:rFonts w:ascii="Arial" w:cs="Arial" w:eastAsia="Arial" w:hAnsi="Arial"/>
          <w:sz w:val="13"/>
          <w:szCs w:val="13"/>
          <w:b w:val="1"/>
          <w:bCs w:val="1"/>
          <w:color w:val="auto"/>
        </w:rPr>
        <w:t xml:space="preserve"> </w:t>
      </w:r>
      <w:r>
        <w:rPr>
          <w:rFonts w:ascii="Arial" w:cs="Arial" w:eastAsia="Arial" w:hAnsi="Arial"/>
          <w:sz w:val="13"/>
          <w:szCs w:val="13"/>
          <w:color w:val="auto"/>
        </w:rPr>
        <w:t>25 percent nonoperated working interest in the producing operations and a 21 percent interest in two affiliates that own the pipeline.</w:t>
      </w:r>
    </w:p>
    <w:p>
      <w:pPr>
        <w:spacing w:after="0" w:line="58" w:lineRule="exact"/>
        <w:rPr>
          <w:sz w:val="20"/>
          <w:szCs w:val="20"/>
          <w:color w:val="auto"/>
        </w:rPr>
      </w:pPr>
    </w:p>
    <w:p>
      <w:pPr>
        <w:ind w:left="460" w:right="100"/>
        <w:spacing w:after="0" w:line="309" w:lineRule="auto"/>
        <w:rPr>
          <w:sz w:val="20"/>
          <w:szCs w:val="20"/>
          <w:color w:val="auto"/>
        </w:rPr>
      </w:pPr>
      <w:r>
        <w:rPr>
          <w:rFonts w:ascii="Arial" w:cs="Arial" w:eastAsia="Arial" w:hAnsi="Arial"/>
          <w:sz w:val="12"/>
          <w:szCs w:val="12"/>
          <w:color w:val="auto"/>
        </w:rPr>
        <w:t>Average daily net production in 2008 was 29,000 barrels of oil-equivalent. In late 2008, the development application for the Timbre Field in the Doba area was approved. The Chad producing operations are conducted under a concession that expires in 2030. Partners relinquished rights to exploration acreage not covered by field-development rights in February 2009.</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 xml:space="preserve">Libya: </w:t>
      </w:r>
      <w:r>
        <w:rPr>
          <w:rFonts w:ascii="Arial" w:cs="Arial" w:eastAsia="Arial" w:hAnsi="Arial"/>
          <w:sz w:val="13"/>
          <w:szCs w:val="13"/>
          <w:color w:val="auto"/>
        </w:rPr>
        <w:t>Chevron is the operator and holds a 100 percent interest in the onshore Block 177 exploration license. A two-well exploration program is scheduled for 2009.</w:t>
      </w:r>
    </w:p>
    <w:p>
      <w:pPr>
        <w:spacing w:after="0" w:line="177" w:lineRule="exact"/>
        <w:rPr>
          <w:sz w:val="20"/>
          <w:szCs w:val="20"/>
          <w:color w:val="auto"/>
        </w:rPr>
      </w:pPr>
    </w:p>
    <w:p>
      <w:pPr>
        <w:ind w:left="4860"/>
        <w:spacing w:after="0" w:line="310" w:lineRule="auto"/>
        <w:rPr>
          <w:sz w:val="20"/>
          <w:szCs w:val="20"/>
          <w:color w:val="auto"/>
        </w:rPr>
      </w:pPr>
      <w:r>
        <w:rPr>
          <w:rFonts w:ascii="Arial" w:cs="Arial" w:eastAsia="Arial" w:hAnsi="Arial"/>
          <w:sz w:val="11"/>
          <w:szCs w:val="11"/>
          <w:b w:val="1"/>
          <w:bCs w:val="1"/>
          <w:color w:val="auto"/>
        </w:rPr>
        <w:t xml:space="preserve">Nigeria: </w:t>
      </w:r>
      <w:r>
        <w:rPr>
          <w:rFonts w:ascii="Arial" w:cs="Arial" w:eastAsia="Arial" w:hAnsi="Arial"/>
          <w:sz w:val="11"/>
          <w:szCs w:val="11"/>
          <w:color w:val="auto"/>
        </w:rPr>
        <w:t>Chevron holds a 40 percent interest in 13 concessions predominantly in the onshore and near-offshore</w:t>
      </w:r>
      <w:r>
        <w:rPr>
          <w:rFonts w:ascii="Arial" w:cs="Arial" w:eastAsia="Arial" w:hAnsi="Arial"/>
          <w:sz w:val="11"/>
          <w:szCs w:val="11"/>
          <w:b w:val="1"/>
          <w:bCs w:val="1"/>
          <w:color w:val="auto"/>
        </w:rPr>
        <w:t xml:space="preserve"> </w:t>
      </w:r>
      <w:r>
        <w:rPr>
          <w:rFonts w:ascii="Arial" w:cs="Arial" w:eastAsia="Arial" w:hAnsi="Arial"/>
          <w:sz w:val="11"/>
          <w:szCs w:val="11"/>
          <w:color w:val="auto"/>
        </w:rPr>
        <w:t>region of the Niger Delta. The company operates under a joint-venture arrangement in this region with the Nigerian National Petroleum Corporation (NNPC), which owns a 60 percent interest. The company also owns varying interests in deepwater offshore blocks. In 2008, the company’s net oil-equivalent production in Nigeria averaged 154,000 barrels per day, composed of 142,000 barrels of liquids and 72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-509905</wp:posOffset>
            </wp:positionV>
            <wp:extent cx="1775460" cy="2141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75460" cy="2141855"/>
                    </a:xfrm>
                    <a:prstGeom prst="rect">
                      <a:avLst/>
                    </a:prstGeom>
                    <a:noFill/>
                  </pic:spPr>
                </pic:pic>
              </a:graphicData>
            </a:graphic>
          </wp:anchor>
        </w:drawing>
      </w:r>
    </w:p>
    <w:p>
      <w:pPr>
        <w:spacing w:after="0" w:line="90" w:lineRule="exact"/>
        <w:rPr>
          <w:sz w:val="20"/>
          <w:szCs w:val="20"/>
          <w:color w:val="auto"/>
        </w:rPr>
      </w:pPr>
    </w:p>
    <w:p>
      <w:pPr>
        <w:ind w:left="4860"/>
        <w:spacing w:after="0" w:line="274" w:lineRule="auto"/>
        <w:rPr>
          <w:sz w:val="20"/>
          <w:szCs w:val="20"/>
          <w:color w:val="auto"/>
        </w:rPr>
      </w:pPr>
      <w:r>
        <w:rPr>
          <w:rFonts w:ascii="Arial" w:cs="Arial" w:eastAsia="Arial" w:hAnsi="Arial"/>
          <w:sz w:val="12"/>
          <w:szCs w:val="12"/>
          <w:color w:val="auto"/>
        </w:rPr>
        <w:t>In deepwater offshore, initial production occurred in July 2008 at the 68 percent-owned and operated Agbami Field in OML 127 and OML 128. The project is a subsea design, with wells tied back to a floating production, storage and offloading (FPSO) vessel. By year-end 2008, total crude-oil production was averaging approximately 130,000 barrels per day. Maximum total production of crude oil and natural gas liquids of 250,000 barrels per day is expected to be achieved by year-end 2009. The company initially recognized proved undeveloped reserves for Agbami in 2002. A portion of the proved undeveloped reserves was reclassified to proved developed in 2008 at production start-up. The total cost for the first phase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this project was $7 billion. Additional development drilling is being evaluated. The leases that contain the Agbami Field expire in 2023 and 2024.</w:t>
      </w:r>
    </w:p>
    <w:p>
      <w:pPr>
        <w:spacing w:after="0" w:line="91"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Also in the deepwater area, the Aparo Field in OML 132 and OML 140 and the Bonga SW Field in offshore OML 118 share a common geologic structure and are planned to be jointly developed under a proposed unitization agreement. Work continued in early 2009 on agreements between Chevron and partners in OML 118. At the end of 2008, the company had not recognized proved reserves for this project.</w:t>
      </w:r>
    </w:p>
    <w:p>
      <w:pPr>
        <w:spacing w:after="0" w:line="69" w:lineRule="exact"/>
        <w:rPr>
          <w:sz w:val="20"/>
          <w:szCs w:val="20"/>
          <w:color w:val="auto"/>
        </w:rPr>
      </w:pPr>
    </w:p>
    <w:p>
      <w:pPr>
        <w:ind w:left="460" w:right="20"/>
        <w:spacing w:after="0" w:line="267" w:lineRule="auto"/>
        <w:rPr>
          <w:sz w:val="20"/>
          <w:szCs w:val="20"/>
          <w:color w:val="auto"/>
        </w:rPr>
      </w:pPr>
      <w:r>
        <w:rPr>
          <w:rFonts w:ascii="Arial" w:cs="Arial" w:eastAsia="Arial" w:hAnsi="Arial"/>
          <w:sz w:val="13"/>
          <w:szCs w:val="13"/>
          <w:color w:val="auto"/>
        </w:rPr>
        <w:t>Chevron operates and holds a 95 percent interest in the deepwater Nsiko discovery on OML 140. Development activities continued in 2008, with FEED expected to commence after commercial terms are resolved. At the end of 2008, the company had not recognized proved reserves for this project.</w:t>
      </w:r>
    </w:p>
    <w:p>
      <w:pPr>
        <w:spacing w:after="0" w:line="61" w:lineRule="exact"/>
        <w:rPr>
          <w:sz w:val="20"/>
          <w:szCs w:val="20"/>
          <w:color w:val="auto"/>
        </w:rPr>
      </w:pPr>
    </w:p>
    <w:p>
      <w:pPr>
        <w:ind w:left="460" w:right="140"/>
        <w:spacing w:after="0" w:line="253" w:lineRule="auto"/>
        <w:rPr>
          <w:sz w:val="20"/>
          <w:szCs w:val="20"/>
          <w:color w:val="auto"/>
        </w:rPr>
      </w:pPr>
      <w:r>
        <w:rPr>
          <w:rFonts w:ascii="Arial" w:cs="Arial" w:eastAsia="Arial" w:hAnsi="Arial"/>
          <w:sz w:val="13"/>
          <w:szCs w:val="13"/>
          <w:color w:val="auto"/>
        </w:rPr>
        <w:t>The company also holds a 30 percent nonoperated working interest in the deepwater Usan project in OML 138. The development plans involve subsea wells producing to an FPSO vessel. Major construction contracts were awarded in 2008, and development drilling is scheduled to begin in the second half of 2009. Production start-up is scheduled for 2012. Maximum total production of 180,000 barrels of crude oil per day is expected to be achieved within one year of start-up. The company recognized proved undeveloped reserves for the project in 2004, and a portion is expected to be reclassified to the proved-developed category near production start-up.</w:t>
      </w:r>
    </w:p>
    <w:p>
      <w:pPr>
        <w:spacing w:after="0" w:line="71" w:lineRule="exact"/>
        <w:rPr>
          <w:sz w:val="20"/>
          <w:szCs w:val="20"/>
          <w:color w:val="auto"/>
        </w:rPr>
      </w:pPr>
    </w:p>
    <w:p>
      <w:pPr>
        <w:ind w:left="460" w:right="220"/>
        <w:spacing w:after="0" w:line="256" w:lineRule="auto"/>
        <w:rPr>
          <w:sz w:val="20"/>
          <w:szCs w:val="20"/>
          <w:color w:val="auto"/>
        </w:rPr>
      </w:pPr>
      <w:r>
        <w:rPr>
          <w:rFonts w:ascii="Arial" w:cs="Arial" w:eastAsia="Arial" w:hAnsi="Arial"/>
          <w:sz w:val="13"/>
          <w:szCs w:val="13"/>
          <w:color w:val="auto"/>
        </w:rPr>
        <w:t>Chevron participated in three successful deepwater exploration wells during 2008. Hydrocarbons were confirmed in two wells in OPL 214 and one well in OML 113. Additional reservoir studies are scheduled for 2009, and one exploration well is planned later in the year. The company has 20 percent and 18 percent nonoperated working interests in the two leases, respectively. At the end of 2008, proved reserves had not been recognized for these activities.</w:t>
      </w:r>
    </w:p>
    <w:p>
      <w:pPr>
        <w:spacing w:after="0" w:line="69" w:lineRule="exact"/>
        <w:rPr>
          <w:sz w:val="20"/>
          <w:szCs w:val="20"/>
          <w:color w:val="auto"/>
        </w:rPr>
      </w:pPr>
    </w:p>
    <w:p>
      <w:pPr>
        <w:ind w:left="460"/>
        <w:spacing w:after="0" w:line="250" w:lineRule="auto"/>
        <w:rPr>
          <w:sz w:val="20"/>
          <w:szCs w:val="20"/>
          <w:color w:val="auto"/>
        </w:rPr>
      </w:pPr>
      <w:r>
        <w:rPr>
          <w:rFonts w:ascii="Arial" w:cs="Arial" w:eastAsia="Arial" w:hAnsi="Arial"/>
          <w:sz w:val="13"/>
          <w:szCs w:val="13"/>
          <w:color w:val="auto"/>
        </w:rPr>
        <w:t>In the Niger Delta, construction is under way on the Phase 3A expansion of the Escravos Gas Plant (EGP), which is expected to be installed in late 2009 and start up production in 2010. Phase 3A scope includes offshore natural-gas gathering and compression infrastructure and a second gas processing facility, which potentially would increase processing capacity from 285 million to 680 million cubic feet of natural gas per day and increase LPG and condensate export capacity from 15,000 to 58,000 barrels per day. EGP Phase 3A is designed to process natural gas from the Meji, Delta South, Okan and Mefa fields. Proved undeveloped reserves associated with EGP Phase 3A were recognized in 2002. These reserves are expected to be reclassified to proved developed as various project milestones are reached and related projects are completed. The anticipated life of EGP Phase 3A is 25 years. Phase 3B of the EGP project is designed to gather natural gas from eight offshore fields and to compress and transport natural gas to onshore facilities beginning in 2013.</w:t>
      </w:r>
    </w:p>
    <w:p>
      <w:pPr>
        <w:spacing w:after="0" w:line="75" w:lineRule="exact"/>
        <w:rPr>
          <w:sz w:val="20"/>
          <w:szCs w:val="20"/>
          <w:color w:val="auto"/>
        </w:rPr>
      </w:pPr>
    </w:p>
    <w:p>
      <w:pPr>
        <w:ind w:left="460" w:right="200"/>
        <w:spacing w:after="0" w:line="256" w:lineRule="auto"/>
        <w:rPr>
          <w:sz w:val="20"/>
          <w:szCs w:val="20"/>
          <w:color w:val="auto"/>
        </w:rPr>
      </w:pPr>
      <w:r>
        <w:rPr>
          <w:rFonts w:ascii="Arial" w:cs="Arial" w:eastAsia="Arial" w:hAnsi="Arial"/>
          <w:sz w:val="13"/>
          <w:szCs w:val="13"/>
          <w:color w:val="auto"/>
        </w:rPr>
        <w:t>Engineering and procurement activities continued during 2008 for certain onshore fields that had been shut in since 2003 due to civil unrest. The 40 percent-owned and operated Onshore Asset Gas Management project is designed to restore approximately 125 million cubic feet of natural gas per day to the Nigerian domestic gas market. A major construction contract is expected to be awarded in 2010.</w:t>
      </w:r>
    </w:p>
    <w:p>
      <w:pPr>
        <w:spacing w:after="0" w:line="69"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Refer to page 23 for a discussion of affiliate operations in Nigeria and to page 25 for a discussion of the planned gas-to-liquids facility at Escravos. Refer also to “Pipelines” under “Transportation Operations” beginning on page 26 for a discussion of the West African Gas Pipeline operations.</w:t>
      </w:r>
    </w:p>
    <w:p>
      <w:pPr>
        <w:spacing w:after="0" w:line="26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 Asia-Pacific</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Major producing countries in the Asia-Pacific region include Australia, Azerbaijan, Bangladesh, Kazakhstan, the Partitioned Neutral Zone located between Saudi Arabia and Kuwait, and Thailand.</w:t>
      </w:r>
    </w:p>
    <w:p>
      <w:pPr>
        <w:spacing w:after="0" w:line="262" w:lineRule="exact"/>
        <w:rPr>
          <w:sz w:val="20"/>
          <w:szCs w:val="20"/>
          <w:color w:val="auto"/>
        </w:rPr>
      </w:pPr>
    </w:p>
    <w:p>
      <w:pPr>
        <w:ind w:left="5680" w:right="200"/>
        <w:spacing w:after="0" w:line="260" w:lineRule="auto"/>
        <w:rPr>
          <w:sz w:val="20"/>
          <w:szCs w:val="20"/>
          <w:color w:val="auto"/>
        </w:rPr>
      </w:pPr>
      <w:r>
        <w:rPr>
          <w:rFonts w:ascii="Arial" w:cs="Arial" w:eastAsia="Arial" w:hAnsi="Arial"/>
          <w:sz w:val="13"/>
          <w:szCs w:val="13"/>
          <w:b w:val="1"/>
          <w:bCs w:val="1"/>
          <w:color w:val="auto"/>
        </w:rPr>
        <w:t xml:space="preserve">Australia: </w:t>
      </w:r>
      <w:r>
        <w:rPr>
          <w:rFonts w:ascii="Arial" w:cs="Arial" w:eastAsia="Arial" w:hAnsi="Arial"/>
          <w:sz w:val="13"/>
          <w:szCs w:val="13"/>
          <w:color w:val="auto"/>
        </w:rPr>
        <w:t>During 2008, the average net oil-equivalent production from Chevron’s interests in</w:t>
      </w:r>
      <w:r>
        <w:rPr>
          <w:rFonts w:ascii="Arial" w:cs="Arial" w:eastAsia="Arial" w:hAnsi="Arial"/>
          <w:sz w:val="13"/>
          <w:szCs w:val="13"/>
          <w:b w:val="1"/>
          <w:bCs w:val="1"/>
          <w:color w:val="auto"/>
        </w:rPr>
        <w:t xml:space="preserve"> </w:t>
      </w:r>
      <w:r>
        <w:rPr>
          <w:rFonts w:ascii="Arial" w:cs="Arial" w:eastAsia="Arial" w:hAnsi="Arial"/>
          <w:sz w:val="13"/>
          <w:szCs w:val="13"/>
          <w:color w:val="auto"/>
        </w:rPr>
        <w:t>Australia was 96,000 barrels per day, composed of 34,000 barrels of liquids and 376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-299720</wp:posOffset>
            </wp:positionV>
            <wp:extent cx="2117725" cy="2508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17725" cy="2508250"/>
                    </a:xfrm>
                    <a:prstGeom prst="rect">
                      <a:avLst/>
                    </a:prstGeom>
                    <a:noFill/>
                  </pic:spPr>
                </pic:pic>
              </a:graphicData>
            </a:graphic>
          </wp:anchor>
        </w:drawing>
      </w:r>
    </w:p>
    <w:p>
      <w:pPr>
        <w:spacing w:after="0" w:line="113" w:lineRule="exact"/>
        <w:rPr>
          <w:sz w:val="20"/>
          <w:szCs w:val="20"/>
          <w:color w:val="auto"/>
        </w:rPr>
      </w:pPr>
    </w:p>
    <w:p>
      <w:pPr>
        <w:ind w:left="5680" w:right="320"/>
        <w:spacing w:after="0" w:line="299" w:lineRule="auto"/>
        <w:rPr>
          <w:sz w:val="20"/>
          <w:szCs w:val="20"/>
          <w:color w:val="auto"/>
        </w:rPr>
      </w:pPr>
      <w:r>
        <w:rPr>
          <w:rFonts w:ascii="Arial" w:cs="Arial" w:eastAsia="Arial" w:hAnsi="Arial"/>
          <w:sz w:val="11"/>
          <w:szCs w:val="11"/>
          <w:color w:val="auto"/>
        </w:rPr>
        <w:t>Chevron has a 17 percent nonoperated working interest in the North West Shelf (NWS) Venture offshore Western Australia. Daily net production from the project during 2008 averaged</w:t>
      </w:r>
    </w:p>
    <w:p>
      <w:pPr>
        <w:spacing w:after="0" w:line="1" w:lineRule="exact"/>
        <w:rPr>
          <w:sz w:val="20"/>
          <w:szCs w:val="20"/>
          <w:color w:val="auto"/>
        </w:rPr>
      </w:pPr>
    </w:p>
    <w:p>
      <w:pPr>
        <w:ind w:left="5680" w:right="40"/>
        <w:spacing w:after="0" w:line="249" w:lineRule="auto"/>
        <w:rPr>
          <w:sz w:val="20"/>
          <w:szCs w:val="20"/>
          <w:color w:val="auto"/>
        </w:rPr>
      </w:pPr>
      <w:r>
        <w:rPr>
          <w:rFonts w:ascii="Arial" w:cs="Arial" w:eastAsia="Arial" w:hAnsi="Arial"/>
          <w:sz w:val="13"/>
          <w:szCs w:val="13"/>
          <w:color w:val="auto"/>
        </w:rPr>
        <w:t>25,000 barrels of crude oil and condensate, 374 million cubic feet of natural gas, and 4,000 barrels of LPG. Approximately 70 percent of the natural gas was sold in the form of LNG to major utilities in Japan, South Korea and China, primarily under long-term contracts. The remaining natural gas was sold to the Western Australia domestic market.</w:t>
      </w:r>
    </w:p>
    <w:p>
      <w:pPr>
        <w:spacing w:after="0" w:line="140" w:lineRule="exact"/>
        <w:rPr>
          <w:sz w:val="20"/>
          <w:szCs w:val="20"/>
          <w:color w:val="auto"/>
        </w:rPr>
      </w:pPr>
    </w:p>
    <w:p>
      <w:pPr>
        <w:ind w:left="5680" w:right="140"/>
        <w:spacing w:after="0" w:line="274" w:lineRule="auto"/>
        <w:rPr>
          <w:sz w:val="20"/>
          <w:szCs w:val="20"/>
          <w:color w:val="auto"/>
        </w:rPr>
      </w:pPr>
      <w:r>
        <w:rPr>
          <w:rFonts w:ascii="Arial" w:cs="Arial" w:eastAsia="Arial" w:hAnsi="Arial"/>
          <w:sz w:val="12"/>
          <w:szCs w:val="12"/>
          <w:color w:val="auto"/>
        </w:rPr>
        <w:t>In September 2008, a fifth LNG train increased processing and export capacity from approximately 12 million metric tons per year to more than 16 million. Part of the natural gas for these expanded facilities is being supplied from the Angel natural-gas field, which started production in October 2008. Additional supply will be provided by the North Rankin 2 project, for which an investment decision was made in March 2008. The project is scheduled to start production in 2013.Proved undeveloped reserves were booked in prior years and will be reclassified to proved developed upon completion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right="100"/>
        <w:spacing w:after="0" w:line="256" w:lineRule="auto"/>
        <w:rPr>
          <w:sz w:val="20"/>
          <w:szCs w:val="20"/>
          <w:color w:val="auto"/>
        </w:rPr>
      </w:pPr>
      <w:r>
        <w:rPr>
          <w:rFonts w:ascii="Arial" w:cs="Arial" w:eastAsia="Arial" w:hAnsi="Arial"/>
          <w:sz w:val="13"/>
          <w:szCs w:val="13"/>
          <w:color w:val="auto"/>
        </w:rPr>
        <w:t>The NWS Venture is also advancing plans to extend the period of crude-oil production. The NWS Oil Redevelopment Project is designed to replace an FPSO and a portion of existing subsea infrastructure that services production from the Cossack, Hermes, Lambert and Wanaea offshore fields. A final investment decision was made in November 2008 and start-up is expected early 2011. The project is expected to extend production past 2020. The concession for the NWS Venture expires in 2034.</w:t>
      </w:r>
    </w:p>
    <w:p>
      <w:pPr>
        <w:spacing w:after="0" w:line="69"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On Barrow and Thevenard islands off the northwest coast of Australia, Chevron operates crude-oil producing facilities that had combined net production of 5,000 barrels per day in 2008. Chevron’s interests in these operations are 57 percent for Barrow and 51 percent for Thevenard.</w:t>
      </w:r>
    </w:p>
    <w:p>
      <w:pPr>
        <w:spacing w:after="0" w:line="61" w:lineRule="exact"/>
        <w:rPr>
          <w:sz w:val="20"/>
          <w:szCs w:val="20"/>
          <w:color w:val="auto"/>
        </w:rPr>
      </w:pPr>
    </w:p>
    <w:p>
      <w:pPr>
        <w:ind w:left="460" w:right="260"/>
        <w:spacing w:after="0" w:line="253" w:lineRule="auto"/>
        <w:rPr>
          <w:sz w:val="20"/>
          <w:szCs w:val="20"/>
          <w:color w:val="auto"/>
        </w:rPr>
      </w:pPr>
      <w:r>
        <w:rPr>
          <w:rFonts w:ascii="Arial" w:cs="Arial" w:eastAsia="Arial" w:hAnsi="Arial"/>
          <w:sz w:val="13"/>
          <w:szCs w:val="13"/>
          <w:color w:val="auto"/>
        </w:rPr>
        <w:t>Also off the northwest coast of Australia, Chevron is the operator of the Gorgon development and has a 50 percent ownership interest across most of the Greater Gorgon Area. Chevron and two joint-venture participants are planning for the combined development of Gorgon and nearby natural-gas fields as one large-scale project. Environmental approvals were in process and a final investment decision is expected to be made in the second half of 2009 for a three-train, 15 million-metric-ton-per-year LNG facility. Natural gas for the project is expected to be supplied from the Gorgon and Io/Jansz fields. The Gorgon project has an expected economic life of at least 40 years.</w:t>
      </w:r>
    </w:p>
    <w:p>
      <w:pPr>
        <w:spacing w:after="0" w:line="71"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At the end of 2008, the company had not recognized proved reserves for any of the Greater Gorgon Area fields. Recognition is contingent on securing sufficient LNG sales agreements and achieving other key project milestones, including receipt of environmental permits. In 2008, negotiations continued to finalize sales agreements with three utility customers in Japan and GS Caltex, a Chevron affiliated company. Purchases by each of these customers are expected to range from 250,000 metric tons per year to 1.5 million metric tons per year over 25 years.</w:t>
      </w: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60"/>
        <w:spacing w:after="0" w:line="288" w:lineRule="auto"/>
        <w:rPr>
          <w:sz w:val="20"/>
          <w:szCs w:val="20"/>
          <w:color w:val="auto"/>
        </w:rPr>
      </w:pPr>
      <w:r>
        <w:rPr>
          <w:rFonts w:ascii="Arial" w:cs="Arial" w:eastAsia="Arial" w:hAnsi="Arial"/>
          <w:sz w:val="12"/>
          <w:szCs w:val="12"/>
          <w:color w:val="auto"/>
        </w:rPr>
        <w:t>In 2008, the company also announced plans for a multi-train LNG plant to process natural gas from its wholly owned Wheatstone discovery located on the northwest cost of mainland Australia. The project is expected to begin FEED during the second half of 2009. During 2008, Chevron conducted appraisal drilling in the Wheatstone and Iago fields. During 2009, the company plans to drill multiple exploration and appraisal wells in its operated acreage. At the end of 2008, the company had not recognized proved reserves for this project.</w:t>
      </w:r>
    </w:p>
    <w:p>
      <w:pPr>
        <w:spacing w:after="0" w:line="51" w:lineRule="exact"/>
        <w:rPr>
          <w:sz w:val="20"/>
          <w:szCs w:val="20"/>
          <w:color w:val="auto"/>
        </w:rPr>
      </w:pPr>
    </w:p>
    <w:p>
      <w:pPr>
        <w:ind w:left="460" w:right="200"/>
        <w:spacing w:after="0" w:line="267" w:lineRule="auto"/>
        <w:rPr>
          <w:sz w:val="20"/>
          <w:szCs w:val="20"/>
          <w:color w:val="auto"/>
        </w:rPr>
      </w:pPr>
      <w:r>
        <w:rPr>
          <w:rFonts w:ascii="Arial" w:cs="Arial" w:eastAsia="Arial" w:hAnsi="Arial"/>
          <w:sz w:val="13"/>
          <w:szCs w:val="13"/>
          <w:color w:val="auto"/>
        </w:rPr>
        <w:t>In the Browse Basin, the company conducted successful appraisal drilling programs in the Calliance and Torosa fields. A commitment well was also drilled to test the northern extension of the Ichthys Field in the eastern Browse Basin. At the end of 2008, proved reserves had not been recognized.</w:t>
      </w:r>
    </w:p>
    <w:p>
      <w:pPr>
        <w:spacing w:after="0" w:line="221" w:lineRule="exact"/>
        <w:rPr>
          <w:sz w:val="20"/>
          <w:szCs w:val="20"/>
          <w:color w:val="auto"/>
        </w:rPr>
      </w:pPr>
    </w:p>
    <w:p>
      <w:pPr>
        <w:ind w:left="6100"/>
        <w:spacing w:after="0" w:line="275" w:lineRule="auto"/>
        <w:rPr>
          <w:sz w:val="20"/>
          <w:szCs w:val="20"/>
          <w:color w:val="auto"/>
        </w:rPr>
      </w:pPr>
      <w:r>
        <w:rPr>
          <w:rFonts w:ascii="Arial" w:cs="Arial" w:eastAsia="Arial" w:hAnsi="Arial"/>
          <w:sz w:val="12"/>
          <w:szCs w:val="12"/>
          <w:b w:val="1"/>
          <w:bCs w:val="1"/>
          <w:color w:val="auto"/>
        </w:rPr>
        <w:t xml:space="preserve">Azerbaijan: </w:t>
      </w:r>
      <w:r>
        <w:rPr>
          <w:rFonts w:ascii="Arial" w:cs="Arial" w:eastAsia="Arial" w:hAnsi="Arial"/>
          <w:sz w:val="12"/>
          <w:szCs w:val="12"/>
          <w:color w:val="auto"/>
        </w:rPr>
        <w:t>Chevron holds a 10 percent nonoperated working interest in the Azerbaijan</w:t>
      </w:r>
      <w:r>
        <w:rPr>
          <w:rFonts w:ascii="Arial" w:cs="Arial" w:eastAsia="Arial" w:hAnsi="Arial"/>
          <w:sz w:val="12"/>
          <w:szCs w:val="12"/>
          <w:b w:val="1"/>
          <w:bCs w:val="1"/>
          <w:color w:val="auto"/>
        </w:rPr>
        <w:t xml:space="preserve"> </w:t>
      </w:r>
      <w:r>
        <w:rPr>
          <w:rFonts w:ascii="Arial" w:cs="Arial" w:eastAsia="Arial" w:hAnsi="Arial"/>
          <w:sz w:val="12"/>
          <w:szCs w:val="12"/>
          <w:color w:val="auto"/>
        </w:rPr>
        <w:t>International Operating Company (AIOC), which produces crude oil in the Caspian Sea from the Azeri-Chirag-Gunashli (ACG) project. Chevron also has a 9 percent interest in the Baku-Tbilisi-Ceyhan (BTC) affiliate, which transports AIOC production by pipeline from Baku, Azerbaijan, through Georgia to Mediterranean deepwater port facilities in Ceyhan, Turkey. (Refer to “Pipelines” under “Transportation Operations” beginning on page 26 for a discussion of the BTC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-694055</wp:posOffset>
            </wp:positionV>
            <wp:extent cx="2111375" cy="2618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11375" cy="2618105"/>
                    </a:xfrm>
                    <a:prstGeom prst="rect">
                      <a:avLst/>
                    </a:prstGeom>
                    <a:noFill/>
                  </pic:spPr>
                </pic:pic>
              </a:graphicData>
            </a:graphic>
          </wp:anchor>
        </w:drawing>
      </w:r>
    </w:p>
    <w:p>
      <w:pPr>
        <w:spacing w:after="0" w:line="107" w:lineRule="exact"/>
        <w:rPr>
          <w:sz w:val="20"/>
          <w:szCs w:val="20"/>
          <w:color w:val="auto"/>
        </w:rPr>
      </w:pPr>
    </w:p>
    <w:p>
      <w:pPr>
        <w:ind w:left="6100" w:right="60"/>
        <w:spacing w:after="0" w:line="308" w:lineRule="auto"/>
        <w:rPr>
          <w:sz w:val="20"/>
          <w:szCs w:val="20"/>
          <w:color w:val="auto"/>
        </w:rPr>
      </w:pPr>
      <w:r>
        <w:rPr>
          <w:rFonts w:ascii="Arial" w:cs="Arial" w:eastAsia="Arial" w:hAnsi="Arial"/>
          <w:sz w:val="11"/>
          <w:szCs w:val="11"/>
          <w:color w:val="auto"/>
        </w:rPr>
        <w:t>In 2008, the company’s daily net production from AIOC averaged 29,000 barrels of oil-equivalent. First oil from Phase III of ACG development occurred during the second quarter 2008. Reserves were reclassified to proved developed shortly before start-up. In early 2009, total production was averaging about 670,000 barrels per day. The AIOC operations are conducted under a 30-year production-sharing contract (PSC) that expires in 2024.</w:t>
      </w:r>
    </w:p>
    <w:p>
      <w:pPr>
        <w:spacing w:after="0" w:line="107" w:lineRule="exact"/>
        <w:rPr>
          <w:sz w:val="20"/>
          <w:szCs w:val="20"/>
          <w:color w:val="auto"/>
        </w:rPr>
      </w:pPr>
    </w:p>
    <w:p>
      <w:pPr>
        <w:ind w:left="6100"/>
        <w:spacing w:after="0" w:line="299" w:lineRule="auto"/>
        <w:rPr>
          <w:sz w:val="20"/>
          <w:szCs w:val="20"/>
          <w:color w:val="auto"/>
        </w:rPr>
      </w:pPr>
      <w:r>
        <w:rPr>
          <w:rFonts w:ascii="Arial" w:cs="Arial" w:eastAsia="Arial" w:hAnsi="Arial"/>
          <w:sz w:val="11"/>
          <w:szCs w:val="11"/>
          <w:b w:val="1"/>
          <w:bCs w:val="1"/>
          <w:color w:val="auto"/>
        </w:rPr>
        <w:t xml:space="preserve">Kazakhstan: </w:t>
      </w:r>
      <w:r>
        <w:rPr>
          <w:rFonts w:ascii="Arial" w:cs="Arial" w:eastAsia="Arial" w:hAnsi="Arial"/>
          <w:sz w:val="11"/>
          <w:szCs w:val="11"/>
          <w:color w:val="auto"/>
        </w:rPr>
        <w:t>Chevron holds a 20 percent nonoperated working interest in the Karachaganak</w:t>
      </w:r>
      <w:r>
        <w:rPr>
          <w:rFonts w:ascii="Arial" w:cs="Arial" w:eastAsia="Arial" w:hAnsi="Arial"/>
          <w:sz w:val="11"/>
          <w:szCs w:val="11"/>
          <w:b w:val="1"/>
          <w:bCs w:val="1"/>
          <w:color w:val="auto"/>
        </w:rPr>
        <w:t xml:space="preserve"> </w:t>
      </w:r>
      <w:r>
        <w:rPr>
          <w:rFonts w:ascii="Arial" w:cs="Arial" w:eastAsia="Arial" w:hAnsi="Arial"/>
          <w:sz w:val="11"/>
          <w:szCs w:val="11"/>
          <w:color w:val="auto"/>
        </w:rPr>
        <w:t>project, which is being developed in phases. During 2008, Karachaganak net oil-equivalent production averaged 66,000 barrels per day, composed of 41,000 barrels of liquids and</w:t>
      </w:r>
    </w:p>
    <w:p>
      <w:pPr>
        <w:spacing w:after="0" w:line="1" w:lineRule="exact"/>
        <w:rPr>
          <w:sz w:val="20"/>
          <w:szCs w:val="20"/>
          <w:color w:val="auto"/>
        </w:rPr>
      </w:pPr>
    </w:p>
    <w:p>
      <w:pPr>
        <w:ind w:left="6100" w:right="220"/>
        <w:spacing w:after="0" w:line="343" w:lineRule="auto"/>
        <w:rPr>
          <w:sz w:val="20"/>
          <w:szCs w:val="20"/>
          <w:color w:val="auto"/>
        </w:rPr>
      </w:pPr>
      <w:r>
        <w:rPr>
          <w:rFonts w:ascii="Arial" w:cs="Arial" w:eastAsia="Arial" w:hAnsi="Arial"/>
          <w:sz w:val="11"/>
          <w:szCs w:val="11"/>
          <w:color w:val="auto"/>
        </w:rPr>
        <w:t>153 million cubic feet of natural gas. In 2008, access to the Caspian Pipeline Consortium (CPC) and Atyrau-Samara (Russia) pipelines enabled Karachaganak sales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right="160"/>
        <w:spacing w:after="0" w:line="309" w:lineRule="auto"/>
        <w:rPr>
          <w:sz w:val="20"/>
          <w:szCs w:val="20"/>
          <w:color w:val="auto"/>
        </w:rPr>
      </w:pPr>
      <w:r>
        <w:rPr>
          <w:rFonts w:ascii="Arial" w:cs="Arial" w:eastAsia="Arial" w:hAnsi="Arial"/>
          <w:sz w:val="12"/>
          <w:szCs w:val="12"/>
          <w:color w:val="auto"/>
        </w:rPr>
        <w:t>approximately 163,000 barrels per day (30,000 net barrels) of processed liquids at world-market prices. The remaining liquids were sold into Russian markets. During 2008, work continued on a fourth train that is designed to increase the export of processed liquids by 56,000 barrels per day (11,000 net barrels). The fourth train is expected to start up in 2011.</w:t>
      </w:r>
    </w:p>
    <w:p>
      <w:pPr>
        <w:spacing w:after="0" w:line="39" w:lineRule="exact"/>
        <w:rPr>
          <w:sz w:val="20"/>
          <w:szCs w:val="20"/>
          <w:color w:val="auto"/>
        </w:rPr>
      </w:pPr>
    </w:p>
    <w:p>
      <w:pPr>
        <w:ind w:left="460" w:right="240"/>
        <w:spacing w:after="0" w:line="267" w:lineRule="auto"/>
        <w:rPr>
          <w:sz w:val="20"/>
          <w:szCs w:val="20"/>
          <w:color w:val="auto"/>
        </w:rPr>
      </w:pPr>
      <w:r>
        <w:rPr>
          <w:rFonts w:ascii="Arial" w:cs="Arial" w:eastAsia="Arial" w:hAnsi="Arial"/>
          <w:sz w:val="13"/>
          <w:szCs w:val="13"/>
          <w:color w:val="auto"/>
        </w:rPr>
        <w:t>During 2008, partners continued to evaluate alternatives for a Phase III development of Karachaganak. Timing for the recognition of Phase III proved reserves is uncertain and depends on finalizing a Phase III project design and achievement of project milestones. Karachaganak operations are conducted under a 40-year PSC that expires in 2038.</w:t>
      </w:r>
    </w:p>
    <w:p>
      <w:pPr>
        <w:spacing w:after="0" w:line="61"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Refer also to page 23 for a discussion of Tengizchevroil, a 50 percent-owned affiliate with operations in Kazakhstan, and to page 26 in “Pipelines” under “Transportation Operations” for a discussion of CPC operations.</w:t>
      </w:r>
    </w:p>
    <w:p>
      <w:pPr>
        <w:spacing w:after="0" w:line="57" w:lineRule="exact"/>
        <w:rPr>
          <w:sz w:val="20"/>
          <w:szCs w:val="20"/>
          <w:color w:val="auto"/>
        </w:rPr>
      </w:pPr>
    </w:p>
    <w:p>
      <w:pPr>
        <w:ind w:left="460" w:right="180"/>
        <w:spacing w:after="0" w:line="273" w:lineRule="auto"/>
        <w:rPr>
          <w:sz w:val="20"/>
          <w:szCs w:val="20"/>
          <w:color w:val="auto"/>
        </w:rPr>
      </w:pPr>
      <w:r>
        <w:rPr>
          <w:rFonts w:ascii="Arial" w:cs="Arial" w:eastAsia="Arial" w:hAnsi="Arial"/>
          <w:sz w:val="13"/>
          <w:szCs w:val="13"/>
          <w:b w:val="1"/>
          <w:bCs w:val="1"/>
          <w:color w:val="auto"/>
        </w:rPr>
        <w:t xml:space="preserve">Bangladesh: </w:t>
      </w:r>
      <w:r>
        <w:rPr>
          <w:rFonts w:ascii="Arial" w:cs="Arial" w:eastAsia="Arial" w:hAnsi="Arial"/>
          <w:sz w:val="13"/>
          <w:szCs w:val="13"/>
          <w:color w:val="auto"/>
        </w:rPr>
        <w:t>Chevron operates and has 98 percent interests in three PSCs in onshore Blocks 12, 13 and 14 and an 88 percent interest in Block 7. Net oil-equivalent production from these operations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2008 averaged 71,000 barrels per day, composed of 414 million cubic feet of natural gas and 2,000 barrels of liquids.</w:t>
      </w:r>
    </w:p>
    <w:p>
      <w:pPr>
        <w:spacing w:after="0" w:line="54" w:lineRule="exact"/>
        <w:rPr>
          <w:sz w:val="20"/>
          <w:szCs w:val="20"/>
          <w:color w:val="auto"/>
        </w:rPr>
      </w:pPr>
    </w:p>
    <w:p>
      <w:pPr>
        <w:ind w:left="460" w:right="20"/>
        <w:spacing w:after="0" w:line="273" w:lineRule="auto"/>
        <w:rPr>
          <w:sz w:val="20"/>
          <w:szCs w:val="20"/>
          <w:color w:val="auto"/>
        </w:rPr>
      </w:pPr>
      <w:r>
        <w:rPr>
          <w:rFonts w:ascii="Arial" w:cs="Arial" w:eastAsia="Arial" w:hAnsi="Arial"/>
          <w:sz w:val="13"/>
          <w:szCs w:val="13"/>
          <w:b w:val="1"/>
          <w:bCs w:val="1"/>
          <w:color w:val="auto"/>
        </w:rPr>
        <w:t xml:space="preserve">Cambodia: </w:t>
      </w:r>
      <w:r>
        <w:rPr>
          <w:rFonts w:ascii="Arial" w:cs="Arial" w:eastAsia="Arial" w:hAnsi="Arial"/>
          <w:sz w:val="13"/>
          <w:szCs w:val="13"/>
          <w:color w:val="auto"/>
        </w:rPr>
        <w:t>Chevron operates and holds a 55 percent interest in the 1.2 million-acre (4,709 sq-km) Block A, located offshore in the Gulf of Thailand. During 2008 and early 2009, evaluation continued of</w:t>
      </w:r>
      <w:r>
        <w:rPr>
          <w:rFonts w:ascii="Arial" w:cs="Arial" w:eastAsia="Arial" w:hAnsi="Arial"/>
          <w:sz w:val="13"/>
          <w:szCs w:val="13"/>
          <w:b w:val="1"/>
          <w:bCs w:val="1"/>
          <w:color w:val="auto"/>
        </w:rPr>
        <w:t xml:space="preserve"> </w:t>
      </w:r>
      <w:r>
        <w:rPr>
          <w:rFonts w:ascii="Arial" w:cs="Arial" w:eastAsia="Arial" w:hAnsi="Arial"/>
          <w:sz w:val="13"/>
          <w:szCs w:val="13"/>
          <w:color w:val="auto"/>
        </w:rPr>
        <w:t>the exploratory and appraisal drilling programs that occurred in 2007. Proved reserves had not been recognized as of the end of 2008.</w:t>
      </w: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right="200"/>
        <w:spacing w:after="0" w:line="291" w:lineRule="auto"/>
        <w:rPr>
          <w:sz w:val="20"/>
          <w:szCs w:val="20"/>
          <w:color w:val="auto"/>
        </w:rPr>
      </w:pPr>
      <w:r>
        <w:rPr>
          <w:rFonts w:ascii="Arial" w:cs="Arial" w:eastAsia="Arial" w:hAnsi="Arial"/>
          <w:sz w:val="12"/>
          <w:szCs w:val="12"/>
          <w:b w:val="1"/>
          <w:bCs w:val="1"/>
          <w:color w:val="auto"/>
        </w:rPr>
        <w:t xml:space="preserve">Myanmar: </w:t>
      </w:r>
      <w:r>
        <w:rPr>
          <w:rFonts w:ascii="Arial" w:cs="Arial" w:eastAsia="Arial" w:hAnsi="Arial"/>
          <w:sz w:val="12"/>
          <w:szCs w:val="12"/>
          <w:color w:val="auto"/>
        </w:rPr>
        <w:t>Chevron has a 28 percent nonoperated working interest in a PSC for the production of natural gas from the Yadana and Sein fields offshore in the Andaman Sea. The company also has a</w:t>
      </w:r>
      <w:r>
        <w:rPr>
          <w:rFonts w:ascii="Arial" w:cs="Arial" w:eastAsia="Arial" w:hAnsi="Arial"/>
          <w:sz w:val="12"/>
          <w:szCs w:val="12"/>
          <w:b w:val="1"/>
          <w:bCs w:val="1"/>
          <w:color w:val="auto"/>
        </w:rPr>
        <w:t xml:space="preserve"> </w:t>
      </w:r>
      <w:r>
        <w:rPr>
          <w:rFonts w:ascii="Arial" w:cs="Arial" w:eastAsia="Arial" w:hAnsi="Arial"/>
          <w:sz w:val="12"/>
          <w:szCs w:val="12"/>
          <w:color w:val="auto"/>
        </w:rPr>
        <w:t>28 percent interest in a pipeline company that transports the natural gas from Yadana to the Myanmar-Thailand border for delivery to power plants in Thailand. Most of the natural gas is purchased by Thailand’s PTT Public Company Limited (PTT). The company’s average net natural gas production in 2008 was 89 million cubic feet per day.</w:t>
      </w:r>
    </w:p>
    <w:p>
      <w:pPr>
        <w:spacing w:after="0" w:line="209" w:lineRule="exact"/>
        <w:rPr>
          <w:sz w:val="20"/>
          <w:szCs w:val="20"/>
          <w:color w:val="auto"/>
        </w:rPr>
      </w:pPr>
    </w:p>
    <w:p>
      <w:pPr>
        <w:ind w:left="6420" w:right="40"/>
        <w:spacing w:after="0" w:line="279" w:lineRule="auto"/>
        <w:rPr>
          <w:sz w:val="20"/>
          <w:szCs w:val="20"/>
          <w:color w:val="auto"/>
        </w:rPr>
      </w:pPr>
      <w:r>
        <w:rPr>
          <w:rFonts w:ascii="Arial" w:cs="Arial" w:eastAsia="Arial" w:hAnsi="Arial"/>
          <w:sz w:val="12"/>
          <w:szCs w:val="12"/>
          <w:b w:val="1"/>
          <w:bCs w:val="1"/>
          <w:color w:val="auto"/>
        </w:rPr>
        <w:t xml:space="preserve">Thailand: </w:t>
      </w:r>
      <w:r>
        <w:rPr>
          <w:rFonts w:ascii="Arial" w:cs="Arial" w:eastAsia="Arial" w:hAnsi="Arial"/>
          <w:sz w:val="12"/>
          <w:szCs w:val="12"/>
          <w:color w:val="auto"/>
        </w:rPr>
        <w:t>Chevron has operated and nonoperated working interests in several</w:t>
      </w:r>
      <w:r>
        <w:rPr>
          <w:rFonts w:ascii="Arial" w:cs="Arial" w:eastAsia="Arial" w:hAnsi="Arial"/>
          <w:sz w:val="12"/>
          <w:szCs w:val="12"/>
          <w:b w:val="1"/>
          <w:bCs w:val="1"/>
          <w:color w:val="auto"/>
        </w:rPr>
        <w:t xml:space="preserve"> </w:t>
      </w:r>
      <w:r>
        <w:rPr>
          <w:rFonts w:ascii="Arial" w:cs="Arial" w:eastAsia="Arial" w:hAnsi="Arial"/>
          <w:sz w:val="12"/>
          <w:szCs w:val="12"/>
          <w:color w:val="auto"/>
        </w:rPr>
        <w:t>different offshore blocks. The company’s net oil-equivalent production in 2008 averaged 217,000 barrels per day, composed of 67,000 barrels of crude oil and condensate and 894 million cubic feet of natural gas. All of the company’s natural gas production is sold to PTT under long-term sales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-500380</wp:posOffset>
            </wp:positionV>
            <wp:extent cx="2245360" cy="1629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5360" cy="1629410"/>
                    </a:xfrm>
                    <a:prstGeom prst="rect">
                      <a:avLst/>
                    </a:prstGeom>
                    <a:noFill/>
                  </pic:spPr>
                </pic:pic>
              </a:graphicData>
            </a:graphic>
          </wp:anchor>
        </w:drawing>
      </w:r>
    </w:p>
    <w:p>
      <w:pPr>
        <w:spacing w:after="0" w:line="104" w:lineRule="exact"/>
        <w:rPr>
          <w:sz w:val="20"/>
          <w:szCs w:val="20"/>
          <w:color w:val="auto"/>
        </w:rPr>
      </w:pPr>
    </w:p>
    <w:p>
      <w:pPr>
        <w:ind w:left="6420"/>
        <w:spacing w:after="0" w:line="250" w:lineRule="auto"/>
        <w:rPr>
          <w:sz w:val="20"/>
          <w:szCs w:val="20"/>
          <w:color w:val="auto"/>
        </w:rPr>
      </w:pPr>
      <w:r>
        <w:rPr>
          <w:rFonts w:ascii="Arial" w:cs="Arial" w:eastAsia="Arial" w:hAnsi="Arial"/>
          <w:sz w:val="13"/>
          <w:szCs w:val="13"/>
          <w:color w:val="auto"/>
        </w:rPr>
        <w:t>Operated interests are in Pattani and other fields with ownership interests ranging from 35 percent to 80 percent in Blocks 10 through 13, B12/27, B8/32, 9A, G4/43 and G4/48. Blocks B8/32 and 9A produce crude oil and natural gas from six operating areas, and Blocks 10 through 13 and B12/27 produce crude oil, condensate and natural gas from 16 operating areas. First production from Block G4/43 occurred in first quarter 2008.</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460" w:right="240"/>
        <w:spacing w:after="0" w:line="256" w:lineRule="auto"/>
        <w:rPr>
          <w:sz w:val="20"/>
          <w:szCs w:val="20"/>
          <w:color w:val="auto"/>
        </w:rPr>
      </w:pPr>
      <w:r>
        <w:rPr>
          <w:rFonts w:ascii="Arial" w:cs="Arial" w:eastAsia="Arial" w:hAnsi="Arial"/>
          <w:sz w:val="13"/>
          <w:szCs w:val="13"/>
          <w:color w:val="auto"/>
        </w:rPr>
        <w:t>For Blocks 10 through 13, a final investment decision was made in March 2008 for the construction of a second central natural-gas processing facility in the Platong area. The 70 percent-owned and operated Platong Gas II project is designed to add 420 million cubic feet per day of processing capacity in 2011. The company expects to reclassify proved undeveloped reserves to proved developed throughout the project’s life as the wellhead platforms are installed. Concessions for Blocks 10 through 13 expire in 2022.</w:t>
      </w:r>
    </w:p>
    <w:p>
      <w:pPr>
        <w:spacing w:after="0" w:line="69" w:lineRule="exact"/>
        <w:rPr>
          <w:sz w:val="20"/>
          <w:szCs w:val="20"/>
          <w:color w:val="auto"/>
        </w:rPr>
      </w:pPr>
    </w:p>
    <w:p>
      <w:pPr>
        <w:ind w:left="460" w:right="160"/>
        <w:spacing w:after="0" w:line="267" w:lineRule="auto"/>
        <w:rPr>
          <w:sz w:val="20"/>
          <w:szCs w:val="20"/>
          <w:color w:val="auto"/>
        </w:rPr>
      </w:pPr>
      <w:r>
        <w:rPr>
          <w:rFonts w:ascii="Arial" w:cs="Arial" w:eastAsia="Arial" w:hAnsi="Arial"/>
          <w:sz w:val="13"/>
          <w:szCs w:val="13"/>
          <w:color w:val="auto"/>
        </w:rPr>
        <w:t>Chevron has a 16 percent nonoperated working interest in Blocks 14A, 15A, 16A, G9/48 and G8/50, known collectively as the Arthit Field. First production from Arthit occurred in 2008 and averaged 10,000 net oil-equivalent barrels per day through the end of the year.</w:t>
      </w:r>
    </w:p>
    <w:p>
      <w:pPr>
        <w:spacing w:after="0" w:line="61" w:lineRule="exact"/>
        <w:rPr>
          <w:sz w:val="20"/>
          <w:szCs w:val="20"/>
          <w:color w:val="auto"/>
        </w:rPr>
      </w:pPr>
    </w:p>
    <w:p>
      <w:pPr>
        <w:jc w:val="both"/>
        <w:ind w:left="460" w:right="100"/>
        <w:spacing w:after="0" w:line="288" w:lineRule="auto"/>
        <w:rPr>
          <w:sz w:val="20"/>
          <w:szCs w:val="20"/>
          <w:color w:val="auto"/>
        </w:rPr>
      </w:pPr>
      <w:r>
        <w:rPr>
          <w:rFonts w:ascii="Arial" w:cs="Arial" w:eastAsia="Arial" w:hAnsi="Arial"/>
          <w:sz w:val="12"/>
          <w:szCs w:val="12"/>
          <w:color w:val="auto"/>
        </w:rPr>
        <w:t>During 2008, 13 exploration wells were drilled in the Gulf of Thailand, and all were successful. In Block G4/50, an exploratory joint operating agreement was signed in late 2008. A 3-D seismic survey and geological studies are scheduled for 2009. Three exploratory wells are planned for 2010. At the end of 2008, proved reserves had not been recognized for these activities. In addition, Chevron holds exploration interests in a number of blocks that are currently inactive, pending resolution of border issues between Thailand and Cambodia.</w:t>
      </w:r>
    </w:p>
    <w:p>
      <w:pPr>
        <w:spacing w:after="0" w:line="47" w:lineRule="exact"/>
        <w:rPr>
          <w:sz w:val="20"/>
          <w:szCs w:val="20"/>
          <w:color w:val="auto"/>
        </w:rPr>
      </w:pPr>
    </w:p>
    <w:p>
      <w:pPr>
        <w:jc w:val="both"/>
        <w:ind w:left="460" w:right="100"/>
        <w:spacing w:after="0" w:line="316" w:lineRule="auto"/>
        <w:rPr>
          <w:sz w:val="20"/>
          <w:szCs w:val="20"/>
          <w:color w:val="auto"/>
        </w:rPr>
      </w:pPr>
      <w:r>
        <w:rPr>
          <w:rFonts w:ascii="Arial" w:cs="Arial" w:eastAsia="Arial" w:hAnsi="Arial"/>
          <w:sz w:val="12"/>
          <w:szCs w:val="12"/>
          <w:b w:val="1"/>
          <w:bCs w:val="1"/>
          <w:color w:val="auto"/>
        </w:rPr>
        <w:t xml:space="preserve">Vietnam: </w:t>
      </w:r>
      <w:r>
        <w:rPr>
          <w:rFonts w:ascii="Arial" w:cs="Arial" w:eastAsia="Arial" w:hAnsi="Arial"/>
          <w:sz w:val="12"/>
          <w:szCs w:val="12"/>
          <w:color w:val="auto"/>
        </w:rPr>
        <w:t>The company operates off the southwest coast and has a 42 percent interest in a PSC that includes Blocks B and 48/95, and a 43 percent interest in another PSC for Block 52/97. Chevron also</w:t>
      </w:r>
      <w:r>
        <w:rPr>
          <w:rFonts w:ascii="Arial" w:cs="Arial" w:eastAsia="Arial" w:hAnsi="Arial"/>
          <w:sz w:val="12"/>
          <w:szCs w:val="12"/>
          <w:b w:val="1"/>
          <w:bCs w:val="1"/>
          <w:color w:val="auto"/>
        </w:rPr>
        <w:t xml:space="preserve"> </w:t>
      </w:r>
      <w:r>
        <w:rPr>
          <w:rFonts w:ascii="Arial" w:cs="Arial" w:eastAsia="Arial" w:hAnsi="Arial"/>
          <w:sz w:val="12"/>
          <w:szCs w:val="12"/>
          <w:color w:val="auto"/>
        </w:rPr>
        <w:t>has a third PSC with a 50 percent-owned and operated interest in Block B122 offshore eastern Vietnam. No production occurred in these areas during 2008.</w:t>
      </w:r>
    </w:p>
    <w:p>
      <w:pPr>
        <w:spacing w:after="0" w:line="35" w:lineRule="exact"/>
        <w:rPr>
          <w:sz w:val="20"/>
          <w:szCs w:val="20"/>
          <w:color w:val="auto"/>
        </w:rPr>
      </w:pPr>
    </w:p>
    <w:p>
      <w:pPr>
        <w:ind w:left="460" w:right="160"/>
        <w:spacing w:after="0" w:line="253" w:lineRule="auto"/>
        <w:rPr>
          <w:sz w:val="20"/>
          <w:szCs w:val="20"/>
          <w:color w:val="auto"/>
        </w:rPr>
      </w:pPr>
      <w:r>
        <w:rPr>
          <w:rFonts w:ascii="Arial" w:cs="Arial" w:eastAsia="Arial" w:hAnsi="Arial"/>
          <w:sz w:val="13"/>
          <w:szCs w:val="13"/>
          <w:color w:val="auto"/>
        </w:rPr>
        <w:t>In the blocks off the southwest coast, the Vietnam Gas Project is aimed at developing an area in the Malay Basin to supply natural gas to state-owned PetroVietnam. The project includes installation of wellhead and hub platforms, an FSO vessel, field pipelines and a central processing platform. The timing of first natural-gas production is dependent upon the outcome of commercial negotiations. Maximum total production of approximately 500 million cubic feet of natural gas per day is projected within five years of start-up. At the end of 2008, proved reserves had not been recognized for this project.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the year, two exploratory wells confirmed hydrocarbons in Block B and Block 52/97. In Block 122, 2-D seismic information was purchased in late 2008, with processing scheduled for 2009.</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Proved reserves had not been recognized as of the end of 2008. Future activity in Block 122 may be affected by an ongoing territorial dispute between Vietnam and China.</w:t>
      </w:r>
    </w:p>
    <w:p>
      <w:pPr>
        <w:spacing w:after="0" w:line="200" w:lineRule="exact"/>
        <w:rPr>
          <w:sz w:val="20"/>
          <w:szCs w:val="20"/>
          <w:color w:val="auto"/>
        </w:rPr>
      </w:pPr>
    </w:p>
    <w:p>
      <w:pPr>
        <w:spacing w:after="0" w:line="324"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420" w:right="80"/>
        <w:spacing w:after="0" w:line="255" w:lineRule="auto"/>
        <w:rPr>
          <w:sz w:val="20"/>
          <w:szCs w:val="20"/>
          <w:color w:val="auto"/>
        </w:rPr>
      </w:pPr>
      <w:r>
        <w:rPr>
          <w:rFonts w:ascii="Arial" w:cs="Arial" w:eastAsia="Arial" w:hAnsi="Arial"/>
          <w:sz w:val="13"/>
          <w:szCs w:val="13"/>
          <w:b w:val="1"/>
          <w:bCs w:val="1"/>
          <w:color w:val="auto"/>
        </w:rPr>
        <w:t xml:space="preserve">China: </w:t>
      </w:r>
      <w:r>
        <w:rPr>
          <w:rFonts w:ascii="Arial" w:cs="Arial" w:eastAsia="Arial" w:hAnsi="Arial"/>
          <w:sz w:val="13"/>
          <w:szCs w:val="13"/>
          <w:color w:val="auto"/>
        </w:rPr>
        <w:t>Chevron has one operated and three nonoperated working interests in several</w:t>
      </w:r>
      <w:r>
        <w:rPr>
          <w:rFonts w:ascii="Arial" w:cs="Arial" w:eastAsia="Arial" w:hAnsi="Arial"/>
          <w:sz w:val="13"/>
          <w:szCs w:val="13"/>
          <w:b w:val="1"/>
          <w:bCs w:val="1"/>
          <w:color w:val="auto"/>
        </w:rPr>
        <w:t xml:space="preserve"> </w:t>
      </w:r>
      <w:r>
        <w:rPr>
          <w:rFonts w:ascii="Arial" w:cs="Arial" w:eastAsia="Arial" w:hAnsi="Arial"/>
          <w:sz w:val="13"/>
          <w:szCs w:val="13"/>
          <w:color w:val="auto"/>
        </w:rPr>
        <w:t>areas. Net oil-equivalent production from the nonoperated areas in 2008 averaged 22,000 barrels per day, composed of 19,000 barrels of crude oil and condensate and 22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-394970</wp:posOffset>
            </wp:positionV>
            <wp:extent cx="2343150" cy="2642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3150" cy="2642235"/>
                    </a:xfrm>
                    <a:prstGeom prst="rect">
                      <a:avLst/>
                    </a:prstGeom>
                    <a:noFill/>
                  </pic:spPr>
                </pic:pic>
              </a:graphicData>
            </a:graphic>
          </wp:anchor>
        </w:drawing>
      </w:r>
    </w:p>
    <w:p>
      <w:pPr>
        <w:spacing w:after="0" w:line="117" w:lineRule="exact"/>
        <w:rPr>
          <w:sz w:val="20"/>
          <w:szCs w:val="20"/>
          <w:color w:val="auto"/>
        </w:rPr>
      </w:pPr>
    </w:p>
    <w:p>
      <w:pPr>
        <w:ind w:left="6420"/>
        <w:spacing w:after="0" w:line="275" w:lineRule="auto"/>
        <w:rPr>
          <w:sz w:val="20"/>
          <w:szCs w:val="20"/>
          <w:color w:val="auto"/>
        </w:rPr>
      </w:pPr>
      <w:r>
        <w:rPr>
          <w:rFonts w:ascii="Arial" w:cs="Arial" w:eastAsia="Arial" w:hAnsi="Arial"/>
          <w:sz w:val="12"/>
          <w:szCs w:val="12"/>
          <w:color w:val="auto"/>
        </w:rPr>
        <w:t>The company holds a 49 percent operated interest in the Chuandongbei area in the onshore Sichuan Basin, where the company entered into a 30-year PSC effective February 2008 to develop natural gas resources. Project plans included two sour-gas purification plants with an aggregate design capacity of 740 million cubic feet per day. A final investment decision was made for the first stage of the project in December 2008, and proved undeveloped reserves were recognized at that time.</w:t>
      </w:r>
    </w:p>
    <w:p>
      <w:pPr>
        <w:spacing w:after="0" w:line="128" w:lineRule="exact"/>
        <w:rPr>
          <w:sz w:val="20"/>
          <w:szCs w:val="20"/>
          <w:color w:val="auto"/>
        </w:rPr>
      </w:pPr>
    </w:p>
    <w:p>
      <w:pPr>
        <w:jc w:val="both"/>
        <w:ind w:left="6420" w:right="20"/>
        <w:spacing w:after="0" w:line="297" w:lineRule="auto"/>
        <w:rPr>
          <w:sz w:val="20"/>
          <w:szCs w:val="20"/>
          <w:color w:val="auto"/>
        </w:rPr>
      </w:pPr>
      <w:r>
        <w:rPr>
          <w:rFonts w:ascii="Arial" w:cs="Arial" w:eastAsia="Arial" w:hAnsi="Arial"/>
          <w:sz w:val="11"/>
          <w:szCs w:val="11"/>
          <w:color w:val="auto"/>
        </w:rPr>
        <w:t>In the South China Sea, the company has nonoperated working interests of 33 percent in Blocks 16/08 and 16/19 located in the Pearl River Delta Mouth Basin, 25 percent in the QHD-32-6 Field in Bohai Bay and 16 percent in the unitized and producing BZ</w:t>
      </w:r>
    </w:p>
    <w:p>
      <w:pPr>
        <w:ind w:left="6420" w:right="180"/>
        <w:spacing w:after="0" w:line="343" w:lineRule="auto"/>
        <w:rPr>
          <w:sz w:val="20"/>
          <w:szCs w:val="20"/>
          <w:color w:val="auto"/>
        </w:rPr>
      </w:pPr>
      <w:r>
        <w:rPr>
          <w:rFonts w:ascii="Arial" w:cs="Arial" w:eastAsia="Arial" w:hAnsi="Arial"/>
          <w:sz w:val="11"/>
          <w:szCs w:val="11"/>
          <w:color w:val="auto"/>
        </w:rPr>
        <w:t>25-1 Field in Bohai Bay Block 11/19. Chevron also holds a 50 percent nonoperated working interest in one prospective onshore natural-gas block in the Ordos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The joint development of the HZ 25-3 and HZ 25-1 crude-oil fields in Block 16/19 is expected to achieve first production in the third quarter 2009. The maximum total production of approximately 11,000 barrels of crude oil per day is anticipated by early 2011.</w:t>
      </w:r>
    </w:p>
    <w:p>
      <w:pPr>
        <w:spacing w:after="0" w:line="221" w:lineRule="exact"/>
        <w:rPr>
          <w:sz w:val="20"/>
          <w:szCs w:val="20"/>
          <w:color w:val="auto"/>
        </w:rPr>
      </w:pPr>
    </w:p>
    <w:p>
      <w:pPr>
        <w:ind w:left="6200" w:right="60"/>
        <w:spacing w:after="0" w:line="275" w:lineRule="auto"/>
        <w:rPr>
          <w:sz w:val="20"/>
          <w:szCs w:val="20"/>
          <w:color w:val="auto"/>
        </w:rPr>
      </w:pPr>
      <w:r>
        <w:rPr>
          <w:rFonts w:ascii="Arial" w:cs="Arial" w:eastAsia="Arial" w:hAnsi="Arial"/>
          <w:sz w:val="12"/>
          <w:szCs w:val="12"/>
          <w:b w:val="1"/>
          <w:bCs w:val="1"/>
          <w:color w:val="auto"/>
        </w:rPr>
        <w:t xml:space="preserve">Partitioned Neutral Zone (PNZ): </w:t>
      </w:r>
      <w:r>
        <w:rPr>
          <w:rFonts w:ascii="Arial" w:cs="Arial" w:eastAsia="Arial" w:hAnsi="Arial"/>
          <w:sz w:val="12"/>
          <w:szCs w:val="12"/>
          <w:color w:val="auto"/>
        </w:rPr>
        <w:t>During 2008, the company negotiated a 30-year</w:t>
      </w:r>
      <w:r>
        <w:rPr>
          <w:rFonts w:ascii="Arial" w:cs="Arial" w:eastAsia="Arial" w:hAnsi="Arial"/>
          <w:sz w:val="12"/>
          <w:szCs w:val="12"/>
          <w:b w:val="1"/>
          <w:bCs w:val="1"/>
          <w:color w:val="auto"/>
        </w:rPr>
        <w:t xml:space="preserve"> </w:t>
      </w:r>
      <w:r>
        <w:rPr>
          <w:rFonts w:ascii="Arial" w:cs="Arial" w:eastAsia="Arial" w:hAnsi="Arial"/>
          <w:sz w:val="12"/>
          <w:szCs w:val="12"/>
          <w:color w:val="auto"/>
        </w:rPr>
        <w:t>extension to its agreement with the Kingdom of Saudi Arabia to operate on behalf of the Saudi government its 50 percent interest in the petroleum resources of the onshore area of the PNZ between Saudi Arabia and Kuwait. Under the extension, Chevron has rights to this 50 percent interest in the hydrocarbon resource and pays a royalty and other taxes on the associated volumes produced until 2039. As a result of the contract extension, the company recognized additional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-694055</wp:posOffset>
            </wp:positionV>
            <wp:extent cx="2392045" cy="1440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045" cy="1440180"/>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During 2008, the company’s average net oil-equivalent production was 106,000 barrels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day, composed of 103,000 barrels of crude oil and 20 million cubic feet of natural gas. Steam injection for the second phase of a steamflood pilot project is anticipated to begin in mid-2009. This pilot is a unique application of steam injection into a carbonate reservoir and, if successful, could significantly increase heavy oil recovery.</w:t>
      </w:r>
    </w:p>
    <w:p>
      <w:pPr>
        <w:spacing w:after="0" w:line="57" w:lineRule="exact"/>
        <w:rPr>
          <w:sz w:val="20"/>
          <w:szCs w:val="20"/>
          <w:color w:val="auto"/>
        </w:rPr>
      </w:pPr>
    </w:p>
    <w:p>
      <w:pPr>
        <w:jc w:val="both"/>
        <w:ind w:left="460" w:right="120"/>
        <w:spacing w:after="0" w:line="291" w:lineRule="auto"/>
        <w:rPr>
          <w:sz w:val="20"/>
          <w:szCs w:val="20"/>
          <w:color w:val="auto"/>
        </w:rPr>
      </w:pPr>
      <w:r>
        <w:rPr>
          <w:rFonts w:ascii="Arial" w:cs="Arial" w:eastAsia="Arial" w:hAnsi="Arial"/>
          <w:sz w:val="12"/>
          <w:szCs w:val="12"/>
          <w:b w:val="1"/>
          <w:bCs w:val="1"/>
          <w:color w:val="auto"/>
        </w:rPr>
        <w:t xml:space="preserve">Philippines: </w:t>
      </w:r>
      <w:r>
        <w:rPr>
          <w:rFonts w:ascii="Arial" w:cs="Arial" w:eastAsia="Arial" w:hAnsi="Arial"/>
          <w:sz w:val="12"/>
          <w:szCs w:val="12"/>
          <w:color w:val="auto"/>
        </w:rPr>
        <w:t>The company holds a 45 percent nonoperated working interest in the Malampaya natural-gas field located 50 miles (80 km) offshore Palawan Island. Net oil-equivalent production in 2008</w:t>
      </w:r>
      <w:r>
        <w:rPr>
          <w:rFonts w:ascii="Arial" w:cs="Arial" w:eastAsia="Arial" w:hAnsi="Arial"/>
          <w:sz w:val="12"/>
          <w:szCs w:val="12"/>
          <w:b w:val="1"/>
          <w:bCs w:val="1"/>
          <w:color w:val="auto"/>
        </w:rPr>
        <w:t xml:space="preserve"> </w:t>
      </w:r>
      <w:r>
        <w:rPr>
          <w:rFonts w:ascii="Arial" w:cs="Arial" w:eastAsia="Arial" w:hAnsi="Arial"/>
          <w:sz w:val="12"/>
          <w:szCs w:val="12"/>
          <w:color w:val="auto"/>
        </w:rPr>
        <w:t>averaged 26,000 barrels per day, composed of 128 million cubic feet of natural gas and 5,000 barrels of condensate. Chevron also develops and produces geothermal resources under an agreement with the National Power Corporation, a Philippine government-owned company. The combined generating capacity of the facilities is 637 megawatts.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 Indonesia</w:t>
      </w:r>
    </w:p>
    <w:p>
      <w:pPr>
        <w:spacing w:after="0" w:line="258" w:lineRule="exact"/>
        <w:rPr>
          <w:sz w:val="20"/>
          <w:szCs w:val="20"/>
          <w:color w:val="auto"/>
        </w:rPr>
      </w:pPr>
    </w:p>
    <w:p>
      <w:pPr>
        <w:ind w:left="6100"/>
        <w:spacing w:after="0" w:line="273" w:lineRule="auto"/>
        <w:rPr>
          <w:sz w:val="20"/>
          <w:szCs w:val="20"/>
          <w:color w:val="auto"/>
        </w:rPr>
      </w:pPr>
      <w:r>
        <w:rPr>
          <w:rFonts w:ascii="Arial" w:cs="Arial" w:eastAsia="Arial" w:hAnsi="Arial"/>
          <w:sz w:val="12"/>
          <w:szCs w:val="12"/>
          <w:color w:val="auto"/>
        </w:rPr>
        <w:t>Chevron’s operated interests in Indonesia are managed by several wholly owned subsidiaries, including PT. Chevron Pacific Indonesia (CPI). CPI holds operated interests of 100 percent in the Rokan and Siak PSCs. Other subsidiaries operate four PSCs in the Kutei Basin, located offshore East Kalimantan, and one PSC in the East Ambalat Block, located offshore northeast Kalimantan. These interests range from 80 percent to 100 percent. Chevron also has nonoperated working interests in a joint venture in Block B in the South Natuna Sea and in the NE Madura III Block in the East Java Sea Basin. Chevron’s interests in these PSCs range from 25 percent to 40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-791210</wp:posOffset>
            </wp:positionV>
            <wp:extent cx="2172335" cy="1232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2335" cy="123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right="60"/>
        <w:spacing w:after="0" w:line="308" w:lineRule="auto"/>
        <w:rPr>
          <w:sz w:val="20"/>
          <w:szCs w:val="20"/>
          <w:color w:val="auto"/>
        </w:rPr>
      </w:pPr>
      <w:r>
        <w:rPr>
          <w:rFonts w:ascii="Arial" w:cs="Arial" w:eastAsia="Arial" w:hAnsi="Arial"/>
          <w:sz w:val="11"/>
          <w:szCs w:val="11"/>
          <w:color w:val="auto"/>
        </w:rPr>
        <w:t>The company’s net oil-equivalent production in 2008 from all of its interests in Indonesia averaged 235,000 barrels per day. The daily oil-equivalent rate comprised 182,000 barrels of crude oil and 319 million cubic feet of natural gas. The largest producing field is Duri, located in the Rokan PSC. Duri has been under steamflood operation since 1985 and is one of the world’s largest steamflood developments. The North Duri Development is located in the northern area of the Duri Field and is divided into multiple expansion areas. The Area 12 expansion area started production November 2008. Maximum total daily production from Area 12 is estimated at 34,000 barrels of crude oil in 2012. Proved undeveloped reserves for the North Duri development were recognized in previous years, and reclassification from proved undeveloped to proved developed is scheduled to occur during various stages of sequential completion. The Rokan PSC expires in 2021.</w:t>
      </w:r>
    </w:p>
    <w:p>
      <w:pPr>
        <w:spacing w:after="0" w:line="44" w:lineRule="exact"/>
        <w:rPr>
          <w:sz w:val="20"/>
          <w:szCs w:val="20"/>
          <w:color w:val="auto"/>
        </w:rPr>
      </w:pPr>
    </w:p>
    <w:p>
      <w:pPr>
        <w:ind w:left="460" w:right="20"/>
        <w:spacing w:after="0" w:line="281" w:lineRule="auto"/>
        <w:rPr>
          <w:sz w:val="20"/>
          <w:szCs w:val="20"/>
          <w:color w:val="auto"/>
        </w:rPr>
      </w:pPr>
      <w:r>
        <w:rPr>
          <w:rFonts w:ascii="Arial" w:cs="Arial" w:eastAsia="Arial" w:hAnsi="Arial"/>
          <w:sz w:val="12"/>
          <w:szCs w:val="12"/>
          <w:color w:val="auto"/>
        </w:rPr>
        <w:t>Chevron has plans to develop the Gendalo and Gehem deepwater natural-gas fields located in the Kutei Basin as a single project with one development concept. In October 2008, the company received approval from the government of Indonesia for the final development plans. The Bangka natural-gas project remained under evaluation in 2008 and, based on the evaluation results, may be developed in parallel with Gendalo and Gehem. The development timing is dependent on government approvals, market conditions and the achievement of key project milestones. At the end of 2008, the company had not recognized proved reserves for either of these projects. The company holds an 80 percent operated interest in both.</w:t>
      </w:r>
    </w:p>
    <w:p>
      <w:pPr>
        <w:spacing w:after="0" w:line="55" w:lineRule="exact"/>
        <w:rPr>
          <w:sz w:val="20"/>
          <w:szCs w:val="20"/>
          <w:color w:val="auto"/>
        </w:rPr>
      </w:pPr>
    </w:p>
    <w:p>
      <w:pPr>
        <w:ind w:left="460" w:right="580"/>
        <w:spacing w:after="0" w:line="309" w:lineRule="auto"/>
        <w:rPr>
          <w:sz w:val="20"/>
          <w:szCs w:val="20"/>
          <w:color w:val="auto"/>
        </w:rPr>
      </w:pPr>
      <w:r>
        <w:rPr>
          <w:rFonts w:ascii="Arial" w:cs="Arial" w:eastAsia="Arial" w:hAnsi="Arial"/>
          <w:sz w:val="12"/>
          <w:szCs w:val="12"/>
          <w:color w:val="auto"/>
        </w:rPr>
        <w:t>Also in the Kutei Basin, first production is expected in March 2009 at the Seturian Field, which is providing natural gas to a state-owned refinery. During 2008, the development concept for the 50 percent-owned and operated Sadewa project in the Kutei Basin remained under evaluation. A development decision for Sadewa is expected by year-end 2009.</w:t>
      </w:r>
    </w:p>
    <w:p>
      <w:pPr>
        <w:spacing w:after="0" w:line="39" w:lineRule="exact"/>
        <w:rPr>
          <w:sz w:val="20"/>
          <w:szCs w:val="20"/>
          <w:color w:val="auto"/>
        </w:rPr>
      </w:pPr>
    </w:p>
    <w:p>
      <w:pPr>
        <w:ind w:left="460" w:right="20"/>
        <w:spacing w:after="0" w:line="256" w:lineRule="auto"/>
        <w:rPr>
          <w:sz w:val="20"/>
          <w:szCs w:val="20"/>
          <w:color w:val="auto"/>
        </w:rPr>
      </w:pPr>
      <w:r>
        <w:rPr>
          <w:rFonts w:ascii="Arial" w:cs="Arial" w:eastAsia="Arial" w:hAnsi="Arial"/>
          <w:sz w:val="13"/>
          <w:szCs w:val="13"/>
          <w:color w:val="auto"/>
        </w:rPr>
        <w:t>A drilling campaign continued through 2008 in South Natuna Sea Block B to provide additional supply for long-term gas sales contracts. Additional development drilling in the North Belut Field began in November 2008, with first production expected in fourth quarter 2009. In November 2008, Chevron was awarded 100 percent interests in two exploration blocks in western Papua. Geological studies are planned for 2009 in preparation for 2-D seismic acquisition.</w:t>
      </w:r>
    </w:p>
    <w:p>
      <w:pPr>
        <w:spacing w:after="0" w:line="69" w:lineRule="exact"/>
        <w:rPr>
          <w:sz w:val="20"/>
          <w:szCs w:val="20"/>
          <w:color w:val="auto"/>
        </w:rPr>
      </w:pPr>
    </w:p>
    <w:p>
      <w:pPr>
        <w:ind w:left="460" w:right="160"/>
        <w:spacing w:after="0" w:line="256" w:lineRule="auto"/>
        <w:rPr>
          <w:sz w:val="20"/>
          <w:szCs w:val="20"/>
          <w:color w:val="auto"/>
        </w:rPr>
      </w:pPr>
      <w:r>
        <w:rPr>
          <w:rFonts w:ascii="Arial" w:cs="Arial" w:eastAsia="Arial" w:hAnsi="Arial"/>
          <w:sz w:val="13"/>
          <w:szCs w:val="13"/>
          <w:color w:val="auto"/>
        </w:rPr>
        <w:t>In West Java, Chevron operates the wholly owned Salak geothermal field with a total capacity of 377 megawatts. Also in West Java, Chevron holds a 95 percent interest in a power generation company that operates the Darajat geothermal contract area in Garut with a total capacity of 259 megawatts. Chevron also operates a 95 percent-owned 300-megawatt cogeneration facility in support of CPI’s operation in North Duri, Sumatra.</w:t>
      </w:r>
    </w:p>
    <w:p>
      <w:pPr>
        <w:spacing w:after="0" w:line="27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780" w:hanging="324"/>
        <w:spacing w:after="0"/>
        <w:tabs>
          <w:tab w:leader="none" w:pos="7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Other International Areas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“Other International” region is composed of Latin America, Canada and Europe.</w:t>
      </w:r>
    </w:p>
    <w:p>
      <w:pPr>
        <w:spacing w:after="0" w:line="96" w:lineRule="exact"/>
        <w:rPr>
          <w:sz w:val="20"/>
          <w:szCs w:val="20"/>
          <w:color w:val="auto"/>
        </w:rPr>
      </w:pPr>
    </w:p>
    <w:p>
      <w:pPr>
        <w:ind w:left="5060" w:right="180"/>
        <w:spacing w:after="0" w:line="299" w:lineRule="auto"/>
        <w:rPr>
          <w:sz w:val="20"/>
          <w:szCs w:val="20"/>
          <w:color w:val="auto"/>
        </w:rPr>
      </w:pPr>
      <w:r>
        <w:rPr>
          <w:rFonts w:ascii="Arial" w:cs="Arial" w:eastAsia="Arial" w:hAnsi="Arial"/>
          <w:sz w:val="11"/>
          <w:szCs w:val="11"/>
          <w:b w:val="1"/>
          <w:bCs w:val="1"/>
          <w:color w:val="auto"/>
        </w:rPr>
        <w:t xml:space="preserve">Argentina: </w:t>
      </w:r>
      <w:r>
        <w:rPr>
          <w:rFonts w:ascii="Arial" w:cs="Arial" w:eastAsia="Arial" w:hAnsi="Arial"/>
          <w:sz w:val="11"/>
          <w:szCs w:val="11"/>
          <w:color w:val="auto"/>
        </w:rPr>
        <w:t>Chevron holds operated interests in several concessions and one exploratory block in the Neuquen</w:t>
      </w:r>
      <w:r>
        <w:rPr>
          <w:rFonts w:ascii="Arial" w:cs="Arial" w:eastAsia="Arial" w:hAnsi="Arial"/>
          <w:sz w:val="11"/>
          <w:szCs w:val="11"/>
          <w:b w:val="1"/>
          <w:bCs w:val="1"/>
          <w:color w:val="auto"/>
        </w:rPr>
        <w:t xml:space="preserve"> </w:t>
      </w:r>
      <w:r>
        <w:rPr>
          <w:rFonts w:ascii="Arial" w:cs="Arial" w:eastAsia="Arial" w:hAnsi="Arial"/>
          <w:sz w:val="11"/>
          <w:szCs w:val="11"/>
          <w:color w:val="auto"/>
        </w:rPr>
        <w:t>and Austral basins. Working interests range from 19 percent to 100 percent. Net oil-equivalent production in 2008 averaged 44,000 barrels per day, composed of 37,000 barrels of crude oil and natural gas liquids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-291465</wp:posOffset>
            </wp:positionV>
            <wp:extent cx="1708785" cy="2312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08785" cy="2312670"/>
                    </a:xfrm>
                    <a:prstGeom prst="rect">
                      <a:avLst/>
                    </a:prstGeom>
                    <a:noFill/>
                  </pic:spPr>
                </pic:pic>
              </a:graphicData>
            </a:graphic>
          </wp:anchor>
        </w:drawing>
      </w:r>
    </w:p>
    <w:p>
      <w:pPr>
        <w:ind w:left="5060" w:right="260"/>
        <w:spacing w:after="0" w:line="253" w:lineRule="auto"/>
        <w:rPr>
          <w:sz w:val="20"/>
          <w:szCs w:val="20"/>
          <w:color w:val="auto"/>
        </w:rPr>
      </w:pPr>
      <w:r>
        <w:rPr>
          <w:rFonts w:ascii="Arial" w:cs="Arial" w:eastAsia="Arial" w:hAnsi="Arial"/>
          <w:sz w:val="13"/>
          <w:szCs w:val="13"/>
          <w:color w:val="auto"/>
        </w:rPr>
        <w:t>45 million cubic feet of natural gas. The company also holds a 14 percent interest in the Oleoductos del Valle S.A. pipeline.</w:t>
      </w:r>
    </w:p>
    <w:p>
      <w:pPr>
        <w:spacing w:after="0" w:line="134" w:lineRule="exact"/>
        <w:rPr>
          <w:sz w:val="20"/>
          <w:szCs w:val="20"/>
          <w:color w:val="auto"/>
        </w:rPr>
      </w:pPr>
    </w:p>
    <w:p>
      <w:pPr>
        <w:ind w:left="5060"/>
        <w:spacing w:after="0"/>
        <w:rPr>
          <w:sz w:val="20"/>
          <w:szCs w:val="20"/>
          <w:color w:val="auto"/>
        </w:rPr>
      </w:pPr>
      <w:r>
        <w:rPr>
          <w:rFonts w:ascii="Arial" w:cs="Arial" w:eastAsia="Arial" w:hAnsi="Arial"/>
          <w:sz w:val="11"/>
          <w:szCs w:val="11"/>
          <w:b w:val="1"/>
          <w:bCs w:val="1"/>
          <w:color w:val="auto"/>
        </w:rPr>
        <w:t xml:space="preserve">Brazil: </w:t>
      </w:r>
      <w:r>
        <w:rPr>
          <w:rFonts w:ascii="Arial" w:cs="Arial" w:eastAsia="Arial" w:hAnsi="Arial"/>
          <w:sz w:val="11"/>
          <w:szCs w:val="11"/>
          <w:color w:val="auto"/>
        </w:rPr>
        <w:t>Chevron holds working interests ranging from 30 percent to 52 percent in three deepwater blocks in the</w:t>
      </w:r>
    </w:p>
    <w:p>
      <w:pPr>
        <w:spacing w:after="0" w:line="40" w:lineRule="exact"/>
        <w:rPr>
          <w:sz w:val="20"/>
          <w:szCs w:val="20"/>
          <w:color w:val="auto"/>
        </w:rPr>
      </w:pPr>
    </w:p>
    <w:p>
      <w:pPr>
        <w:ind w:left="5060"/>
        <w:spacing w:after="0"/>
        <w:rPr>
          <w:sz w:val="20"/>
          <w:szCs w:val="20"/>
          <w:color w:val="auto"/>
        </w:rPr>
      </w:pPr>
      <w:r>
        <w:rPr>
          <w:rFonts w:ascii="Arial" w:cs="Arial" w:eastAsia="Arial" w:hAnsi="Arial"/>
          <w:sz w:val="11"/>
          <w:szCs w:val="11"/>
          <w:color w:val="auto"/>
        </w:rPr>
        <w:t>Campos Basin. Chevron also holds a 20 percent nonoperated working interest in one block in the Santos Basin.</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None of these blocks had production in 2008.</w:t>
      </w:r>
    </w:p>
    <w:p>
      <w:pPr>
        <w:spacing w:after="0" w:line="150" w:lineRule="exact"/>
        <w:rPr>
          <w:sz w:val="20"/>
          <w:szCs w:val="20"/>
          <w:color w:val="auto"/>
        </w:rPr>
      </w:pPr>
    </w:p>
    <w:p>
      <w:pPr>
        <w:ind w:left="5060" w:right="200"/>
        <w:spacing w:after="0" w:line="308" w:lineRule="auto"/>
        <w:rPr>
          <w:sz w:val="20"/>
          <w:szCs w:val="20"/>
          <w:color w:val="auto"/>
        </w:rPr>
      </w:pPr>
      <w:r>
        <w:rPr>
          <w:rFonts w:ascii="Arial" w:cs="Arial" w:eastAsia="Arial" w:hAnsi="Arial"/>
          <w:sz w:val="11"/>
          <w:szCs w:val="11"/>
          <w:color w:val="auto"/>
        </w:rPr>
        <w:t>In Block BC-4, located in the Campos Basin, the company is the operator and has a 52 percent interest in the Frade Field, which is under development as a subsea production design. Proved undeveloped reserves were recorded for the first time in 2005. Partial reclassification to the proved-developed category is scheduled upon production start-up in 2009. Estimated maximum total production of 87,000 oil-equivalent barrels per day is anticipated in 2011. The concession that includes the Frade project expires in 2025.</w:t>
      </w:r>
    </w:p>
    <w:p>
      <w:pPr>
        <w:spacing w:after="0" w:line="111" w:lineRule="exact"/>
        <w:rPr>
          <w:sz w:val="20"/>
          <w:szCs w:val="20"/>
          <w:color w:val="auto"/>
        </w:rPr>
      </w:pPr>
    </w:p>
    <w:p>
      <w:pPr>
        <w:ind w:left="5060" w:right="100"/>
        <w:spacing w:after="0" w:line="256" w:lineRule="auto"/>
        <w:rPr>
          <w:sz w:val="20"/>
          <w:szCs w:val="20"/>
          <w:color w:val="auto"/>
        </w:rPr>
      </w:pPr>
      <w:r>
        <w:rPr>
          <w:rFonts w:ascii="Arial" w:cs="Arial" w:eastAsia="Arial" w:hAnsi="Arial"/>
          <w:sz w:val="13"/>
          <w:szCs w:val="13"/>
          <w:color w:val="auto"/>
        </w:rPr>
        <w:t>In the partner-operated Campos Basin Block BC-20, two areas — 38 percent-owned Papa-Terra and 30 percent-owned Maromba — were retained for development following the end of the exploration phase of this block. Evaluation of design options continued into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2009. At the end of 2008, proved reserves had not been recognized for these projects.</w:t>
      </w:r>
    </w:p>
    <w:p>
      <w:pPr>
        <w:spacing w:after="0" w:line="91"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In the Santos basin, evaluation of investment options continued into 2009 for the 20 percent-owned and partner-operated Atlanta and Oliva fields. At the end of 2008, proved reserves had not been recognized.</w:t>
      </w:r>
    </w:p>
    <w:p>
      <w:pPr>
        <w:spacing w:after="0" w:line="57" w:lineRule="exact"/>
        <w:rPr>
          <w:sz w:val="20"/>
          <w:szCs w:val="20"/>
          <w:color w:val="auto"/>
        </w:rPr>
      </w:pPr>
    </w:p>
    <w:p>
      <w:pPr>
        <w:jc w:val="both"/>
        <w:ind w:left="460" w:right="40"/>
        <w:spacing w:after="0" w:line="260" w:lineRule="auto"/>
        <w:rPr>
          <w:sz w:val="20"/>
          <w:szCs w:val="20"/>
          <w:color w:val="auto"/>
        </w:rPr>
      </w:pPr>
      <w:r>
        <w:rPr>
          <w:rFonts w:ascii="Arial" w:cs="Arial" w:eastAsia="Arial" w:hAnsi="Arial"/>
          <w:sz w:val="13"/>
          <w:szCs w:val="13"/>
          <w:b w:val="1"/>
          <w:bCs w:val="1"/>
          <w:color w:val="auto"/>
        </w:rPr>
        <w:t xml:space="preserve">Colombia: </w:t>
      </w:r>
      <w:r>
        <w:rPr>
          <w:rFonts w:ascii="Arial" w:cs="Arial" w:eastAsia="Arial" w:hAnsi="Arial"/>
          <w:sz w:val="13"/>
          <w:szCs w:val="13"/>
          <w:color w:val="auto"/>
        </w:rPr>
        <w:t>The company operates the offshore Chuchupa and the onshore Ballena and Riohacha natural gas fields as part of the Guajira Association contract. In exchange, Chevron receives 43 percent of</w:t>
      </w:r>
      <w:r>
        <w:rPr>
          <w:rFonts w:ascii="Arial" w:cs="Arial" w:eastAsia="Arial" w:hAnsi="Arial"/>
          <w:sz w:val="13"/>
          <w:szCs w:val="13"/>
          <w:b w:val="1"/>
          <w:bCs w:val="1"/>
          <w:color w:val="auto"/>
        </w:rPr>
        <w:t xml:space="preserve"> </w:t>
      </w:r>
      <w:r>
        <w:rPr>
          <w:rFonts w:ascii="Arial" w:cs="Arial" w:eastAsia="Arial" w:hAnsi="Arial"/>
          <w:sz w:val="13"/>
          <w:szCs w:val="13"/>
          <w:color w:val="auto"/>
        </w:rPr>
        <w:t>the production for the remaining life of each field and a variable production volume from a fixed-fee Build-Operate-Maintain-Transfer agreement based on prior Chuchupa capital contributions. Daily net production averaged 209 million cubic feet of natural gas in 2008.</w:t>
      </w:r>
    </w:p>
    <w:p>
      <w:pPr>
        <w:spacing w:after="0" w:line="62" w:lineRule="exact"/>
        <w:rPr>
          <w:sz w:val="20"/>
          <w:szCs w:val="20"/>
          <w:color w:val="auto"/>
        </w:rPr>
      </w:pPr>
    </w:p>
    <w:p>
      <w:pPr>
        <w:ind w:left="460" w:right="140"/>
        <w:spacing w:after="0" w:line="291" w:lineRule="auto"/>
        <w:rPr>
          <w:sz w:val="20"/>
          <w:szCs w:val="20"/>
          <w:color w:val="auto"/>
        </w:rPr>
      </w:pPr>
      <w:r>
        <w:rPr>
          <w:rFonts w:ascii="Arial" w:cs="Arial" w:eastAsia="Arial" w:hAnsi="Arial"/>
          <w:sz w:val="12"/>
          <w:szCs w:val="12"/>
          <w:b w:val="1"/>
          <w:bCs w:val="1"/>
          <w:color w:val="auto"/>
        </w:rPr>
        <w:t xml:space="preserve">Trinidad and Tobago: </w:t>
      </w:r>
      <w:r>
        <w:rPr>
          <w:rFonts w:ascii="Arial" w:cs="Arial" w:eastAsia="Arial" w:hAnsi="Arial"/>
          <w:sz w:val="12"/>
          <w:szCs w:val="12"/>
          <w:color w:val="auto"/>
        </w:rPr>
        <w:t>Company interests include 50 percent ownership in four partner-operated blocks in the East Coast Marine Area offshore Trinidad, which includes the Dolphin and Dolphin Deep</w:t>
      </w:r>
      <w:r>
        <w:rPr>
          <w:rFonts w:ascii="Arial" w:cs="Arial" w:eastAsia="Arial" w:hAnsi="Arial"/>
          <w:sz w:val="12"/>
          <w:szCs w:val="12"/>
          <w:b w:val="1"/>
          <w:bCs w:val="1"/>
          <w:color w:val="auto"/>
        </w:rPr>
        <w:t xml:space="preserve"> </w:t>
      </w:r>
      <w:r>
        <w:rPr>
          <w:rFonts w:ascii="Arial" w:cs="Arial" w:eastAsia="Arial" w:hAnsi="Arial"/>
          <w:sz w:val="12"/>
          <w:szCs w:val="12"/>
          <w:color w:val="auto"/>
        </w:rPr>
        <w:t>producing natural-gas fields and the Starfish discovery. Chevron also holds a 50 percent operated interest in the Manatee area of Block 6d. Net production in 2008 averaged 189 million cubic feet of natural gas per day. Incremental production associated with a new domestic sales agreement is scheduled to commence at Dolphin in third quarter 2009.</w:t>
      </w:r>
    </w:p>
    <w:p>
      <w:pPr>
        <w:spacing w:after="0" w:line="7" w:lineRule="exact"/>
        <w:rPr>
          <w:sz w:val="20"/>
          <w:szCs w:val="20"/>
          <w:color w:val="auto"/>
        </w:rPr>
      </w:pPr>
    </w:p>
    <w:p>
      <w:pPr>
        <w:jc w:val="both"/>
        <w:ind w:left="460" w:right="160"/>
        <w:spacing w:after="0" w:line="291" w:lineRule="auto"/>
        <w:rPr>
          <w:sz w:val="20"/>
          <w:szCs w:val="20"/>
          <w:color w:val="auto"/>
        </w:rPr>
      </w:pPr>
      <w:r>
        <w:rPr>
          <w:rFonts w:ascii="Arial" w:cs="Arial" w:eastAsia="Arial" w:hAnsi="Arial"/>
          <w:sz w:val="12"/>
          <w:szCs w:val="12"/>
          <w:b w:val="1"/>
          <w:bCs w:val="1"/>
          <w:color w:val="auto"/>
        </w:rPr>
        <w:t xml:space="preserve">Venezuela: </w:t>
      </w:r>
      <w:r>
        <w:rPr>
          <w:rFonts w:ascii="Arial" w:cs="Arial" w:eastAsia="Arial" w:hAnsi="Arial"/>
          <w:sz w:val="12"/>
          <w:szCs w:val="12"/>
          <w:color w:val="auto"/>
        </w:rPr>
        <w:t>The company operates in two exploratory blocks offshore Plataforma Deltana, with working interests of 60 percent in Block 2 and 100 percent in Block 3. Chevron also holds a 100 percent</w:t>
      </w:r>
      <w:r>
        <w:rPr>
          <w:rFonts w:ascii="Arial" w:cs="Arial" w:eastAsia="Arial" w:hAnsi="Arial"/>
          <w:sz w:val="12"/>
          <w:szCs w:val="12"/>
          <w:b w:val="1"/>
          <w:bCs w:val="1"/>
          <w:color w:val="auto"/>
        </w:rPr>
        <w:t xml:space="preserve"> </w:t>
      </w:r>
      <w:r>
        <w:rPr>
          <w:rFonts w:ascii="Arial" w:cs="Arial" w:eastAsia="Arial" w:hAnsi="Arial"/>
          <w:sz w:val="12"/>
          <w:szCs w:val="12"/>
          <w:color w:val="auto"/>
        </w:rPr>
        <w:t>operated interest in the Cardon III exploratory block, located north of Lake Maracaibo in the Gulf of Venezuela. Petróleos de Venezuela, S.A. (PDVSA), Venezuela’s national crude-oil and natural-gas company, has the option to increase its ownership in each of the three company-operated blocks up to 35 percent upon declaration of commerciality.</w:t>
      </w:r>
    </w:p>
    <w:p>
      <w:pPr>
        <w:spacing w:after="0" w:line="50"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A conceptual development plan has been completed for the Loran Field in Block 2. Loran is projected to provide the initial supply of natural gas for Delta Caribe LNG (DCLNG) Train 1, Venezuela’s first LNG train. A DCLNG framework agreement was signed in September 2008, which provides Chevron with a 10 percent nonoperated interest in the first train and the associated offshore pipeline. An exploration well is planned in the Cardon III block in 2009. At the end of 2008, proved reserves had not been recognized in these exploratory blocks.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Chevron also holds interest in two affiliates located in western Venezuela and in one affiliate in the Orinoco Belt. Refer to page 23 for a discussion of affiliate operations in Venezuela.</w:t>
      </w: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520"/>
        <w:spacing w:after="0" w:line="272" w:lineRule="auto"/>
        <w:rPr>
          <w:sz w:val="20"/>
          <w:szCs w:val="20"/>
          <w:color w:val="auto"/>
        </w:rPr>
      </w:pPr>
      <w:r>
        <w:rPr>
          <w:rFonts w:ascii="Arial" w:cs="Arial" w:eastAsia="Arial" w:hAnsi="Arial"/>
          <w:sz w:val="12"/>
          <w:szCs w:val="12"/>
          <w:b w:val="1"/>
          <w:bCs w:val="1"/>
          <w:color w:val="auto"/>
        </w:rPr>
        <w:t xml:space="preserve">Canada: </w:t>
      </w:r>
      <w:r>
        <w:rPr>
          <w:rFonts w:ascii="Arial" w:cs="Arial" w:eastAsia="Arial" w:hAnsi="Arial"/>
          <w:sz w:val="12"/>
          <w:szCs w:val="12"/>
          <w:color w:val="auto"/>
        </w:rPr>
        <w:t>Company activities in Canada include nonoperated working interests of</w:t>
      </w:r>
      <w:r>
        <w:rPr>
          <w:rFonts w:ascii="Arial" w:cs="Arial" w:eastAsia="Arial" w:hAnsi="Arial"/>
          <w:sz w:val="12"/>
          <w:szCs w:val="12"/>
          <w:b w:val="1"/>
          <w:bCs w:val="1"/>
          <w:color w:val="auto"/>
        </w:rPr>
        <w:t xml:space="preserve"> </w:t>
      </w:r>
      <w:r>
        <w:rPr>
          <w:rFonts w:ascii="Arial" w:cs="Arial" w:eastAsia="Arial" w:hAnsi="Arial"/>
          <w:sz w:val="12"/>
          <w:szCs w:val="12"/>
          <w:color w:val="auto"/>
        </w:rPr>
        <w:t>27 percent in the Hibernia and Hebron fields offshore eastern Canada and 20 percent in the Athabasca Oil Sands Project (AOSP), and operated interests of 60 percent in the Ells River “In Situ” Oil Sands Project. Excluding volumes mined at AOSP, average net oil-equivalent production during 2008 was 37,000 barrels per day, composed of 36,000 barrels of crude oil and natural gas liquids and 4 million cubic feet of natural gas. Substantially all of this production was from the Hibernia Field, where a development plan is being formulated for a proposed Hibernia South Extension. At AOSP, the company’s share of mined bitumen (for upgrading into synthetic crude oil) averaged 27,000 barrels per day during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-984250</wp:posOffset>
            </wp:positionV>
            <wp:extent cx="2385695" cy="1781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5695" cy="1781810"/>
                    </a:xfrm>
                    <a:prstGeom prst="rect">
                      <a:avLst/>
                    </a:prstGeom>
                    <a:noFill/>
                  </pic:spPr>
                </pic:pic>
              </a:graphicData>
            </a:graphic>
          </wp:anchor>
        </w:drawing>
      </w:r>
    </w:p>
    <w:p>
      <w:pPr>
        <w:spacing w:after="0" w:line="111"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For Hebron, agreements were reached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2008 with the provincial government of Newfoundland and Labrador that allow development activities to begin. As of the end of 2008, the company had not recognized proved reserves for this project.</w:t>
      </w:r>
    </w:p>
    <w:p>
      <w:pPr>
        <w:spacing w:after="0" w:line="114"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At AOSP, the first phase of an expansion project is under way that is designed to produce an additional 100,000 barrels per day of mined bitumen. The expansion would increase total AOSP design capacity to more than 255,000 barrels per day in late 2010. The projected cost of this expansion is $13.7 billion.</w:t>
      </w:r>
    </w:p>
    <w:p>
      <w:pPr>
        <w:spacing w:after="0" w:line="61" w:lineRule="exact"/>
        <w:rPr>
          <w:sz w:val="20"/>
          <w:szCs w:val="20"/>
          <w:color w:val="auto"/>
        </w:rPr>
      </w:pPr>
    </w:p>
    <w:p>
      <w:pPr>
        <w:ind w:left="460" w:right="20"/>
        <w:spacing w:after="0" w:line="325" w:lineRule="auto"/>
        <w:rPr>
          <w:sz w:val="20"/>
          <w:szCs w:val="20"/>
          <w:color w:val="auto"/>
        </w:rPr>
      </w:pPr>
      <w:r>
        <w:rPr>
          <w:rFonts w:ascii="Arial" w:cs="Arial" w:eastAsia="Arial" w:hAnsi="Arial"/>
          <w:sz w:val="11"/>
          <w:szCs w:val="11"/>
          <w:color w:val="auto"/>
        </w:rPr>
        <w:t>The Ells River project consists of heavy oil leases of more than 85,000 acres (344 sq km). The area contains significant volumes with potential for recovery by using Steam Assisted Gravity Drainage, an industry-proven technology that employs steam and horizontal drilling to extract the bitumen through wells rather than through mining operations. During 2008, the company completed an appraisal drilling program and a seismic survey. An additional seismic program started in late 2008 and is expected to be completed in March 2009. At the end of 2008, proved reserves had not been recognized.</w:t>
      </w:r>
    </w:p>
    <w:p>
      <w:pPr>
        <w:spacing w:after="0" w:line="34" w:lineRule="exact"/>
        <w:rPr>
          <w:sz w:val="20"/>
          <w:szCs w:val="20"/>
          <w:color w:val="auto"/>
        </w:rPr>
      </w:pPr>
    </w:p>
    <w:p>
      <w:pPr>
        <w:ind w:left="460" w:right="20"/>
        <w:spacing w:after="0" w:line="253" w:lineRule="auto"/>
        <w:rPr>
          <w:sz w:val="20"/>
          <w:szCs w:val="20"/>
          <w:color w:val="auto"/>
        </w:rPr>
      </w:pPr>
      <w:r>
        <w:rPr>
          <w:rFonts w:ascii="Arial" w:cs="Arial" w:eastAsia="Arial" w:hAnsi="Arial"/>
          <w:sz w:val="13"/>
          <w:szCs w:val="13"/>
          <w:color w:val="auto"/>
        </w:rPr>
        <w:t>The company also holds exploration leases in the Mackenzie Delta and Beaufort Sea region, including a 33 percent nonoperated working interest in the offshore Amauligak discovery. Three exploration wells were drilled on company leases in the Mackenzie Delta region in 2008. Drilling on three additional wells in the Mackenzie Delta is expected to be completed in second quarter 2009 and assessment of development concept alternatives for Amauligak continued. The company holds additional exploration acreage in eastern Labrador and the Orphan Basin. At the end of 2008, proved reserves had not been recognized for any of these areas.</w:t>
      </w:r>
    </w:p>
    <w:p>
      <w:pPr>
        <w:spacing w:after="0" w:line="67" w:lineRule="exact"/>
        <w:rPr>
          <w:sz w:val="20"/>
          <w:szCs w:val="20"/>
          <w:color w:val="auto"/>
        </w:rPr>
      </w:pPr>
    </w:p>
    <w:p>
      <w:pPr>
        <w:ind w:left="460" w:right="120"/>
        <w:spacing w:after="0" w:line="273" w:lineRule="auto"/>
        <w:rPr>
          <w:sz w:val="20"/>
          <w:szCs w:val="20"/>
          <w:color w:val="auto"/>
        </w:rPr>
      </w:pPr>
      <w:r>
        <w:rPr>
          <w:rFonts w:ascii="Arial" w:cs="Arial" w:eastAsia="Arial" w:hAnsi="Arial"/>
          <w:sz w:val="13"/>
          <w:szCs w:val="13"/>
          <w:b w:val="1"/>
          <w:bCs w:val="1"/>
          <w:color w:val="auto"/>
        </w:rPr>
        <w:t xml:space="preserve">Greenland: </w:t>
      </w:r>
      <w:r>
        <w:rPr>
          <w:rFonts w:ascii="Arial" w:cs="Arial" w:eastAsia="Arial" w:hAnsi="Arial"/>
          <w:sz w:val="13"/>
          <w:szCs w:val="13"/>
          <w:color w:val="auto"/>
        </w:rPr>
        <w:t>Chevron has a 29 percent nonoperated working interest in an exploration license in Block 4 offshore West Greenland in the Baffin Basin. A 2-D seismic survey was completed in 2008, and</w:t>
      </w:r>
      <w:r>
        <w:rPr>
          <w:rFonts w:ascii="Arial" w:cs="Arial" w:eastAsia="Arial" w:hAnsi="Arial"/>
          <w:sz w:val="13"/>
          <w:szCs w:val="13"/>
          <w:b w:val="1"/>
          <w:bCs w:val="1"/>
          <w:color w:val="auto"/>
        </w:rPr>
        <w:t xml:space="preserve"> </w:t>
      </w:r>
      <w:r>
        <w:rPr>
          <w:rFonts w:ascii="Arial" w:cs="Arial" w:eastAsia="Arial" w:hAnsi="Arial"/>
          <w:sz w:val="13"/>
          <w:szCs w:val="13"/>
          <w:color w:val="auto"/>
        </w:rPr>
        <w:t>interpretation of the data is expected to occur in 2009.</w:t>
      </w:r>
    </w:p>
    <w:p>
      <w:pPr>
        <w:spacing w:after="0" w:line="192"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940" w:right="220"/>
        <w:spacing w:after="0" w:line="255" w:lineRule="auto"/>
        <w:rPr>
          <w:sz w:val="20"/>
          <w:szCs w:val="20"/>
          <w:color w:val="auto"/>
        </w:rPr>
      </w:pPr>
      <w:r>
        <w:rPr>
          <w:rFonts w:ascii="Arial" w:cs="Arial" w:eastAsia="Arial" w:hAnsi="Arial"/>
          <w:sz w:val="13"/>
          <w:szCs w:val="13"/>
          <w:b w:val="1"/>
          <w:bCs w:val="1"/>
          <w:color w:val="auto"/>
        </w:rPr>
        <w:t xml:space="preserve">Denmark: </w:t>
      </w:r>
      <w:r>
        <w:rPr>
          <w:rFonts w:ascii="Arial" w:cs="Arial" w:eastAsia="Arial" w:hAnsi="Arial"/>
          <w:sz w:val="13"/>
          <w:szCs w:val="13"/>
          <w:color w:val="auto"/>
        </w:rPr>
        <w:t>Chevron has a 15 percent working interest in the partner-operated Danish Underground Consortium</w:t>
      </w:r>
      <w:r>
        <w:rPr>
          <w:rFonts w:ascii="Arial" w:cs="Arial" w:eastAsia="Arial" w:hAnsi="Arial"/>
          <w:sz w:val="13"/>
          <w:szCs w:val="13"/>
          <w:b w:val="1"/>
          <w:bCs w:val="1"/>
          <w:color w:val="auto"/>
        </w:rPr>
        <w:t xml:space="preserve"> </w:t>
      </w:r>
      <w:r>
        <w:rPr>
          <w:rFonts w:ascii="Arial" w:cs="Arial" w:eastAsia="Arial" w:hAnsi="Arial"/>
          <w:sz w:val="13"/>
          <w:szCs w:val="13"/>
          <w:color w:val="auto"/>
        </w:rPr>
        <w:t>(DUC), which produces crude oil and natural gas from 15 fields in the Danish North Sea. Net oil-equivalent production in 2008 from DUC averaged 61,000 barrels per day, composed of 37,000 barrels of crude oil and 142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-394970</wp:posOffset>
            </wp:positionV>
            <wp:extent cx="1775460" cy="2135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5460" cy="2135505"/>
                    </a:xfrm>
                    <a:prstGeom prst="rect">
                      <a:avLst/>
                    </a:prstGeom>
                    <a:noFill/>
                  </pic:spPr>
                </pic:pic>
              </a:graphicData>
            </a:graphic>
          </wp:anchor>
        </w:drawing>
      </w:r>
    </w:p>
    <w:p>
      <w:pPr>
        <w:spacing w:after="0" w:line="113" w:lineRule="exact"/>
        <w:rPr>
          <w:sz w:val="20"/>
          <w:szCs w:val="20"/>
          <w:color w:val="auto"/>
        </w:rPr>
      </w:pPr>
    </w:p>
    <w:p>
      <w:pPr>
        <w:ind w:left="4940" w:right="20"/>
        <w:spacing w:after="0" w:line="283" w:lineRule="auto"/>
        <w:rPr>
          <w:sz w:val="20"/>
          <w:szCs w:val="20"/>
          <w:color w:val="auto"/>
        </w:rPr>
      </w:pPr>
      <w:r>
        <w:rPr>
          <w:rFonts w:ascii="Arial" w:cs="Arial" w:eastAsia="Arial" w:hAnsi="Arial"/>
          <w:sz w:val="12"/>
          <w:szCs w:val="12"/>
          <w:b w:val="1"/>
          <w:bCs w:val="1"/>
          <w:color w:val="auto"/>
        </w:rPr>
        <w:t xml:space="preserve">Faroe Islands: </w:t>
      </w:r>
      <w:r>
        <w:rPr>
          <w:rFonts w:ascii="Arial" w:cs="Arial" w:eastAsia="Arial" w:hAnsi="Arial"/>
          <w:sz w:val="12"/>
          <w:szCs w:val="12"/>
          <w:color w:val="auto"/>
        </w:rPr>
        <w:t>Chevron operates and holds a 40 percent interest in five offshore exploratory blocks. During 2008,</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acquired additional 2-D seismic data for an area located near the Rosebank/Lochnagar discovery offshore the United Kingdom. Engineering and geological evaluation of the seismic data continued into early 2009. As of the end of 2008, proved reserves had not been recognized.</w:t>
      </w:r>
    </w:p>
    <w:p>
      <w:pPr>
        <w:spacing w:after="0" w:line="118" w:lineRule="exact"/>
        <w:rPr>
          <w:sz w:val="20"/>
          <w:szCs w:val="20"/>
          <w:color w:val="auto"/>
        </w:rPr>
      </w:pPr>
    </w:p>
    <w:p>
      <w:pPr>
        <w:ind w:left="4940" w:right="120"/>
        <w:spacing w:after="0" w:line="329" w:lineRule="auto"/>
        <w:rPr>
          <w:sz w:val="20"/>
          <w:szCs w:val="20"/>
          <w:color w:val="auto"/>
        </w:rPr>
      </w:pPr>
      <w:r>
        <w:rPr>
          <w:rFonts w:ascii="Arial" w:cs="Arial" w:eastAsia="Arial" w:hAnsi="Arial"/>
          <w:sz w:val="11"/>
          <w:szCs w:val="11"/>
          <w:b w:val="1"/>
          <w:bCs w:val="1"/>
          <w:color w:val="auto"/>
        </w:rPr>
        <w:t xml:space="preserve">Netherlands: </w:t>
      </w:r>
      <w:r>
        <w:rPr>
          <w:rFonts w:ascii="Arial" w:cs="Arial" w:eastAsia="Arial" w:hAnsi="Arial"/>
          <w:sz w:val="11"/>
          <w:szCs w:val="11"/>
          <w:color w:val="auto"/>
        </w:rPr>
        <w:t>Chevron is the operator and holds interests ranging from 34 percent to 80 percent in nine blocks in</w:t>
      </w:r>
      <w:r>
        <w:rPr>
          <w:rFonts w:ascii="Arial" w:cs="Arial" w:eastAsia="Arial" w:hAnsi="Arial"/>
          <w:sz w:val="11"/>
          <w:szCs w:val="11"/>
          <w:b w:val="1"/>
          <w:bCs w:val="1"/>
          <w:color w:val="auto"/>
        </w:rPr>
        <w:t xml:space="preserve"> </w:t>
      </w:r>
      <w:r>
        <w:rPr>
          <w:rFonts w:ascii="Arial" w:cs="Arial" w:eastAsia="Arial" w:hAnsi="Arial"/>
          <w:sz w:val="11"/>
          <w:szCs w:val="11"/>
          <w:color w:val="auto"/>
        </w:rPr>
        <w:t>the Dutch sector of the North Sea. In 2008, the company’s net oil-equivalent production from the five producing blocks was 9,000 barrels per day, composed of 2,000 barrels of crude oil and 40 million cubic feet of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right="140"/>
        <w:spacing w:after="0" w:line="316" w:lineRule="auto"/>
        <w:rPr>
          <w:sz w:val="20"/>
          <w:szCs w:val="20"/>
          <w:color w:val="auto"/>
        </w:rPr>
      </w:pPr>
      <w:r>
        <w:rPr>
          <w:rFonts w:ascii="Arial" w:cs="Arial" w:eastAsia="Arial" w:hAnsi="Arial"/>
          <w:sz w:val="12"/>
          <w:szCs w:val="12"/>
          <w:b w:val="1"/>
          <w:bCs w:val="1"/>
          <w:color w:val="auto"/>
        </w:rPr>
        <w:t xml:space="preserve">Norway: </w:t>
      </w:r>
      <w:r>
        <w:rPr>
          <w:rFonts w:ascii="Arial" w:cs="Arial" w:eastAsia="Arial" w:hAnsi="Arial"/>
          <w:sz w:val="12"/>
          <w:szCs w:val="12"/>
          <w:color w:val="auto"/>
        </w:rPr>
        <w:t>The company holds an 8 percent interest in the partner-operated Draugen Field. The company’s net production averaged 6,000 barrels of oil-equivalent per day during 2008. In the 40 percent-owned and partner-operated PL397 area in the Barents Sea, additional 3-D seismic information was obtained in 2008, with evaluation of the data continuing into 2009.</w:t>
      </w:r>
    </w:p>
    <w:p>
      <w:pPr>
        <w:spacing w:after="0" w:line="108" w:lineRule="exact"/>
        <w:rPr>
          <w:sz w:val="20"/>
          <w:szCs w:val="20"/>
          <w:color w:val="auto"/>
        </w:rPr>
      </w:pPr>
    </w:p>
    <w:p>
      <w:pPr>
        <w:ind w:left="460" w:right="100"/>
        <w:spacing w:after="0" w:line="316" w:lineRule="auto"/>
        <w:rPr>
          <w:sz w:val="20"/>
          <w:szCs w:val="20"/>
          <w:color w:val="auto"/>
        </w:rPr>
      </w:pPr>
      <w:r>
        <w:rPr>
          <w:rFonts w:ascii="Arial" w:cs="Arial" w:eastAsia="Arial" w:hAnsi="Arial"/>
          <w:sz w:val="12"/>
          <w:szCs w:val="12"/>
          <w:b w:val="1"/>
          <w:bCs w:val="1"/>
          <w:color w:val="auto"/>
        </w:rPr>
        <w:t xml:space="preserve">United Kingdom: </w:t>
      </w:r>
      <w:r>
        <w:rPr>
          <w:rFonts w:ascii="Arial" w:cs="Arial" w:eastAsia="Arial" w:hAnsi="Arial"/>
          <w:sz w:val="12"/>
          <w:szCs w:val="12"/>
          <w:color w:val="auto"/>
        </w:rPr>
        <w:t>The company’s average net oil-equivalent production in 2008 from 11 offshore fields was 106,000 barrels per day, composed of 71,000 barrels of crude oil and natural gas liquids and</w:t>
      </w:r>
      <w:r>
        <w:rPr>
          <w:rFonts w:ascii="Arial" w:cs="Arial" w:eastAsia="Arial" w:hAnsi="Arial"/>
          <w:sz w:val="12"/>
          <w:szCs w:val="12"/>
          <w:b w:val="1"/>
          <w:bCs w:val="1"/>
          <w:color w:val="auto"/>
        </w:rPr>
        <w:t xml:space="preserve"> </w:t>
      </w:r>
      <w:r>
        <w:rPr>
          <w:rFonts w:ascii="Arial" w:cs="Arial" w:eastAsia="Arial" w:hAnsi="Arial"/>
          <w:sz w:val="12"/>
          <w:szCs w:val="12"/>
          <w:color w:val="auto"/>
        </w:rPr>
        <w:t>208 million cubic feet of natural gas. Most of the production was from the 85 percent-owned and operated Captain Field and the 32 percent-owned and jointly operated Britannia Field.</w:t>
      </w:r>
    </w:p>
    <w:p>
      <w:pPr>
        <w:spacing w:after="0" w:line="112" w:lineRule="exact"/>
        <w:rPr>
          <w:sz w:val="20"/>
          <w:szCs w:val="20"/>
          <w:color w:val="auto"/>
        </w:rPr>
      </w:pPr>
    </w:p>
    <w:p>
      <w:pPr>
        <w:ind w:left="460" w:right="360"/>
        <w:spacing w:after="0" w:line="267" w:lineRule="auto"/>
        <w:rPr>
          <w:sz w:val="20"/>
          <w:szCs w:val="20"/>
          <w:color w:val="auto"/>
        </w:rPr>
      </w:pPr>
      <w:r>
        <w:rPr>
          <w:rFonts w:ascii="Arial" w:cs="Arial" w:eastAsia="Arial" w:hAnsi="Arial"/>
          <w:sz w:val="13"/>
          <w:szCs w:val="13"/>
          <w:color w:val="auto"/>
        </w:rPr>
        <w:t>Two partner-operated satellite fields of Britannia commenced production in 2008 — the 17 percent-owned Callanish Field in the second quarter and the 25 percent-owned Brodgar Field in the third quarter.</w:t>
      </w:r>
    </w:p>
    <w:p>
      <w:pPr>
        <w:spacing w:after="0" w:line="138" w:lineRule="exact"/>
        <w:rPr>
          <w:sz w:val="20"/>
          <w:szCs w:val="20"/>
          <w:color w:val="auto"/>
        </w:rPr>
      </w:pPr>
    </w:p>
    <w:p>
      <w:pPr>
        <w:ind w:left="460" w:right="40"/>
        <w:spacing w:after="0" w:line="288" w:lineRule="auto"/>
        <w:rPr>
          <w:sz w:val="20"/>
          <w:szCs w:val="20"/>
          <w:color w:val="auto"/>
        </w:rPr>
      </w:pPr>
      <w:r>
        <w:rPr>
          <w:rFonts w:ascii="Arial" w:cs="Arial" w:eastAsia="Arial" w:hAnsi="Arial"/>
          <w:sz w:val="12"/>
          <w:szCs w:val="12"/>
          <w:color w:val="auto"/>
        </w:rPr>
        <w:t>At the 40 percent-owned and operated Rosebank/Lochnagar area northwest of the Shetland Islands, an exploration well in an adjacent structure is expected to be completed in second-quarter 2009 and an appraisal well is planned for later in the year. Evaluation of development alternatives continued during 2008 for the 19 percent-owned and partner-operated Clair Phase 2 and 10 percent-owned and partner-operated Laggan/Tormore projects. As of the end of 2008, proved reserves had not been recognized for any of these three exploration areas.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Equity Affiliate Operations</w:t>
      </w:r>
    </w:p>
    <w:p>
      <w:pPr>
        <w:spacing w:after="0" w:line="168" w:lineRule="exact"/>
        <w:rPr>
          <w:sz w:val="20"/>
          <w:szCs w:val="20"/>
          <w:color w:val="auto"/>
        </w:rPr>
      </w:pPr>
    </w:p>
    <w:p>
      <w:pPr>
        <w:ind w:left="460"/>
        <w:spacing w:after="0" w:line="255" w:lineRule="auto"/>
        <w:rPr>
          <w:sz w:val="20"/>
          <w:szCs w:val="20"/>
          <w:color w:val="auto"/>
        </w:rPr>
      </w:pPr>
      <w:r>
        <w:rPr>
          <w:rFonts w:ascii="Arial" w:cs="Arial" w:eastAsia="Arial" w:hAnsi="Arial"/>
          <w:sz w:val="13"/>
          <w:szCs w:val="13"/>
          <w:b w:val="1"/>
          <w:bCs w:val="1"/>
          <w:color w:val="auto"/>
        </w:rPr>
        <w:t xml:space="preserve">Angola: </w:t>
      </w:r>
      <w:r>
        <w:rPr>
          <w:rFonts w:ascii="Arial" w:cs="Arial" w:eastAsia="Arial" w:hAnsi="Arial"/>
          <w:sz w:val="13"/>
          <w:szCs w:val="13"/>
          <w:color w:val="auto"/>
        </w:rPr>
        <w:t>In addition to the exploration and producing activities in Angola, Chevron has a 36 percent ownership interest in the Angola LNG affiliate that began construction in early 2008 of an onshore</w:t>
      </w:r>
      <w:r>
        <w:rPr>
          <w:rFonts w:ascii="Arial" w:cs="Arial" w:eastAsia="Arial" w:hAnsi="Arial"/>
          <w:sz w:val="13"/>
          <w:szCs w:val="13"/>
          <w:b w:val="1"/>
          <w:bCs w:val="1"/>
          <w:color w:val="auto"/>
        </w:rPr>
        <w:t xml:space="preserve"> </w:t>
      </w:r>
      <w:r>
        <w:rPr>
          <w:rFonts w:ascii="Arial" w:cs="Arial" w:eastAsia="Arial" w:hAnsi="Arial"/>
          <w:sz w:val="13"/>
          <w:szCs w:val="13"/>
          <w:color w:val="auto"/>
        </w:rPr>
        <w:t>natural gas liquefaction plant located in the northern part of the country. The plant is designed to process more than 1 billion cubic feet of natural gas per day. Plant start-up is scheduled for 2012. Chevron made an initial booking of proved undeveloped natural-gas reserves in 2007 for the producing operations associated with this LNG project. The life of the LNG plant is estimated to be in excess of 20 years.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8" w:right="79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right="20"/>
        <w:spacing w:after="0" w:line="260" w:lineRule="auto"/>
        <w:rPr>
          <w:sz w:val="20"/>
          <w:szCs w:val="20"/>
          <w:color w:val="auto"/>
        </w:rPr>
      </w:pPr>
      <w:r>
        <w:rPr>
          <w:rFonts w:ascii="Arial" w:cs="Arial" w:eastAsia="Arial" w:hAnsi="Arial"/>
          <w:sz w:val="13"/>
          <w:szCs w:val="13"/>
          <w:b w:val="1"/>
          <w:bCs w:val="1"/>
          <w:color w:val="auto"/>
        </w:rPr>
        <w:t xml:space="preserve">Kazakhstan: </w:t>
      </w:r>
      <w:r>
        <w:rPr>
          <w:rFonts w:ascii="Arial" w:cs="Arial" w:eastAsia="Arial" w:hAnsi="Arial"/>
          <w:sz w:val="13"/>
          <w:szCs w:val="13"/>
          <w:color w:val="auto"/>
        </w:rPr>
        <w:t>The company holds a 50 percent interest in Tengizchevroil (TCO), which operates and is developing the Tengiz and Korolev crude-oil fields, located in western Kazakhstan, under a 40-year</w:t>
      </w:r>
      <w:r>
        <w:rPr>
          <w:rFonts w:ascii="Arial" w:cs="Arial" w:eastAsia="Arial" w:hAnsi="Arial"/>
          <w:sz w:val="13"/>
          <w:szCs w:val="13"/>
          <w:b w:val="1"/>
          <w:bCs w:val="1"/>
          <w:color w:val="auto"/>
        </w:rPr>
        <w:t xml:space="preserve"> </w:t>
      </w:r>
      <w:r>
        <w:rPr>
          <w:rFonts w:ascii="Arial" w:cs="Arial" w:eastAsia="Arial" w:hAnsi="Arial"/>
          <w:sz w:val="13"/>
          <w:szCs w:val="13"/>
          <w:color w:val="auto"/>
        </w:rPr>
        <w:t>concession that expires in 2033. Chevron’s net oil-equivalent production in 2008 from these fields averaged 201,000 barrels per day, composed of 168,000 barrels of crude oil and natural gas liquids and 195 million cubic feet of natural gas.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2008, TCO completed a significant expansion composed of two integrated projects referred to as Second Generation Plant (SGP) and Sour Gas Injection (SGI). Total cost of the project was</w:t>
      </w:r>
    </w:p>
    <w:p>
      <w:pPr>
        <w:spacing w:after="0" w:line="24" w:lineRule="exact"/>
        <w:rPr>
          <w:sz w:val="20"/>
          <w:szCs w:val="20"/>
          <w:color w:val="auto"/>
        </w:rPr>
      </w:pPr>
    </w:p>
    <w:p>
      <w:pPr>
        <w:jc w:val="both"/>
        <w:ind w:left="460" w:right="80"/>
        <w:spacing w:after="0" w:line="281" w:lineRule="auto"/>
        <w:rPr>
          <w:sz w:val="20"/>
          <w:szCs w:val="20"/>
          <w:color w:val="auto"/>
        </w:rPr>
      </w:pPr>
      <w:r>
        <w:rPr>
          <w:rFonts w:ascii="Arial" w:cs="Arial" w:eastAsia="Arial" w:hAnsi="Arial"/>
          <w:sz w:val="12"/>
          <w:szCs w:val="12"/>
          <w:color w:val="auto"/>
        </w:rPr>
        <w:t>$7.4 billion. The projects increased TCO’s daily production capacity to 540,000 barrels of crude oil, 760 million cubic feet of natural gas and 46,000 barrels of natural gas liquids. The SGI facility injects approximately one-third of the sour gas separated from the crude oil back into the reservoir. The injected gas maintains higher reservoir pressure and displaces oil towards producing wells. The company recognized additional proved reserves associated with SGI in 2008. TCO is evaluating options for another expansion project based on SGI/SGP technologies.</w:t>
      </w:r>
    </w:p>
    <w:p>
      <w:pPr>
        <w:spacing w:after="0" w:line="132" w:lineRule="exact"/>
        <w:rPr>
          <w:sz w:val="20"/>
          <w:szCs w:val="20"/>
          <w:color w:val="auto"/>
        </w:rPr>
      </w:pPr>
    </w:p>
    <w:p>
      <w:pPr>
        <w:ind w:left="460" w:right="40"/>
        <w:spacing w:after="0" w:line="325" w:lineRule="auto"/>
        <w:rPr>
          <w:sz w:val="20"/>
          <w:szCs w:val="20"/>
          <w:color w:val="auto"/>
        </w:rPr>
      </w:pPr>
      <w:r>
        <w:rPr>
          <w:rFonts w:ascii="Arial" w:cs="Arial" w:eastAsia="Arial" w:hAnsi="Arial"/>
          <w:sz w:val="11"/>
          <w:szCs w:val="11"/>
          <w:color w:val="auto"/>
        </w:rPr>
        <w:t>During 2008, the majority of TCO’s production was exported through the Caspian Pipeline Consortium (CPC) pipeline that runs from Tengiz in Kazakhstan to tanker-loading facilities at Novorossiysk on the Russian coast of the Black Sea. The majority of the incremental production from SGI/SGP was moved by rail to Black Sea ports. Other export routes included shipment via tanker to Baku for transport by the BTC pipeline to Ceyhan or by rail to Black Sea ports. (Refer to “Pipelines” under “Transportation Operations” beginning on page 26 for a discussion of CPC operations.)</w:t>
      </w:r>
    </w:p>
    <w:p>
      <w:pPr>
        <w:spacing w:after="0" w:line="107" w:lineRule="exact"/>
        <w:rPr>
          <w:sz w:val="20"/>
          <w:szCs w:val="20"/>
          <w:color w:val="auto"/>
        </w:rPr>
      </w:pPr>
    </w:p>
    <w:p>
      <w:pPr>
        <w:ind w:left="460" w:right="140"/>
        <w:spacing w:after="0" w:line="283" w:lineRule="auto"/>
        <w:rPr>
          <w:sz w:val="20"/>
          <w:szCs w:val="20"/>
          <w:color w:val="auto"/>
        </w:rPr>
      </w:pPr>
      <w:r>
        <w:rPr>
          <w:rFonts w:ascii="Arial" w:cs="Arial" w:eastAsia="Arial" w:hAnsi="Arial"/>
          <w:sz w:val="12"/>
          <w:szCs w:val="12"/>
          <w:b w:val="1"/>
          <w:bCs w:val="1"/>
          <w:color w:val="auto"/>
        </w:rPr>
        <w:t xml:space="preserve">Nigeria: </w:t>
      </w:r>
      <w:r>
        <w:rPr>
          <w:rFonts w:ascii="Arial" w:cs="Arial" w:eastAsia="Arial" w:hAnsi="Arial"/>
          <w:sz w:val="12"/>
          <w:szCs w:val="12"/>
          <w:color w:val="auto"/>
        </w:rPr>
        <w:t>Chevron holds a 19 percent interest in the OKLNG Free Zone Enterprise (OKLNG) affiliate, which will operate the Olokola LNG project. OKLNG plans to build a multitrain natural gas</w:t>
      </w:r>
      <w:r>
        <w:rPr>
          <w:rFonts w:ascii="Arial" w:cs="Arial" w:eastAsia="Arial" w:hAnsi="Arial"/>
          <w:sz w:val="12"/>
          <w:szCs w:val="12"/>
          <w:b w:val="1"/>
          <w:bCs w:val="1"/>
          <w:color w:val="auto"/>
        </w:rPr>
        <w:t xml:space="preserve"> </w:t>
      </w:r>
      <w:r>
        <w:rPr>
          <w:rFonts w:ascii="Arial" w:cs="Arial" w:eastAsia="Arial" w:hAnsi="Arial"/>
          <w:sz w:val="12"/>
          <w:szCs w:val="12"/>
          <w:color w:val="auto"/>
        </w:rPr>
        <w:t>liquefaction facility and marine terminal located northwest of Escravos. The project is expected to be implemented in phases, starting with two 6.3 million-ton-per-year trains. Approximately 50 percent of the gas supplied to the plant is expected to be provided from the producing areas associated with Chevron’s joint-venture arrangement with Nigerian National Petroleum Corporation. At the end of 2008, a final investment decision had not been reached, and the company had not recognized proved reserves associated with this project.</w:t>
      </w:r>
    </w:p>
    <w:p>
      <w:pPr>
        <w:spacing w:after="0" w:line="128" w:lineRule="exact"/>
        <w:rPr>
          <w:sz w:val="20"/>
          <w:szCs w:val="20"/>
          <w:color w:val="auto"/>
        </w:rPr>
      </w:pPr>
    </w:p>
    <w:p>
      <w:pPr>
        <w:ind w:left="460" w:right="180"/>
        <w:spacing w:after="0" w:line="255" w:lineRule="auto"/>
        <w:rPr>
          <w:sz w:val="20"/>
          <w:szCs w:val="20"/>
          <w:color w:val="auto"/>
        </w:rPr>
      </w:pPr>
      <w:r>
        <w:rPr>
          <w:rFonts w:ascii="Arial" w:cs="Arial" w:eastAsia="Arial" w:hAnsi="Arial"/>
          <w:sz w:val="13"/>
          <w:szCs w:val="13"/>
          <w:b w:val="1"/>
          <w:bCs w:val="1"/>
          <w:color w:val="auto"/>
        </w:rPr>
        <w:t xml:space="preserve">Venezuela: </w:t>
      </w:r>
      <w:r>
        <w:rPr>
          <w:rFonts w:ascii="Arial" w:cs="Arial" w:eastAsia="Arial" w:hAnsi="Arial"/>
          <w:sz w:val="13"/>
          <w:szCs w:val="13"/>
          <w:color w:val="auto"/>
        </w:rPr>
        <w:t>Chevron has a 30 percent interest in the Petropiar affiliate that operates the Hamaca heavy-oil production and upgrading project located in Venezuela’s Orinoco Belt, a 39 percent interest in</w:t>
      </w:r>
      <w:r>
        <w:rPr>
          <w:rFonts w:ascii="Arial" w:cs="Arial" w:eastAsia="Arial" w:hAnsi="Arial"/>
          <w:sz w:val="13"/>
          <w:szCs w:val="13"/>
          <w:b w:val="1"/>
          <w:bCs w:val="1"/>
          <w:color w:val="auto"/>
        </w:rPr>
        <w:t xml:space="preserve"> </w:t>
      </w:r>
      <w:r>
        <w:rPr>
          <w:rFonts w:ascii="Arial" w:cs="Arial" w:eastAsia="Arial" w:hAnsi="Arial"/>
          <w:sz w:val="13"/>
          <w:szCs w:val="13"/>
          <w:color w:val="auto"/>
        </w:rPr>
        <w:t>the Petroboscan affiliate that operates the Boscan Field in the western part of the country, and a 25 percent interest in the Petroindependiente affiliate that operates the LL-652 Field in Lake Maracaibo. The company’s share of average net oil-equivalent production during 2008 from these operations was 66,000 barrels per day, composed of 62,000 barrels of crude oil and natural gas liquids and 27 million cubic feet of natural gas.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Sales of Natural Gas and Natural Gas Liquids</w:t>
      </w:r>
    </w:p>
    <w:p>
      <w:pPr>
        <w:spacing w:after="0" w:line="172" w:lineRule="exact"/>
        <w:rPr>
          <w:sz w:val="20"/>
          <w:szCs w:val="20"/>
          <w:color w:val="auto"/>
        </w:rPr>
      </w:pPr>
    </w:p>
    <w:p>
      <w:pPr>
        <w:ind w:left="460" w:right="260"/>
        <w:spacing w:after="0" w:line="325" w:lineRule="auto"/>
        <w:rPr>
          <w:sz w:val="20"/>
          <w:szCs w:val="20"/>
          <w:color w:val="auto"/>
        </w:rPr>
      </w:pPr>
      <w:r>
        <w:rPr>
          <w:rFonts w:ascii="Arial" w:cs="Arial" w:eastAsia="Arial" w:hAnsi="Arial"/>
          <w:sz w:val="11"/>
          <w:szCs w:val="11"/>
          <w:color w:val="auto"/>
        </w:rPr>
        <w:t>The company sells natural gas and natural gas liquids from its producing operations under a variety of contractual arrangements. Outside the United States, substantially all of the natural gas sales are from the company’s producing interests in Australia, Bangladesh, Kazakhstan, Indonesia, Latin America, the Philippines, Thailand and the United Kingdom. The company also makes third-party purchases and sales of natural gas in connection with its trading activities. Substantially all of the sales of natural gas liquids are from company operations in Africa, Australia and Indonesia.</w:t>
      </w:r>
    </w:p>
    <w:p>
      <w:pPr>
        <w:spacing w:after="0" w:line="111" w:lineRule="exact"/>
        <w:rPr>
          <w:sz w:val="20"/>
          <w:szCs w:val="20"/>
          <w:color w:val="auto"/>
        </w:rPr>
      </w:pPr>
    </w:p>
    <w:p>
      <w:pPr>
        <w:ind w:left="460"/>
        <w:spacing w:after="0" w:line="359" w:lineRule="auto"/>
        <w:rPr>
          <w:sz w:val="20"/>
          <w:szCs w:val="20"/>
          <w:color w:val="auto"/>
        </w:rPr>
      </w:pPr>
      <w:r>
        <w:rPr>
          <w:rFonts w:ascii="Arial" w:cs="Arial" w:eastAsia="Arial" w:hAnsi="Arial"/>
          <w:sz w:val="11"/>
          <w:szCs w:val="11"/>
          <w:color w:val="auto"/>
        </w:rPr>
        <w:t>Refer to “Selected Operating Data,” on page FS-10 in Management’s Discussion and Analysis of Financial Condition and Results of Operations, for further information on the company’s sales volumes of natural gas and natural gas liquids. Refer also to “Delivery Commitments” on page 8 for information related to the company’s delivery commitments for the sale of crude oil and natural gas.</w:t>
      </w:r>
    </w:p>
    <w:p>
      <w:pPr>
        <w:spacing w:after="0" w:line="21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Downstream — Refining, Marketing and Transportation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Refining Operations</w:t>
      </w:r>
    </w:p>
    <w:p>
      <w:pPr>
        <w:spacing w:after="0" w:line="95"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At the end of 2008, the company had a refining network capable of processing 2.1 million barrels of crude oil per day. Daily refinery inputs for 2006 through 2008 for the company and affiliate refineries were as follows:</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Petroleum Refineries: Locations, Capacities and Inputs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(Crude-unit capacities and crude-oil inputs in thousands of barrels per day; includes equity share in affiliates)</w:t>
      </w:r>
    </w:p>
    <w:p>
      <w:pPr>
        <w:spacing w:after="0" w:line="172" w:lineRule="exact"/>
        <w:rPr>
          <w:sz w:val="20"/>
          <w:szCs w:val="20"/>
          <w:color w:val="auto"/>
        </w:rPr>
      </w:pPr>
    </w:p>
    <w:tbl>
      <w:tblPr>
        <w:tblLayout w:type="fixed"/>
        <w:tblInd w:w="470" w:type="dxa"/>
        <w:tblCellMar>
          <w:top w:w="0" w:type="dxa"/>
          <w:left w:w="0" w:type="dxa"/>
          <w:bottom w:w="0" w:type="dxa"/>
          <w:right w:w="0" w:type="dxa"/>
        </w:tblCellMar>
      </w:tblPr>
      <w:tr>
        <w:trPr>
          <w:trHeight w:val="236"/>
        </w:trPr>
        <w:tc>
          <w:tcPr>
            <w:tcW w:w="120" w:type="dxa"/>
            <w:vAlign w:val="bottom"/>
            <w:tcBorders>
              <w:top w:val="single" w:sz="8" w:color="auto"/>
              <w:left w:val="single" w:sz="8" w:color="auto"/>
            </w:tcBorders>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319"/>
              <w:spacing w:after="0"/>
              <w:rPr>
                <w:sz w:val="20"/>
                <w:szCs w:val="20"/>
                <w:color w:val="auto"/>
              </w:rPr>
            </w:pPr>
            <w:r>
              <w:rPr>
                <w:rFonts w:ascii="Arial" w:cs="Arial" w:eastAsia="Arial" w:hAnsi="Arial"/>
                <w:sz w:val="10"/>
                <w:szCs w:val="10"/>
                <w:b w:val="1"/>
                <w:bCs w:val="1"/>
                <w:color w:val="auto"/>
              </w:rPr>
              <w:t>December 31, 2008</w:t>
            </w: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vMerge w:val="restart"/>
          </w:tcPr>
          <w:p>
            <w:pPr>
              <w:ind w:left="340"/>
              <w:spacing w:after="0"/>
              <w:rPr>
                <w:sz w:val="20"/>
                <w:szCs w:val="20"/>
                <w:color w:val="auto"/>
              </w:rPr>
            </w:pPr>
            <w:r>
              <w:rPr>
                <w:rFonts w:ascii="Arial" w:cs="Arial" w:eastAsia="Arial" w:hAnsi="Arial"/>
                <w:sz w:val="10"/>
                <w:szCs w:val="10"/>
                <w:b w:val="1"/>
                <w:bCs w:val="1"/>
                <w:color w:val="auto"/>
              </w:rPr>
              <w:t>Refinery Inputs</w:t>
            </w: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20" w:type="dxa"/>
            <w:vAlign w:val="bottom"/>
            <w:tcBorders>
              <w:left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jc w:val="right"/>
              <w:ind w:right="59"/>
              <w:spacing w:after="0" w:line="95" w:lineRule="exact"/>
              <w:rPr>
                <w:sz w:val="20"/>
                <w:szCs w:val="20"/>
                <w:color w:val="auto"/>
              </w:rPr>
            </w:pPr>
            <w:r>
              <w:rPr>
                <w:rFonts w:ascii="Arial" w:cs="Arial" w:eastAsia="Arial" w:hAnsi="Arial"/>
                <w:sz w:val="10"/>
                <w:szCs w:val="10"/>
                <w:b w:val="1"/>
                <w:bCs w:val="1"/>
                <w:color w:val="auto"/>
              </w:rPr>
              <w:t>Operable</w:t>
            </w: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Borders>
              <w:left w:val="single" w:sz="8" w:color="auto"/>
            </w:tcBorders>
          </w:tcPr>
          <w:p>
            <w:pPr>
              <w:spacing w:after="0"/>
              <w:rPr>
                <w:sz w:val="8"/>
                <w:szCs w:val="8"/>
                <w:color w:val="auto"/>
              </w:rPr>
            </w:pPr>
          </w:p>
        </w:tc>
        <w:tc>
          <w:tcPr>
            <w:tcW w:w="2840" w:type="dxa"/>
            <w:vAlign w:val="bottom"/>
          </w:tcPr>
          <w:p>
            <w:pPr>
              <w:ind w:left="2340"/>
              <w:spacing w:after="0" w:line="95" w:lineRule="exact"/>
              <w:rPr>
                <w:sz w:val="20"/>
                <w:szCs w:val="20"/>
                <w:color w:val="auto"/>
              </w:rPr>
            </w:pPr>
            <w:r>
              <w:rPr>
                <w:rFonts w:ascii="Arial" w:cs="Arial" w:eastAsia="Arial" w:hAnsi="Arial"/>
                <w:sz w:val="10"/>
                <w:szCs w:val="10"/>
                <w:b w:val="1"/>
                <w:bCs w:val="1"/>
                <w:color w:val="auto"/>
              </w:rPr>
              <w:t>Locations</w:t>
            </w: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jc w:val="right"/>
              <w:ind w:right="18"/>
              <w:spacing w:after="0" w:line="95" w:lineRule="exact"/>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8"/>
                <w:szCs w:val="8"/>
                <w:color w:val="auto"/>
              </w:rPr>
            </w:pPr>
          </w:p>
        </w:tc>
        <w:tc>
          <w:tcPr>
            <w:tcW w:w="640" w:type="dxa"/>
            <w:vAlign w:val="bottom"/>
          </w:tcPr>
          <w:p>
            <w:pPr>
              <w:jc w:val="right"/>
              <w:ind w:right="59"/>
              <w:spacing w:after="0" w:line="95" w:lineRule="exact"/>
              <w:rPr>
                <w:sz w:val="20"/>
                <w:szCs w:val="20"/>
                <w:color w:val="auto"/>
              </w:rPr>
            </w:pPr>
            <w:r>
              <w:rPr>
                <w:rFonts w:ascii="Arial" w:cs="Arial" w:eastAsia="Arial" w:hAnsi="Arial"/>
                <w:sz w:val="10"/>
                <w:szCs w:val="10"/>
                <w:b w:val="1"/>
                <w:bCs w:val="1"/>
                <w:color w:val="auto"/>
              </w:rPr>
              <w:t>Capacity</w:t>
            </w:r>
          </w:p>
        </w:tc>
        <w:tc>
          <w:tcPr>
            <w:tcW w:w="420" w:type="dxa"/>
            <w:vAlign w:val="bottom"/>
          </w:tcPr>
          <w:p>
            <w:pPr>
              <w:spacing w:after="0"/>
              <w:rPr>
                <w:sz w:val="8"/>
                <w:szCs w:val="8"/>
                <w:color w:val="auto"/>
              </w:rPr>
            </w:pPr>
          </w:p>
        </w:tc>
        <w:tc>
          <w:tcPr>
            <w:tcW w:w="640" w:type="dxa"/>
            <w:vAlign w:val="bottom"/>
          </w:tcPr>
          <w:p>
            <w:pPr>
              <w:jc w:val="right"/>
              <w:ind w:right="158"/>
              <w:spacing w:after="0" w:line="95" w:lineRule="exact"/>
              <w:rPr>
                <w:sz w:val="20"/>
                <w:szCs w:val="20"/>
                <w:color w:val="auto"/>
              </w:rPr>
            </w:pPr>
            <w:r>
              <w:rPr>
                <w:rFonts w:ascii="Arial" w:cs="Arial" w:eastAsia="Arial" w:hAnsi="Arial"/>
                <w:sz w:val="10"/>
                <w:szCs w:val="10"/>
                <w:b w:val="1"/>
                <w:bCs w:val="1"/>
                <w:color w:val="auto"/>
              </w:rPr>
              <w:t>2008</w:t>
            </w:r>
          </w:p>
        </w:tc>
        <w:tc>
          <w:tcPr>
            <w:tcW w:w="1020" w:type="dxa"/>
            <w:vAlign w:val="bottom"/>
            <w:gridSpan w:val="2"/>
          </w:tcPr>
          <w:p>
            <w:pPr>
              <w:jc w:val="right"/>
              <w:ind w:right="156"/>
              <w:spacing w:after="0" w:line="95"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620" w:type="dxa"/>
            <w:vAlign w:val="bottom"/>
          </w:tcPr>
          <w:p>
            <w:pPr>
              <w:jc w:val="right"/>
              <w:ind w:right="157"/>
              <w:spacing w:after="0" w:line="95"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Pascagoula</w:t>
            </w:r>
          </w:p>
        </w:tc>
        <w:tc>
          <w:tcPr>
            <w:tcW w:w="28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Mississippi</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El Segundo</w:t>
            </w:r>
          </w:p>
        </w:tc>
        <w:tc>
          <w:tcPr>
            <w:tcW w:w="2820" w:type="dxa"/>
            <w:vAlign w:val="bottom"/>
            <w:gridSpan w:val="2"/>
          </w:tcPr>
          <w:p>
            <w:pPr>
              <w:ind w:left="80"/>
              <w:spacing w:after="0"/>
              <w:rPr>
                <w:sz w:val="20"/>
                <w:szCs w:val="20"/>
                <w:color w:val="auto"/>
              </w:rPr>
            </w:pPr>
            <w:r>
              <w:rPr>
                <w:rFonts w:ascii="Arial" w:cs="Arial" w:eastAsia="Arial" w:hAnsi="Arial"/>
                <w:sz w:val="13"/>
                <w:szCs w:val="13"/>
                <w:color w:val="auto"/>
              </w:rPr>
              <w:t>California</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265</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263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222</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Richmond</w:t>
            </w:r>
          </w:p>
        </w:tc>
        <w:tc>
          <w:tcPr>
            <w:tcW w:w="28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California</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Kapolei</w:t>
            </w:r>
          </w:p>
        </w:tc>
        <w:tc>
          <w:tcPr>
            <w:tcW w:w="2820" w:type="dxa"/>
            <w:vAlign w:val="bottom"/>
            <w:gridSpan w:val="2"/>
          </w:tcPr>
          <w:p>
            <w:pPr>
              <w:ind w:left="80"/>
              <w:spacing w:after="0"/>
              <w:rPr>
                <w:sz w:val="20"/>
                <w:szCs w:val="20"/>
                <w:color w:val="auto"/>
              </w:rPr>
            </w:pPr>
            <w:r>
              <w:rPr>
                <w:rFonts w:ascii="Arial" w:cs="Arial" w:eastAsia="Arial" w:hAnsi="Arial"/>
                <w:sz w:val="13"/>
                <w:szCs w:val="13"/>
                <w:color w:val="auto"/>
              </w:rPr>
              <w:t>Hawaii</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54</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46</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Salt Lake City</w:t>
            </w:r>
          </w:p>
        </w:tc>
        <w:tc>
          <w:tcPr>
            <w:tcW w:w="28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Utah</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Other</w:t>
            </w:r>
            <w:r>
              <w:rPr>
                <w:rFonts w:ascii="Arial" w:cs="Arial" w:eastAsia="Arial" w:hAnsi="Arial"/>
                <w:sz w:val="10"/>
                <w:szCs w:val="10"/>
                <w:color w:val="auto"/>
              </w:rPr>
              <w:t>1</w:t>
            </w:r>
          </w:p>
        </w:tc>
        <w:tc>
          <w:tcPr>
            <w:tcW w:w="2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5"/>
              </w:rPr>
              <w:t xml:space="preserve">Total Consolidated Companies </w:t>
            </w:r>
            <w:r>
              <w:rPr>
                <w:rFonts w:ascii="Arial" w:cs="Arial" w:eastAsia="Arial" w:hAnsi="Arial"/>
                <w:sz w:val="13"/>
                <w:szCs w:val="13"/>
                <w:color w:val="auto"/>
                <w:w w:val="95"/>
              </w:rPr>
              <w:t>—</w:t>
            </w:r>
            <w:r>
              <w:rPr>
                <w:rFonts w:ascii="Arial" w:cs="Arial" w:eastAsia="Arial" w:hAnsi="Arial"/>
                <w:sz w:val="13"/>
                <w:szCs w:val="13"/>
                <w:b w:val="1"/>
                <w:bCs w:val="1"/>
                <w:color w:val="auto"/>
                <w:w w:val="95"/>
              </w:rPr>
              <w:t xml:space="preserve"> United States</w:t>
            </w:r>
          </w:p>
        </w:tc>
        <w:tc>
          <w:tcPr>
            <w:tcW w:w="2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1,017</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891</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Pembroke</w:t>
            </w:r>
          </w:p>
        </w:tc>
        <w:tc>
          <w:tcPr>
            <w:tcW w:w="2820" w:type="dxa"/>
            <w:vAlign w:val="bottom"/>
            <w:gridSpan w:val="2"/>
          </w:tcPr>
          <w:p>
            <w:pPr>
              <w:ind w:left="80"/>
              <w:spacing w:after="0"/>
              <w:rPr>
                <w:sz w:val="20"/>
                <w:szCs w:val="20"/>
                <w:color w:val="auto"/>
              </w:rPr>
            </w:pPr>
            <w:r>
              <w:rPr>
                <w:rFonts w:ascii="Arial" w:cs="Arial" w:eastAsia="Arial" w:hAnsi="Arial"/>
                <w:sz w:val="13"/>
                <w:szCs w:val="13"/>
                <w:color w:val="auto"/>
              </w:rPr>
              <w:t>United Kingdom</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210</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212</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Cape Town</w:t>
            </w:r>
            <w:r>
              <w:rPr>
                <w:rFonts w:ascii="Arial" w:cs="Arial" w:eastAsia="Arial" w:hAnsi="Arial"/>
                <w:sz w:val="10"/>
                <w:szCs w:val="10"/>
                <w:color w:val="auto"/>
              </w:rPr>
              <w:t>2</w:t>
            </w:r>
          </w:p>
        </w:tc>
        <w:tc>
          <w:tcPr>
            <w:tcW w:w="28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South Africa</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Burnaby, B.C.</w:t>
            </w:r>
          </w:p>
        </w:tc>
        <w:tc>
          <w:tcPr>
            <w:tcW w:w="2820" w:type="dxa"/>
            <w:vAlign w:val="bottom"/>
            <w:gridSpan w:val="2"/>
          </w:tcPr>
          <w:p>
            <w:pPr>
              <w:ind w:left="80"/>
              <w:spacing w:after="0"/>
              <w:rPr>
                <w:sz w:val="20"/>
                <w:szCs w:val="20"/>
                <w:color w:val="auto"/>
              </w:rPr>
            </w:pPr>
            <w:r>
              <w:rPr>
                <w:rFonts w:ascii="Arial" w:cs="Arial" w:eastAsia="Arial" w:hAnsi="Arial"/>
                <w:sz w:val="13"/>
                <w:szCs w:val="13"/>
                <w:color w:val="auto"/>
              </w:rPr>
              <w:t>Canada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7"/>
              </w:rPr>
              <w:t xml:space="preserve">Total Consolidated Companies </w:t>
            </w:r>
            <w:r>
              <w:rPr>
                <w:rFonts w:ascii="Arial" w:cs="Arial" w:eastAsia="Arial" w:hAnsi="Arial"/>
                <w:sz w:val="13"/>
                <w:szCs w:val="13"/>
                <w:color w:val="auto"/>
                <w:w w:val="97"/>
              </w:rPr>
              <w:t>—</w:t>
            </w:r>
            <w:r>
              <w:rPr>
                <w:rFonts w:ascii="Arial" w:cs="Arial" w:eastAsia="Arial" w:hAnsi="Arial"/>
                <w:sz w:val="13"/>
                <w:szCs w:val="13"/>
                <w:b w:val="1"/>
                <w:bCs w:val="1"/>
                <w:color w:val="auto"/>
                <w:w w:val="97"/>
              </w:rPr>
              <w:t xml:space="preserve"> International</w:t>
            </w:r>
          </w:p>
        </w:tc>
        <w:tc>
          <w:tcPr>
            <w:tcW w:w="2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Affiliates</w:t>
            </w:r>
            <w:r>
              <w:rPr>
                <w:rFonts w:ascii="Arial" w:cs="Arial" w:eastAsia="Arial" w:hAnsi="Arial"/>
                <w:sz w:val="10"/>
                <w:szCs w:val="10"/>
                <w:color w:val="auto"/>
              </w:rPr>
              <w:t>3</w:t>
            </w:r>
          </w:p>
        </w:tc>
        <w:tc>
          <w:tcPr>
            <w:tcW w:w="2820" w:type="dxa"/>
            <w:vAlign w:val="bottom"/>
            <w:gridSpan w:val="2"/>
          </w:tcPr>
          <w:p>
            <w:pPr>
              <w:ind w:left="80"/>
              <w:spacing w:after="0"/>
              <w:rPr>
                <w:sz w:val="20"/>
                <w:szCs w:val="20"/>
                <w:color w:val="auto"/>
              </w:rPr>
            </w:pPr>
            <w:r>
              <w:rPr>
                <w:rFonts w:ascii="Arial" w:cs="Arial" w:eastAsia="Arial" w:hAnsi="Arial"/>
                <w:sz w:val="13"/>
                <w:szCs w:val="13"/>
                <w:color w:val="auto"/>
              </w:rPr>
              <w:t>Various Locations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747</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653</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 xml:space="preserve">Total Including Affiliates </w:t>
            </w:r>
            <w:r>
              <w:rPr>
                <w:rFonts w:ascii="Arial" w:cs="Arial" w:eastAsia="Arial" w:hAnsi="Arial"/>
                <w:sz w:val="13"/>
                <w:szCs w:val="13"/>
                <w:color w:val="auto"/>
              </w:rPr>
              <w:t>—</w:t>
            </w:r>
            <w:r>
              <w:rPr>
                <w:rFonts w:ascii="Arial" w:cs="Arial" w:eastAsia="Arial" w:hAnsi="Arial"/>
                <w:sz w:val="13"/>
                <w:szCs w:val="13"/>
                <w:b w:val="1"/>
                <w:bCs w:val="1"/>
                <w:color w:val="auto"/>
              </w:rPr>
              <w:t xml:space="preserve"> International</w:t>
            </w:r>
          </w:p>
        </w:tc>
        <w:tc>
          <w:tcPr>
            <w:tcW w:w="2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1,122</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967</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 xml:space="preserve">Total Including Affiliates </w:t>
            </w:r>
            <w:r>
              <w:rPr>
                <w:rFonts w:ascii="Arial" w:cs="Arial" w:eastAsia="Arial" w:hAnsi="Arial"/>
                <w:sz w:val="13"/>
                <w:szCs w:val="13"/>
                <w:color w:val="auto"/>
              </w:rPr>
              <w:t>—</w:t>
            </w:r>
            <w:r>
              <w:rPr>
                <w:rFonts w:ascii="Arial" w:cs="Arial" w:eastAsia="Arial" w:hAnsi="Arial"/>
                <w:sz w:val="13"/>
                <w:szCs w:val="13"/>
                <w:b w:val="1"/>
                <w:bCs w:val="1"/>
                <w:color w:val="auto"/>
              </w:rPr>
              <w:t xml:space="preserve"> Worldwide</w:t>
            </w:r>
          </w:p>
        </w:tc>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18</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2,139</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1,858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1,833</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1,989</w:t>
            </w: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-1772285</wp:posOffset>
            </wp:positionV>
            <wp:extent cx="6626860" cy="1702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860" cy="1702435"/>
                    </a:xfrm>
                    <a:prstGeom prst="rect">
                      <a:avLst/>
                    </a:prstGeom>
                    <a:noFill/>
                  </pic:spPr>
                </pic:pic>
              </a:graphicData>
            </a:graphic>
          </wp:anchor>
        </w:drawing>
      </w:r>
    </w:p>
    <w:p>
      <w:pPr>
        <w:spacing w:after="0" w:line="77" w:lineRule="exact"/>
        <w:rPr>
          <w:sz w:val="20"/>
          <w:szCs w:val="20"/>
          <w:color w:val="auto"/>
        </w:rPr>
      </w:pPr>
    </w:p>
    <w:p>
      <w:pPr>
        <w:ind w:left="880" w:hanging="156"/>
        <w:spacing w:after="0"/>
        <w:tabs>
          <w:tab w:leader="none" w:pos="88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Asphalt plant in Perth Amboy, New Jersey. Plant was idled during 2008.</w:t>
      </w:r>
    </w:p>
    <w:p>
      <w:pPr>
        <w:ind w:left="880" w:hanging="156"/>
        <w:spacing w:after="0" w:line="188" w:lineRule="auto"/>
        <w:tabs>
          <w:tab w:leader="none" w:pos="880" w:val="left"/>
        </w:tabs>
        <w:numPr>
          <w:ilvl w:val="0"/>
          <w:numId w:val="23"/>
        </w:numPr>
        <w:rPr>
          <w:rFonts w:ascii="Arial" w:cs="Arial" w:eastAsia="Arial" w:hAnsi="Arial"/>
          <w:sz w:val="16"/>
          <w:szCs w:val="16"/>
          <w:color w:val="auto"/>
          <w:vertAlign w:val="superscript"/>
        </w:rPr>
      </w:pPr>
      <w:r>
        <w:rPr>
          <w:rFonts w:ascii="Arial" w:cs="Arial" w:eastAsia="Arial" w:hAnsi="Arial"/>
          <w:sz w:val="10"/>
          <w:szCs w:val="10"/>
          <w:color w:val="auto"/>
        </w:rPr>
        <w:t>Chevron holds 100 percent of the common stock issued by Chevron South Africa (Pty) Limited, which owns the Cape Town Refinery. A consortium of South African partners owns preferred shares ultimately</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2"/>
          <w:szCs w:val="12"/>
          <w:color w:val="auto"/>
        </w:rPr>
        <w:t>convertible to a 25 percent equity interest in Chevron South Africa (Pty) Limited. None of the preferred shares had been converted as of February 2009.</w:t>
      </w:r>
    </w:p>
    <w:p>
      <w:pPr>
        <w:ind w:left="880" w:right="340" w:hanging="156"/>
        <w:spacing w:after="0" w:line="188" w:lineRule="auto"/>
        <w:tabs>
          <w:tab w:leader="none" w:pos="88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Chevron sold its 31 percent interest in the Nerefco Refinery in the Netherlands in March 2007. During 2008, the company sold its 4 percent ownership interest in a refinery in Abidjan, Côte d’Ivoire, and its 8 percent ownership interest in a refinery in Cameroon, decreasing the company’s combined share of operable capacity by about 5,000 barrels per day.</w:t>
      </w:r>
    </w:p>
    <w:p>
      <w:pPr>
        <w:spacing w:after="0" w:line="82" w:lineRule="exact"/>
        <w:rPr>
          <w:sz w:val="20"/>
          <w:szCs w:val="20"/>
          <w:color w:val="auto"/>
        </w:rPr>
      </w:pPr>
    </w:p>
    <w:p>
      <w:pPr>
        <w:ind w:left="460" w:right="440"/>
        <w:spacing w:after="0" w:line="253" w:lineRule="auto"/>
        <w:rPr>
          <w:sz w:val="20"/>
          <w:szCs w:val="20"/>
          <w:color w:val="auto"/>
        </w:rPr>
      </w:pPr>
      <w:r>
        <w:rPr>
          <w:rFonts w:ascii="Arial" w:cs="Arial" w:eastAsia="Arial" w:hAnsi="Arial"/>
          <w:sz w:val="13"/>
          <w:szCs w:val="13"/>
          <w:color w:val="auto"/>
        </w:rPr>
        <w:t>Average crude oil distillation capacity utilization during 2008 was 87 percent, compared with 85 percent in 2007. This increase generally resulted from an improvement in utilization at the refineries in Richmond and El Segundo, California. At the U.S. fuel refineries, crude oil distillation capacity utilization averaged 95 percent in 2008, compared with 85 percent in 2007, and cracking and coking capacity utilization averaged 86 percent and 78 percent in 2008 and 2007, respectively. Cracking and coking units are the primary facilities used in fuel refineries to convert heavier feedstocks into gasoline and other light products.</w:t>
      </w:r>
    </w:p>
    <w:p>
      <w:pPr>
        <w:spacing w:after="0" w:line="71" w:lineRule="exact"/>
        <w:rPr>
          <w:sz w:val="20"/>
          <w:szCs w:val="20"/>
          <w:color w:val="auto"/>
        </w:rPr>
      </w:pPr>
    </w:p>
    <w:p>
      <w:pPr>
        <w:ind w:left="460" w:right="340"/>
        <w:spacing w:after="0" w:line="251" w:lineRule="auto"/>
        <w:rPr>
          <w:sz w:val="20"/>
          <w:szCs w:val="20"/>
          <w:color w:val="auto"/>
        </w:rPr>
      </w:pPr>
      <w:r>
        <w:rPr>
          <w:rFonts w:ascii="Arial" w:cs="Arial" w:eastAsia="Arial" w:hAnsi="Arial"/>
          <w:sz w:val="13"/>
          <w:szCs w:val="13"/>
          <w:color w:val="auto"/>
        </w:rPr>
        <w:t>The company’s refineries in the United States, the United Kingdom, Canada, South Africa and Australia produce low-sulfur fuels. GS Caltex, the company’s 50 percent-owned affiliate, completed construction in 2008 on projects to produce low-sulfur fuels at the 700,000 barrel-per-day Yeosu refining complex in South Korea. Other projects completed during the year at Yeosu included a new hydrocracker complex and distillation unit that increases high-value product yield and lowers feedstock costs. In 2009, construction continues at the Yeosu complex on projects designed to further improve processing of higher-sulfur crude oils and reduce fuel-oil production. At the company’s 50 percent-owned Singapore Refining Company, construction continued during 2008 and into early 2009 to enable the refinery to meet regional specifications for clean diesel fuels.</w:t>
      </w:r>
    </w:p>
    <w:p>
      <w:pPr>
        <w:spacing w:after="0" w:line="74" w:lineRule="exact"/>
        <w:rPr>
          <w:sz w:val="20"/>
          <w:szCs w:val="20"/>
          <w:color w:val="auto"/>
        </w:rPr>
      </w:pPr>
    </w:p>
    <w:p>
      <w:pPr>
        <w:ind w:left="460" w:right="340"/>
        <w:spacing w:after="0" w:line="253" w:lineRule="auto"/>
        <w:rPr>
          <w:sz w:val="20"/>
          <w:szCs w:val="20"/>
          <w:color w:val="auto"/>
        </w:rPr>
      </w:pPr>
      <w:r>
        <w:rPr>
          <w:rFonts w:ascii="Arial" w:cs="Arial" w:eastAsia="Arial" w:hAnsi="Arial"/>
          <w:sz w:val="13"/>
          <w:szCs w:val="13"/>
          <w:color w:val="auto"/>
        </w:rPr>
        <w:t>At the Pascagoula refinery, various projects were completed during 2008 that enhanced the ability to process heavier, higher-sulfur crudes, resulting in lower crude-acquisition costs. In addition, construction progressed on a continuous catalytic reformer that is expected to improve refinery reliability and increase daily gasoline production at the refinery by 10 percent, or 600,000 gallons per day, by mid-2010. At the Richmond and El Segundo refineries, construction continued and design and engineering work advanced during 2008 to further increase the ability to process high-sulfur crude oils and improve high-value product yields.</w:t>
      </w: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160"/>
        <w:spacing w:after="0" w:line="256" w:lineRule="auto"/>
        <w:rPr>
          <w:sz w:val="20"/>
          <w:szCs w:val="20"/>
          <w:color w:val="auto"/>
        </w:rPr>
      </w:pPr>
      <w:r>
        <w:rPr>
          <w:rFonts w:ascii="Arial" w:cs="Arial" w:eastAsia="Arial" w:hAnsi="Arial"/>
          <w:sz w:val="13"/>
          <w:szCs w:val="13"/>
          <w:color w:val="auto"/>
        </w:rPr>
        <w:t>In August 2008, Chevron submitted an environmental permit application to the Mississippi Department of Environmental Quality for the construction of a premium base oil facility at the company’s Pascagoula Refinery. The facility is expected to have daily production of approximately 25,000 barrels of premium base oil for use in manufacturing high-performance lubricants, such as motor oils for consumer and commercial uses.</w:t>
      </w:r>
    </w:p>
    <w:p>
      <w:pPr>
        <w:spacing w:after="0" w:line="69" w:lineRule="exact"/>
        <w:rPr>
          <w:sz w:val="20"/>
          <w:szCs w:val="20"/>
          <w:color w:val="auto"/>
        </w:rPr>
      </w:pPr>
    </w:p>
    <w:p>
      <w:pPr>
        <w:ind w:left="460" w:right="300"/>
        <w:spacing w:after="0" w:line="359" w:lineRule="auto"/>
        <w:rPr>
          <w:sz w:val="20"/>
          <w:szCs w:val="20"/>
          <w:color w:val="auto"/>
        </w:rPr>
      </w:pPr>
      <w:r>
        <w:rPr>
          <w:rFonts w:ascii="Arial" w:cs="Arial" w:eastAsia="Arial" w:hAnsi="Arial"/>
          <w:sz w:val="11"/>
          <w:szCs w:val="11"/>
          <w:color w:val="auto"/>
        </w:rPr>
        <w:t>Chevron holds a 5 percent interest in Reliance Petroleum Limited, a company formed by Reliance Industries Limited to construct a new refinery in Jamnagar, India. Chevron has rights to increase its equity ownership to 29 percent or to sell back its investment to Reliance Industries Limited. These rights expire the later of July 27, 2009, or three months after the plant is fully commissioned.</w:t>
      </w:r>
    </w:p>
    <w:p>
      <w:pPr>
        <w:spacing w:after="0" w:line="16"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Chevron processes imported and domestic crude oil in its U.S. refining operations. Imported crude oil accounted for about 88 percent and 87 percent of Chevron’s U.S. refinery inputs in 2008 and 2007, respectively.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Gas-to-Liquids</w:t>
      </w:r>
    </w:p>
    <w:p>
      <w:pPr>
        <w:spacing w:after="0" w:line="95" w:lineRule="exact"/>
        <w:rPr>
          <w:sz w:val="20"/>
          <w:szCs w:val="20"/>
          <w:color w:val="auto"/>
        </w:rPr>
      </w:pPr>
    </w:p>
    <w:p>
      <w:pPr>
        <w:ind w:left="460" w:right="80"/>
        <w:spacing w:after="0" w:line="288" w:lineRule="auto"/>
        <w:rPr>
          <w:sz w:val="20"/>
          <w:szCs w:val="20"/>
          <w:color w:val="auto"/>
        </w:rPr>
      </w:pPr>
      <w:r>
        <w:rPr>
          <w:rFonts w:ascii="Arial" w:cs="Arial" w:eastAsia="Arial" w:hAnsi="Arial"/>
          <w:sz w:val="12"/>
          <w:szCs w:val="12"/>
          <w:color w:val="auto"/>
        </w:rPr>
        <w:t>In Nigeria, Chevron and the Nigerian National Petroleum Corporation are developing a 34,000 barrel-per-day gas-to-liquids facility at Escravos designed to process natural gas supplied from the Phase 3A expansion of the Escravos Gas Plant (EGP). At the end of 2008, engineering was essentially complete and facility construction was under way. Chevron has a 75 percent interest in the plant, which is expected to be operational by 2012. The estimated cost of the plant is $5.9 billion. Refer also to page 14 for a discussion on the EGP Phase 3A expansion.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Marketing Operations</w:t>
      </w:r>
    </w:p>
    <w:p>
      <w:pPr>
        <w:spacing w:after="0" w:line="95" w:lineRule="exact"/>
        <w:rPr>
          <w:sz w:val="20"/>
          <w:szCs w:val="20"/>
          <w:color w:val="auto"/>
        </w:rPr>
      </w:pPr>
    </w:p>
    <w:p>
      <w:pPr>
        <w:ind w:left="460" w:right="60"/>
        <w:spacing w:after="0" w:line="267" w:lineRule="auto"/>
        <w:rPr>
          <w:sz w:val="20"/>
          <w:szCs w:val="20"/>
          <w:color w:val="auto"/>
        </w:rPr>
      </w:pPr>
      <w:r>
        <w:rPr>
          <w:rFonts w:ascii="Arial" w:cs="Arial" w:eastAsia="Arial" w:hAnsi="Arial"/>
          <w:sz w:val="13"/>
          <w:szCs w:val="13"/>
          <w:color w:val="auto"/>
        </w:rPr>
        <w:t>The company markets petroleum products under the principal brands of “Chevron,” “Texaco” and “Caltex” throughout much of the world. The table below identifies the company’s and affiliates’ refined products sales volumes, excluding intercompany sales, for the three years ending December 31, 2008.</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Refined Products Sales Volumes</w:t>
      </w:r>
      <w:r>
        <w:rPr>
          <w:rFonts w:ascii="Arial" w:cs="Arial" w:eastAsia="Arial" w:hAnsi="Arial"/>
          <w:sz w:val="10"/>
          <w:szCs w:val="10"/>
          <w:b w:val="1"/>
          <w:bCs w:val="1"/>
          <w:color w:val="auto"/>
        </w:rPr>
        <w:t>1</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(Thousands of Barrels per Day)</w:t>
      </w:r>
    </w:p>
    <w:p>
      <w:pPr>
        <w:spacing w:after="0" w:line="172" w:lineRule="exact"/>
        <w:rPr>
          <w:sz w:val="20"/>
          <w:szCs w:val="20"/>
          <w:color w:val="auto"/>
        </w:rPr>
      </w:pPr>
    </w:p>
    <w:tbl>
      <w:tblPr>
        <w:tblLayout w:type="fixed"/>
        <w:tblInd w:w="470" w:type="dxa"/>
        <w:tblCellMar>
          <w:top w:w="0" w:type="dxa"/>
          <w:left w:w="0" w:type="dxa"/>
          <w:bottom w:w="0" w:type="dxa"/>
          <w:right w:w="0" w:type="dxa"/>
        </w:tblCellMar>
      </w:tblPr>
      <w:tr>
        <w:trPr>
          <w:trHeight w:val="207"/>
        </w:trPr>
        <w:tc>
          <w:tcPr>
            <w:tcW w:w="80" w:type="dxa"/>
            <w:vAlign w:val="bottom"/>
            <w:tcBorders>
              <w:top w:val="single" w:sz="8" w:color="auto"/>
              <w:left w:val="single" w:sz="8" w:color="auto"/>
            </w:tcBorders>
          </w:tcPr>
          <w:p>
            <w:pPr>
              <w:spacing w:after="0"/>
              <w:rPr>
                <w:sz w:val="18"/>
                <w:szCs w:val="18"/>
                <w:color w:val="auto"/>
              </w:rPr>
            </w:pPr>
          </w:p>
        </w:tc>
        <w:tc>
          <w:tcPr>
            <w:tcW w:w="678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2008</w:t>
            </w: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2007</w:t>
            </w:r>
          </w:p>
        </w:tc>
        <w:tc>
          <w:tcPr>
            <w:tcW w:w="60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2006</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r>
      <w:tr>
        <w:trPr>
          <w:trHeight w:val="28"/>
        </w:trPr>
        <w:tc>
          <w:tcPr>
            <w:tcW w:w="80" w:type="dxa"/>
            <w:vAlign w:val="bottom"/>
            <w:tcBorders>
              <w:left w:val="single" w:sz="8" w:color="auto"/>
            </w:tcBorders>
          </w:tcPr>
          <w:p>
            <w:pPr>
              <w:spacing w:after="0"/>
              <w:rPr>
                <w:sz w:val="2"/>
                <w:szCs w:val="2"/>
                <w:color w:val="auto"/>
              </w:rPr>
            </w:pPr>
          </w:p>
        </w:tc>
        <w:tc>
          <w:tcPr>
            <w:tcW w:w="6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color w:val="auto"/>
              </w:rPr>
              <w:t>Gasolines</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692</w:t>
            </w:r>
          </w:p>
        </w:tc>
        <w:tc>
          <w:tcPr>
            <w:tcW w:w="1320" w:type="dxa"/>
            <w:vAlign w:val="bottom"/>
            <w:gridSpan w:val="2"/>
          </w:tcPr>
          <w:p>
            <w:pPr>
              <w:jc w:val="right"/>
              <w:ind w:right="600"/>
              <w:spacing w:after="0"/>
              <w:rPr>
                <w:sz w:val="20"/>
                <w:szCs w:val="20"/>
                <w:color w:val="auto"/>
              </w:rPr>
            </w:pPr>
            <w:r>
              <w:rPr>
                <w:rFonts w:ascii="Arial" w:cs="Arial" w:eastAsia="Arial" w:hAnsi="Arial"/>
                <w:sz w:val="13"/>
                <w:szCs w:val="13"/>
                <w:color w:val="auto"/>
              </w:rPr>
              <w:t>728</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712</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Jet Fuel</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274</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271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color w:val="auto"/>
              </w:rPr>
              <w:t>Gas Oils and Kerosene</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229</w:t>
            </w:r>
          </w:p>
        </w:tc>
        <w:tc>
          <w:tcPr>
            <w:tcW w:w="1320" w:type="dxa"/>
            <w:vAlign w:val="bottom"/>
            <w:gridSpan w:val="2"/>
          </w:tcPr>
          <w:p>
            <w:pPr>
              <w:jc w:val="right"/>
              <w:ind w:right="600"/>
              <w:spacing w:after="0"/>
              <w:rPr>
                <w:sz w:val="20"/>
                <w:szCs w:val="20"/>
                <w:color w:val="auto"/>
              </w:rPr>
            </w:pPr>
            <w:r>
              <w:rPr>
                <w:rFonts w:ascii="Arial" w:cs="Arial" w:eastAsia="Arial" w:hAnsi="Arial"/>
                <w:sz w:val="13"/>
                <w:szCs w:val="13"/>
                <w:color w:val="auto"/>
              </w:rPr>
              <w:t>221</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252</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Residual Fuel Oil</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127</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138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color w:val="auto"/>
              </w:rPr>
              <w:t>Other Petroleum Products</w:t>
            </w:r>
            <w:r>
              <w:rPr>
                <w:rFonts w:ascii="Arial" w:cs="Arial" w:eastAsia="Arial" w:hAnsi="Arial"/>
                <w:sz w:val="10"/>
                <w:szCs w:val="10"/>
                <w:color w:val="auto"/>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w:t>
            </w:r>
          </w:p>
        </w:tc>
        <w:tc>
          <w:tcPr>
            <w:tcW w:w="6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United States</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1,413</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1,457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1,494</w:t>
            </w:r>
          </w:p>
        </w:tc>
        <w:tc>
          <w:tcPr>
            <w:tcW w:w="100" w:type="dxa"/>
            <w:vAlign w:val="bottom"/>
            <w:tcBorders>
              <w:right w:val="single" w:sz="8" w:color="auto"/>
            </w:tcBorders>
          </w:tcPr>
          <w:p>
            <w:pPr>
              <w:spacing w:after="0"/>
              <w:rPr>
                <w:sz w:val="13"/>
                <w:szCs w:val="13"/>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6780" w:type="dxa"/>
            <w:vAlign w:val="bottom"/>
          </w:tcPr>
          <w:p>
            <w:pPr>
              <w:spacing w:after="0"/>
              <w:rPr>
                <w:sz w:val="20"/>
                <w:szCs w:val="20"/>
                <w:color w:val="auto"/>
              </w:rPr>
            </w:pPr>
            <w:r>
              <w:rPr>
                <w:rFonts w:ascii="Arial" w:cs="Arial" w:eastAsia="Arial" w:hAnsi="Arial"/>
                <w:sz w:val="13"/>
                <w:szCs w:val="13"/>
                <w:color w:val="auto"/>
              </w:rPr>
              <w:t>International</w:t>
            </w:r>
            <w:r>
              <w:rPr>
                <w:rFonts w:ascii="Arial" w:cs="Arial" w:eastAsia="Arial" w:hAnsi="Arial"/>
                <w:sz w:val="10"/>
                <w:szCs w:val="10"/>
                <w:color w:val="auto"/>
              </w:rPr>
              <w:t>3</w:t>
            </w:r>
          </w:p>
        </w:tc>
        <w:tc>
          <w:tcPr>
            <w:tcW w:w="74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Gasolines</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589</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581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595</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color w:val="auto"/>
              </w:rPr>
              <w:t>Jet Fuel</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278</w:t>
            </w:r>
          </w:p>
        </w:tc>
        <w:tc>
          <w:tcPr>
            <w:tcW w:w="1320" w:type="dxa"/>
            <w:vAlign w:val="bottom"/>
            <w:gridSpan w:val="2"/>
          </w:tcPr>
          <w:p>
            <w:pPr>
              <w:jc w:val="right"/>
              <w:ind w:right="600"/>
              <w:spacing w:after="0"/>
              <w:rPr>
                <w:sz w:val="20"/>
                <w:szCs w:val="20"/>
                <w:color w:val="auto"/>
              </w:rPr>
            </w:pPr>
            <w:r>
              <w:rPr>
                <w:rFonts w:ascii="Arial" w:cs="Arial" w:eastAsia="Arial" w:hAnsi="Arial"/>
                <w:sz w:val="13"/>
                <w:szCs w:val="13"/>
                <w:color w:val="auto"/>
              </w:rPr>
              <w:t>274</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266</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Gas Oils and Kerosene</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710</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730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776</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color w:val="auto"/>
              </w:rPr>
              <w:t>Residual Fuel Oil</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257</w:t>
            </w:r>
          </w:p>
        </w:tc>
        <w:tc>
          <w:tcPr>
            <w:tcW w:w="1320" w:type="dxa"/>
            <w:vAlign w:val="bottom"/>
            <w:gridSpan w:val="2"/>
          </w:tcPr>
          <w:p>
            <w:pPr>
              <w:jc w:val="right"/>
              <w:ind w:right="600"/>
              <w:spacing w:after="0"/>
              <w:rPr>
                <w:sz w:val="20"/>
                <w:szCs w:val="20"/>
                <w:color w:val="auto"/>
              </w:rPr>
            </w:pPr>
            <w:r>
              <w:rPr>
                <w:rFonts w:ascii="Arial" w:cs="Arial" w:eastAsia="Arial" w:hAnsi="Arial"/>
                <w:sz w:val="13"/>
                <w:szCs w:val="13"/>
                <w:color w:val="auto"/>
              </w:rPr>
              <w:t>271</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324</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Petroleum Products</w:t>
            </w:r>
            <w:r>
              <w:rPr>
                <w:rFonts w:ascii="Arial" w:cs="Arial" w:eastAsia="Arial" w:hAnsi="Arial"/>
                <w:sz w:val="10"/>
                <w:szCs w:val="10"/>
                <w:color w:val="auto"/>
              </w:rPr>
              <w:t>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182</w:t>
            </w:r>
          </w:p>
        </w:tc>
        <w:tc>
          <w:tcPr>
            <w:tcW w:w="6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6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6780" w:type="dxa"/>
            <w:vAlign w:val="bottom"/>
          </w:tcPr>
          <w:p>
            <w:pPr>
              <w:ind w:left="140"/>
              <w:spacing w:after="0"/>
              <w:rPr>
                <w:sz w:val="20"/>
                <w:szCs w:val="20"/>
                <w:color w:val="auto"/>
              </w:rPr>
            </w:pPr>
            <w:r>
              <w:rPr>
                <w:rFonts w:ascii="Arial" w:cs="Arial" w:eastAsia="Arial" w:hAnsi="Arial"/>
                <w:sz w:val="13"/>
                <w:szCs w:val="13"/>
                <w:b w:val="1"/>
                <w:bCs w:val="1"/>
                <w:color w:val="auto"/>
              </w:rPr>
              <w:t>Total International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6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2,027</w:t>
            </w:r>
          </w:p>
        </w:tc>
        <w:tc>
          <w:tcPr>
            <w:tcW w:w="6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62"/>
        </w:trPr>
        <w:tc>
          <w:tcPr>
            <w:tcW w:w="80" w:type="dxa"/>
            <w:vAlign w:val="bottom"/>
            <w:tcBorders>
              <w:left w:val="single" w:sz="8" w:color="auto"/>
            </w:tcBorders>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Worldwide</w:t>
            </w:r>
            <w:r>
              <w:rPr>
                <w:rFonts w:ascii="Arial" w:cs="Arial" w:eastAsia="Arial" w:hAnsi="Arial"/>
                <w:sz w:val="10"/>
                <w:szCs w:val="10"/>
                <w:b w:val="1"/>
                <w:bCs w:val="1"/>
                <w:color w:val="auto"/>
              </w:rPr>
              <w:t>3</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b w:val="1"/>
                <w:bCs w:val="1"/>
                <w:color w:val="auto"/>
              </w:rPr>
              <w:t>3,429</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3,484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3,621</w:t>
            </w:r>
          </w:p>
        </w:tc>
        <w:tc>
          <w:tcPr>
            <w:tcW w:w="100" w:type="dxa"/>
            <w:vAlign w:val="bottom"/>
            <w:tcBorders>
              <w:right w:val="single" w:sz="8" w:color="auto"/>
            </w:tcBorders>
          </w:tcPr>
          <w:p>
            <w:pPr>
              <w:spacing w:after="0"/>
              <w:rPr>
                <w:sz w:val="14"/>
                <w:szCs w:val="14"/>
                <w:color w:val="auto"/>
              </w:rPr>
            </w:pPr>
          </w:p>
        </w:tc>
      </w:tr>
      <w:tr>
        <w:trPr>
          <w:trHeight w:val="81"/>
        </w:trPr>
        <w:tc>
          <w:tcPr>
            <w:tcW w:w="80" w:type="dxa"/>
            <w:vAlign w:val="bottom"/>
            <w:tcBorders>
              <w:left w:val="single" w:sz="8" w:color="auto"/>
              <w:bottom w:val="single" w:sz="8" w:color="auto"/>
            </w:tcBorders>
          </w:tcPr>
          <w:p>
            <w:pPr>
              <w:spacing w:after="0"/>
              <w:rPr>
                <w:sz w:val="7"/>
                <w:szCs w:val="7"/>
                <w:color w:val="auto"/>
              </w:rPr>
            </w:pPr>
          </w:p>
        </w:tc>
        <w:tc>
          <w:tcPr>
            <w:tcW w:w="6780" w:type="dxa"/>
            <w:vAlign w:val="bottom"/>
            <w:tcBorders>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-1699260</wp:posOffset>
            </wp:positionV>
            <wp:extent cx="6517005" cy="1641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7005" cy="1641475"/>
                    </a:xfrm>
                    <a:prstGeom prst="rect">
                      <a:avLst/>
                    </a:prstGeom>
                    <a:noFill/>
                  </pic:spPr>
                </pic:pic>
              </a:graphicData>
            </a:graphic>
          </wp:anchor>
        </w:drawing>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1</w:t>
            </w:r>
          </w:p>
        </w:tc>
        <w:tc>
          <w:tcPr>
            <w:tcW w:w="4780" w:type="dxa"/>
            <w:vAlign w:val="bottom"/>
          </w:tcPr>
          <w:p>
            <w:pPr>
              <w:ind w:left="60"/>
              <w:spacing w:after="0"/>
              <w:rPr>
                <w:sz w:val="20"/>
                <w:szCs w:val="20"/>
                <w:color w:val="auto"/>
              </w:rPr>
            </w:pPr>
            <w:r>
              <w:rPr>
                <w:rFonts w:ascii="Arial" w:cs="Arial" w:eastAsia="Arial" w:hAnsi="Arial"/>
                <w:sz w:val="10"/>
                <w:szCs w:val="10"/>
                <w:color w:val="auto"/>
              </w:rPr>
              <w:t>Includes buy/sell arrangements. Refer to Note 14 on page FS-43.</w:t>
            </w:r>
          </w:p>
        </w:tc>
        <w:tc>
          <w:tcPr>
            <w:tcW w:w="2740" w:type="dxa"/>
            <w:vAlign w:val="bottom"/>
          </w:tcPr>
          <w:p>
            <w:pPr>
              <w:jc w:val="right"/>
              <w:ind w:right="469"/>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469"/>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50</w:t>
            </w:r>
          </w:p>
        </w:tc>
      </w:tr>
      <w:tr>
        <w:trPr>
          <w:trHeight w:val="106"/>
        </w:trPr>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2</w:t>
            </w:r>
          </w:p>
        </w:tc>
        <w:tc>
          <w:tcPr>
            <w:tcW w:w="4780" w:type="dxa"/>
            <w:vAlign w:val="bottom"/>
          </w:tcPr>
          <w:p>
            <w:pPr>
              <w:ind w:left="60"/>
              <w:spacing w:after="0" w:line="106" w:lineRule="exact"/>
              <w:rPr>
                <w:sz w:val="20"/>
                <w:szCs w:val="20"/>
                <w:color w:val="auto"/>
              </w:rPr>
            </w:pPr>
            <w:r>
              <w:rPr>
                <w:rFonts w:ascii="Arial" w:cs="Arial" w:eastAsia="Arial" w:hAnsi="Arial"/>
                <w:sz w:val="10"/>
                <w:szCs w:val="10"/>
                <w:color w:val="auto"/>
              </w:rPr>
              <w:t>Principally naphtha, lubricants, asphalt and coke.</w:t>
            </w:r>
          </w:p>
        </w:tc>
        <w:tc>
          <w:tcPr>
            <w:tcW w:w="2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9"/>
        </w:trPr>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3</w:t>
            </w:r>
          </w:p>
        </w:tc>
        <w:tc>
          <w:tcPr>
            <w:tcW w:w="4780" w:type="dxa"/>
            <w:vAlign w:val="bottom"/>
          </w:tcPr>
          <w:p>
            <w:pPr>
              <w:ind w:left="60"/>
              <w:spacing w:after="0"/>
              <w:rPr>
                <w:sz w:val="20"/>
                <w:szCs w:val="20"/>
                <w:color w:val="auto"/>
              </w:rPr>
            </w:pPr>
            <w:r>
              <w:rPr>
                <w:rFonts w:ascii="Arial" w:cs="Arial" w:eastAsia="Arial" w:hAnsi="Arial"/>
                <w:sz w:val="10"/>
                <w:szCs w:val="10"/>
                <w:color w:val="auto"/>
              </w:rPr>
              <w:t>Includes share of equity affiliates’ sales:</w:t>
            </w:r>
          </w:p>
        </w:tc>
        <w:tc>
          <w:tcPr>
            <w:tcW w:w="2740" w:type="dxa"/>
            <w:vAlign w:val="bottom"/>
          </w:tcPr>
          <w:p>
            <w:pPr>
              <w:jc w:val="right"/>
              <w:ind w:right="469"/>
              <w:spacing w:after="0"/>
              <w:rPr>
                <w:sz w:val="20"/>
                <w:szCs w:val="20"/>
                <w:color w:val="auto"/>
              </w:rPr>
            </w:pPr>
            <w:r>
              <w:rPr>
                <w:rFonts w:ascii="Arial" w:cs="Arial" w:eastAsia="Arial" w:hAnsi="Arial"/>
                <w:sz w:val="10"/>
                <w:szCs w:val="10"/>
                <w:color w:val="auto"/>
              </w:rPr>
              <w:t>512</w:t>
            </w:r>
          </w:p>
        </w:tc>
        <w:tc>
          <w:tcPr>
            <w:tcW w:w="1180" w:type="dxa"/>
            <w:vAlign w:val="bottom"/>
          </w:tcPr>
          <w:p>
            <w:pPr>
              <w:jc w:val="right"/>
              <w:ind w:right="469"/>
              <w:spacing w:after="0"/>
              <w:rPr>
                <w:sz w:val="20"/>
                <w:szCs w:val="20"/>
                <w:color w:val="auto"/>
              </w:rPr>
            </w:pPr>
            <w:r>
              <w:rPr>
                <w:rFonts w:ascii="Arial" w:cs="Arial" w:eastAsia="Arial" w:hAnsi="Arial"/>
                <w:sz w:val="10"/>
                <w:szCs w:val="10"/>
                <w:color w:val="auto"/>
              </w:rPr>
              <w:t>492</w:t>
            </w:r>
          </w:p>
        </w:tc>
        <w:tc>
          <w:tcPr>
            <w:tcW w:w="660" w:type="dxa"/>
            <w:vAlign w:val="bottom"/>
          </w:tcPr>
          <w:p>
            <w:pPr>
              <w:jc w:val="right"/>
              <w:spacing w:after="0"/>
              <w:rPr>
                <w:sz w:val="20"/>
                <w:szCs w:val="20"/>
                <w:color w:val="auto"/>
              </w:rPr>
            </w:pPr>
            <w:r>
              <w:rPr>
                <w:rFonts w:ascii="Arial" w:cs="Arial" w:eastAsia="Arial" w:hAnsi="Arial"/>
                <w:sz w:val="10"/>
                <w:szCs w:val="10"/>
                <w:color w:val="auto"/>
              </w:rPr>
              <w:t>492</w:t>
            </w:r>
          </w:p>
        </w:tc>
      </w:tr>
    </w:tbl>
    <w:p>
      <w:pPr>
        <w:spacing w:after="0" w:line="67" w:lineRule="exact"/>
        <w:rPr>
          <w:sz w:val="20"/>
          <w:szCs w:val="20"/>
          <w:color w:val="auto"/>
        </w:rPr>
      </w:pPr>
    </w:p>
    <w:p>
      <w:pPr>
        <w:ind w:left="460" w:right="200"/>
        <w:spacing w:after="0" w:line="309" w:lineRule="auto"/>
        <w:rPr>
          <w:sz w:val="20"/>
          <w:szCs w:val="20"/>
          <w:color w:val="auto"/>
        </w:rPr>
      </w:pPr>
      <w:r>
        <w:rPr>
          <w:rFonts w:ascii="Arial" w:cs="Arial" w:eastAsia="Arial" w:hAnsi="Arial"/>
          <w:sz w:val="12"/>
          <w:szCs w:val="12"/>
          <w:color w:val="auto"/>
        </w:rPr>
        <w:t>In the United States, the company markets under the Chevron and Texaco brands. The company supplies directly or through retailers and marketers approximately 9,700 Chevron- and Texaco-branded motor vehicle retail outlets, primarily in the mid-Atlantic, southern and western states. Approximately 500 of these outlets are company-owned or -leased stations.</w:t>
      </w:r>
    </w:p>
    <w:p>
      <w:pPr>
        <w:spacing w:after="0" w:line="23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Outside the United States, Chevron supplies directly or through retailers and marketers approximately 15,300 branded service stations, including affiliates. In British Columbia, Canada, the company markets under the Chevron brand. The company markets in the United Kingdom, Ireland, Latin America and the Caribbean using the Texaco brand. In the Asia-Pacific region, southern Africa, Egypt and Pakistan, the company uses the Caltex brand.</w:t>
      </w:r>
    </w:p>
    <w:p>
      <w:pPr>
        <w:spacing w:after="0" w:line="69" w:lineRule="exact"/>
        <w:rPr>
          <w:sz w:val="20"/>
          <w:szCs w:val="20"/>
          <w:color w:val="auto"/>
        </w:rPr>
      </w:pPr>
    </w:p>
    <w:p>
      <w:pPr>
        <w:ind w:left="460" w:right="460"/>
        <w:spacing w:after="0" w:line="267" w:lineRule="auto"/>
        <w:rPr>
          <w:sz w:val="20"/>
          <w:szCs w:val="20"/>
          <w:color w:val="auto"/>
        </w:rPr>
      </w:pPr>
      <w:r>
        <w:rPr>
          <w:rFonts w:ascii="Arial" w:cs="Arial" w:eastAsia="Arial" w:hAnsi="Arial"/>
          <w:sz w:val="13"/>
          <w:szCs w:val="13"/>
          <w:color w:val="auto"/>
        </w:rPr>
        <w:t>The company also operates through affiliates under various brand names. In South Korea, the company operates through its 50 percent-owned affiliate, GS Caltex, using the GS Caltex brand. The company’s 50 percent-owned affiliate in Australia, Caltex Australia Limited, operates using the Caltex and Ampol brands.</w:t>
      </w:r>
    </w:p>
    <w:p>
      <w:pPr>
        <w:spacing w:after="0" w:line="61"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In 2008, the company announced agreements to sell marketing-related businesses in Brazil, Nigeria, Kenya, Uganda, Benin, Cameroon, Republic of the Congo, Côte d’Ivoire and Togo. The company will retain its lubricants business in Brazil. The company also completed the sale of its heating-oil business in the United Kingdom. In addition, the company sold its interest in about 350 individual service-station sites. The majority of these sites will continue to market company-branded gasoline through new supply agreements.</w:t>
      </w:r>
    </w:p>
    <w:p>
      <w:pPr>
        <w:spacing w:after="0" w:line="69" w:lineRule="exact"/>
        <w:rPr>
          <w:sz w:val="20"/>
          <w:szCs w:val="20"/>
          <w:color w:val="auto"/>
        </w:rPr>
      </w:pPr>
    </w:p>
    <w:p>
      <w:pPr>
        <w:ind w:left="460" w:right="80"/>
        <w:spacing w:after="0" w:line="267" w:lineRule="auto"/>
        <w:rPr>
          <w:sz w:val="20"/>
          <w:szCs w:val="20"/>
          <w:color w:val="auto"/>
        </w:rPr>
      </w:pPr>
      <w:r>
        <w:rPr>
          <w:rFonts w:ascii="Arial" w:cs="Arial" w:eastAsia="Arial" w:hAnsi="Arial"/>
          <w:sz w:val="13"/>
          <w:szCs w:val="13"/>
          <w:color w:val="auto"/>
        </w:rPr>
        <w:t>The company also manages other marketing businesses globally. Chevron markets aviation fuel at more than 1,000 airports. The company also markets an extensive line of lubricant and coolant products under brand names that include Havoline, Delo, Ursa, Meropa and Taro.</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Transportation Operations</w:t>
      </w:r>
    </w:p>
    <w:p>
      <w:pPr>
        <w:spacing w:after="0" w:line="91" w:lineRule="exact"/>
        <w:rPr>
          <w:sz w:val="20"/>
          <w:szCs w:val="20"/>
          <w:color w:val="auto"/>
        </w:rPr>
      </w:pPr>
    </w:p>
    <w:p>
      <w:pPr>
        <w:ind w:left="460" w:right="300"/>
        <w:spacing w:after="0" w:line="273" w:lineRule="auto"/>
        <w:rPr>
          <w:sz w:val="20"/>
          <w:szCs w:val="20"/>
          <w:color w:val="auto"/>
        </w:rPr>
      </w:pPr>
      <w:r>
        <w:rPr>
          <w:rFonts w:ascii="Arial" w:cs="Arial" w:eastAsia="Arial" w:hAnsi="Arial"/>
          <w:sz w:val="13"/>
          <w:szCs w:val="13"/>
          <w:b w:val="1"/>
          <w:bCs w:val="1"/>
          <w:color w:val="auto"/>
        </w:rPr>
        <w:t xml:space="preserve">Pipelines: </w:t>
      </w:r>
      <w:r>
        <w:rPr>
          <w:rFonts w:ascii="Arial" w:cs="Arial" w:eastAsia="Arial" w:hAnsi="Arial"/>
          <w:sz w:val="13"/>
          <w:szCs w:val="13"/>
          <w:color w:val="auto"/>
        </w:rPr>
        <w:t>Chevron owns and operates an extensive system of crude oil, refined products, chemicals, natural gas liquids and natural gas pipelines in the United States. The company also has direct or</w:t>
      </w:r>
      <w:r>
        <w:rPr>
          <w:rFonts w:ascii="Arial" w:cs="Arial" w:eastAsia="Arial" w:hAnsi="Arial"/>
          <w:sz w:val="13"/>
          <w:szCs w:val="13"/>
          <w:b w:val="1"/>
          <w:bCs w:val="1"/>
          <w:color w:val="auto"/>
        </w:rPr>
        <w:t xml:space="preserve"> </w:t>
      </w:r>
      <w:r>
        <w:rPr>
          <w:rFonts w:ascii="Arial" w:cs="Arial" w:eastAsia="Arial" w:hAnsi="Arial"/>
          <w:sz w:val="13"/>
          <w:szCs w:val="13"/>
          <w:color w:val="auto"/>
        </w:rPr>
        <w:t>indirect interests in other U.S. and international pipelines. The company’s ownership interests in pipelines are summarized in the following table.</w:t>
      </w:r>
    </w:p>
    <w:p>
      <w:pPr>
        <w:spacing w:after="0" w:line="208" w:lineRule="exact"/>
        <w:rPr>
          <w:sz w:val="20"/>
          <w:szCs w:val="20"/>
          <w:color w:val="auto"/>
        </w:rPr>
      </w:pPr>
    </w:p>
    <w:tbl>
      <w:tblPr>
        <w:tblLayout w:type="fixed"/>
        <w:tblInd w:w="47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720" w:type="dxa"/>
            <w:vAlign w:val="bottom"/>
            <w:gridSpan w:val="4"/>
          </w:tcPr>
          <w:p>
            <w:pPr>
              <w:ind w:left="1440"/>
              <w:spacing w:after="0"/>
              <w:rPr>
                <w:sz w:val="20"/>
                <w:szCs w:val="20"/>
                <w:color w:val="auto"/>
              </w:rPr>
            </w:pPr>
            <w:r>
              <w:rPr>
                <w:rFonts w:ascii="Arial" w:cs="Arial" w:eastAsia="Arial" w:hAnsi="Arial"/>
                <w:sz w:val="13"/>
                <w:szCs w:val="13"/>
                <w:b w:val="1"/>
                <w:bCs w:val="1"/>
                <w:color w:val="auto"/>
              </w:rPr>
              <w:t>Pipeline Mileage at December 31, 2008</w:t>
            </w:r>
          </w:p>
        </w:tc>
      </w:tr>
      <w:tr>
        <w:trPr>
          <w:trHeight w:val="187"/>
        </w:trPr>
        <w:tc>
          <w:tcPr>
            <w:tcW w:w="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7"/>
        </w:trPr>
        <w:tc>
          <w:tcPr>
            <w:tcW w:w="80" w:type="dxa"/>
            <w:vAlign w:val="bottom"/>
            <w:tcBorders>
              <w:lef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920" w:type="dxa"/>
            <w:vAlign w:val="bottom"/>
            <w:tcBorders>
              <w:right w:val="single" w:sz="8" w:color="auto"/>
            </w:tcBorders>
            <w:gridSpan w:val="3"/>
          </w:tcPr>
          <w:p>
            <w:pPr>
              <w:ind w:left="580"/>
              <w:spacing w:after="0"/>
              <w:rPr>
                <w:sz w:val="20"/>
                <w:szCs w:val="20"/>
                <w:color w:val="auto"/>
              </w:rPr>
            </w:pPr>
            <w:r>
              <w:rPr>
                <w:rFonts w:ascii="Arial" w:cs="Arial" w:eastAsia="Arial" w:hAnsi="Arial"/>
                <w:sz w:val="10"/>
                <w:szCs w:val="10"/>
                <w:b w:val="1"/>
                <w:bCs w:val="1"/>
                <w:color w:val="auto"/>
              </w:rPr>
              <w:t>Net Mileage</w:t>
            </w:r>
            <w:r>
              <w:rPr>
                <w:rFonts w:ascii="Arial" w:cs="Arial" w:eastAsia="Arial" w:hAnsi="Arial"/>
                <w:sz w:val="8"/>
                <w:szCs w:val="8"/>
                <w:b w:val="1"/>
                <w:bCs w:val="1"/>
                <w:color w:val="auto"/>
              </w:rPr>
              <w:t>1</w:t>
            </w:r>
          </w:p>
        </w:tc>
      </w:tr>
      <w:tr>
        <w:trPr>
          <w:trHeight w:val="143"/>
        </w:trPr>
        <w:tc>
          <w:tcPr>
            <w:tcW w:w="80" w:type="dxa"/>
            <w:vAlign w:val="bottom"/>
            <w:tcBorders>
              <w:left w:val="single" w:sz="8" w:color="auto"/>
            </w:tcBorders>
          </w:tcPr>
          <w:p>
            <w:pPr>
              <w:spacing w:after="0"/>
              <w:rPr>
                <w:sz w:val="12"/>
                <w:szCs w:val="12"/>
                <w:color w:val="auto"/>
              </w:rPr>
            </w:pPr>
          </w:p>
        </w:tc>
        <w:tc>
          <w:tcPr>
            <w:tcW w:w="2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United States:</w:t>
            </w:r>
          </w:p>
        </w:tc>
        <w:tc>
          <w:tcPr>
            <w:tcW w:w="580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tcPr>
          <w:p>
            <w:pPr>
              <w:ind w:left="140"/>
              <w:spacing w:after="0"/>
              <w:rPr>
                <w:sz w:val="20"/>
                <w:szCs w:val="20"/>
                <w:color w:val="auto"/>
              </w:rPr>
            </w:pPr>
            <w:r>
              <w:rPr>
                <w:rFonts w:ascii="Arial" w:cs="Arial" w:eastAsia="Arial" w:hAnsi="Arial"/>
                <w:sz w:val="13"/>
                <w:szCs w:val="13"/>
                <w:color w:val="auto"/>
              </w:rPr>
              <w:t>Crude Oil</w:t>
            </w:r>
            <w:r>
              <w:rPr>
                <w:rFonts w:ascii="Arial" w:cs="Arial" w:eastAsia="Arial" w:hAnsi="Arial"/>
                <w:sz w:val="10"/>
                <w:szCs w:val="10"/>
                <w:color w:val="auto"/>
              </w:rPr>
              <w:t>2</w:t>
            </w:r>
          </w:p>
        </w:tc>
        <w:tc>
          <w:tcPr>
            <w:tcW w:w="7620" w:type="dxa"/>
            <w:vAlign w:val="bottom"/>
            <w:gridSpan w:val="3"/>
          </w:tcPr>
          <w:p>
            <w:pPr>
              <w:jc w:val="right"/>
              <w:ind w:right="80"/>
              <w:spacing w:after="0"/>
              <w:rPr>
                <w:sz w:val="20"/>
                <w:szCs w:val="20"/>
                <w:color w:val="auto"/>
              </w:rPr>
            </w:pPr>
            <w:r>
              <w:rPr>
                <w:rFonts w:ascii="Arial" w:cs="Arial" w:eastAsia="Arial" w:hAnsi="Arial"/>
                <w:sz w:val="13"/>
                <w:szCs w:val="13"/>
                <w:color w:val="auto"/>
              </w:rPr>
              <w:t>2,886</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Natural Gas</w:t>
            </w:r>
          </w:p>
        </w:tc>
        <w:tc>
          <w:tcPr>
            <w:tcW w:w="7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2,263</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tcPr>
          <w:p>
            <w:pPr>
              <w:ind w:left="140"/>
              <w:spacing w:after="0"/>
              <w:rPr>
                <w:sz w:val="20"/>
                <w:szCs w:val="20"/>
                <w:color w:val="auto"/>
              </w:rPr>
            </w:pPr>
            <w:r>
              <w:rPr>
                <w:rFonts w:ascii="Arial" w:cs="Arial" w:eastAsia="Arial" w:hAnsi="Arial"/>
                <w:sz w:val="13"/>
                <w:szCs w:val="13"/>
                <w:color w:val="auto"/>
              </w:rPr>
              <w:t>Petroleum Products</w:t>
            </w:r>
            <w:r>
              <w:rPr>
                <w:rFonts w:ascii="Arial" w:cs="Arial" w:eastAsia="Arial" w:hAnsi="Arial"/>
                <w:sz w:val="10"/>
                <w:szCs w:val="10"/>
                <w:color w:val="auto"/>
              </w:rPr>
              <w:t>3</w:t>
            </w:r>
          </w:p>
        </w:tc>
        <w:tc>
          <w:tcPr>
            <w:tcW w:w="5800" w:type="dxa"/>
            <w:vAlign w:val="bottom"/>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6,030</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United States</w:t>
            </w:r>
          </w:p>
        </w:tc>
        <w:tc>
          <w:tcPr>
            <w:tcW w:w="7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11,179</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3"/>
                <w:szCs w:val="13"/>
                <w:color w:val="auto"/>
              </w:rPr>
              <w:t>International:</w:t>
            </w:r>
          </w:p>
        </w:tc>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Crude Oil</w:t>
            </w:r>
            <w:r>
              <w:rPr>
                <w:rFonts w:ascii="Arial" w:cs="Arial" w:eastAsia="Arial" w:hAnsi="Arial"/>
                <w:sz w:val="10"/>
                <w:szCs w:val="10"/>
                <w:color w:val="auto"/>
              </w:rPr>
              <w:t>2</w:t>
            </w:r>
          </w:p>
        </w:tc>
        <w:tc>
          <w:tcPr>
            <w:tcW w:w="7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700</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tcPr>
          <w:p>
            <w:pPr>
              <w:ind w:left="140"/>
              <w:spacing w:after="0"/>
              <w:rPr>
                <w:sz w:val="20"/>
                <w:szCs w:val="20"/>
                <w:color w:val="auto"/>
              </w:rPr>
            </w:pPr>
            <w:r>
              <w:rPr>
                <w:rFonts w:ascii="Arial" w:cs="Arial" w:eastAsia="Arial" w:hAnsi="Arial"/>
                <w:sz w:val="13"/>
                <w:szCs w:val="13"/>
                <w:color w:val="auto"/>
              </w:rPr>
              <w:t>Natural Gas</w:t>
            </w:r>
          </w:p>
        </w:tc>
        <w:tc>
          <w:tcPr>
            <w:tcW w:w="7620" w:type="dxa"/>
            <w:vAlign w:val="bottom"/>
            <w:gridSpan w:val="3"/>
          </w:tcPr>
          <w:p>
            <w:pPr>
              <w:jc w:val="right"/>
              <w:ind w:right="80"/>
              <w:spacing w:after="0"/>
              <w:rPr>
                <w:sz w:val="20"/>
                <w:szCs w:val="20"/>
                <w:color w:val="auto"/>
              </w:rPr>
            </w:pPr>
            <w:r>
              <w:rPr>
                <w:rFonts w:ascii="Arial" w:cs="Arial" w:eastAsia="Arial" w:hAnsi="Arial"/>
                <w:sz w:val="13"/>
                <w:szCs w:val="13"/>
                <w:color w:val="auto"/>
              </w:rPr>
              <w:t>576</w:t>
            </w:r>
          </w:p>
        </w:tc>
        <w:tc>
          <w:tcPr>
            <w:tcW w:w="100" w:type="dxa"/>
            <w:vAlign w:val="bottom"/>
            <w:tcBorders>
              <w:right w:val="single" w:sz="8" w:color="auto"/>
            </w:tcBorders>
          </w:tcPr>
          <w:p>
            <w:pPr>
              <w:spacing w:after="0"/>
              <w:rPr>
                <w:sz w:val="13"/>
                <w:szCs w:val="13"/>
                <w:color w:val="auto"/>
              </w:rPr>
            </w:pPr>
          </w:p>
        </w:tc>
      </w:tr>
      <w:tr>
        <w:trPr>
          <w:trHeight w:val="154"/>
        </w:trPr>
        <w:tc>
          <w:tcPr>
            <w:tcW w:w="80" w:type="dxa"/>
            <w:vAlign w:val="bottom"/>
            <w:tcBorders>
              <w:left w:val="single" w:sz="8" w:color="auto"/>
            </w:tcBorders>
          </w:tcPr>
          <w:p>
            <w:pPr>
              <w:spacing w:after="0"/>
              <w:rPr>
                <w:sz w:val="13"/>
                <w:szCs w:val="13"/>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Petroleum Products</w:t>
            </w:r>
            <w:r>
              <w:rPr>
                <w:rFonts w:ascii="Arial" w:cs="Arial" w:eastAsia="Arial" w:hAnsi="Arial"/>
                <w:sz w:val="10"/>
                <w:szCs w:val="10"/>
                <w:color w:val="auto"/>
              </w:rPr>
              <w:t>3</w:t>
            </w:r>
          </w:p>
        </w:tc>
        <w:tc>
          <w:tcPr>
            <w:tcW w:w="5800" w:type="dxa"/>
            <w:vAlign w:val="bottom"/>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80" w:type="dxa"/>
            <w:vAlign w:val="bottom"/>
            <w:shd w:val="clear" w:color="auto" w:fill="CCEEFF"/>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53"/>
        </w:trPr>
        <w:tc>
          <w:tcPr>
            <w:tcW w:w="80" w:type="dxa"/>
            <w:vAlign w:val="bottom"/>
            <w:tcBorders>
              <w:left w:val="single" w:sz="8" w:color="auto"/>
            </w:tcBorders>
          </w:tcPr>
          <w:p>
            <w:pPr>
              <w:spacing w:after="0"/>
              <w:rPr>
                <w:sz w:val="13"/>
                <w:szCs w:val="13"/>
                <w:color w:val="auto"/>
              </w:rPr>
            </w:pPr>
          </w:p>
        </w:tc>
        <w:tc>
          <w:tcPr>
            <w:tcW w:w="2640" w:type="dxa"/>
            <w:vAlign w:val="bottom"/>
          </w:tcPr>
          <w:p>
            <w:pPr>
              <w:ind w:left="140"/>
              <w:spacing w:after="0"/>
              <w:rPr>
                <w:sz w:val="20"/>
                <w:szCs w:val="20"/>
                <w:color w:val="auto"/>
              </w:rPr>
            </w:pPr>
            <w:r>
              <w:rPr>
                <w:rFonts w:ascii="Arial" w:cs="Arial" w:eastAsia="Arial" w:hAnsi="Arial"/>
                <w:sz w:val="13"/>
                <w:szCs w:val="13"/>
                <w:color w:val="auto"/>
              </w:rPr>
              <w:t>Total International</w:t>
            </w:r>
          </w:p>
        </w:tc>
        <w:tc>
          <w:tcPr>
            <w:tcW w:w="5800" w:type="dxa"/>
            <w:vAlign w:val="bottom"/>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1,709</w:t>
            </w:r>
          </w:p>
        </w:tc>
        <w:tc>
          <w:tcPr>
            <w:tcW w:w="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62"/>
        </w:trPr>
        <w:tc>
          <w:tcPr>
            <w:tcW w:w="80" w:type="dxa"/>
            <w:vAlign w:val="bottom"/>
            <w:tcBorders>
              <w:left w:val="single" w:sz="8" w:color="auto"/>
            </w:tcBorders>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Worldwide</w:t>
            </w:r>
          </w:p>
        </w:tc>
        <w:tc>
          <w:tcPr>
            <w:tcW w:w="7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12,888</w:t>
            </w:r>
          </w:p>
        </w:tc>
        <w:tc>
          <w:tcPr>
            <w:tcW w:w="100" w:type="dxa"/>
            <w:vAlign w:val="bottom"/>
            <w:tcBorders>
              <w:right w:val="single" w:sz="8" w:color="auto"/>
            </w:tcBorders>
          </w:tcPr>
          <w:p>
            <w:pPr>
              <w:spacing w:after="0"/>
              <w:rPr>
                <w:sz w:val="14"/>
                <w:szCs w:val="14"/>
                <w:color w:val="auto"/>
              </w:rPr>
            </w:pPr>
          </w:p>
        </w:tc>
      </w:tr>
      <w:tr>
        <w:trPr>
          <w:trHeight w:val="81"/>
        </w:trPr>
        <w:tc>
          <w:tcPr>
            <w:tcW w:w="80" w:type="dxa"/>
            <w:vAlign w:val="bottom"/>
            <w:tcBorders>
              <w:left w:val="single" w:sz="8" w:color="auto"/>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c>
          <w:tcPr>
            <w:tcW w:w="174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-1271905</wp:posOffset>
            </wp:positionV>
            <wp:extent cx="6517005" cy="1214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005" cy="1214120"/>
                    </a:xfrm>
                    <a:prstGeom prst="rect">
                      <a:avLst/>
                    </a:prstGeom>
                    <a:noFill/>
                  </pic:spPr>
                </pic:pic>
              </a:graphicData>
            </a:graphic>
          </wp:anchor>
        </w:drawing>
      </w:r>
    </w:p>
    <w:p>
      <w:pPr>
        <w:spacing w:after="0" w:line="58" w:lineRule="exact"/>
        <w:rPr>
          <w:sz w:val="20"/>
          <w:szCs w:val="20"/>
          <w:color w:val="auto"/>
        </w:rPr>
      </w:pPr>
    </w:p>
    <w:p>
      <w:pPr>
        <w:ind w:left="780" w:hanging="159"/>
        <w:spacing w:after="0"/>
        <w:tabs>
          <w:tab w:leader="none" w:pos="780"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Partially owned pipelines are included at the company’s equity percentage.</w:t>
      </w:r>
    </w:p>
    <w:p>
      <w:pPr>
        <w:ind w:left="780" w:hanging="159"/>
        <w:spacing w:after="0" w:line="188" w:lineRule="auto"/>
        <w:tabs>
          <w:tab w:leader="none" w:pos="780" w:val="left"/>
        </w:tabs>
        <w:numPr>
          <w:ilvl w:val="0"/>
          <w:numId w:val="26"/>
        </w:numPr>
        <w:rPr>
          <w:rFonts w:ascii="Arial" w:cs="Arial" w:eastAsia="Arial" w:hAnsi="Arial"/>
          <w:sz w:val="16"/>
          <w:szCs w:val="16"/>
          <w:color w:val="auto"/>
          <w:vertAlign w:val="superscript"/>
        </w:rPr>
      </w:pPr>
      <w:r>
        <w:rPr>
          <w:rFonts w:ascii="Arial" w:cs="Arial" w:eastAsia="Arial" w:hAnsi="Arial"/>
          <w:sz w:val="10"/>
          <w:szCs w:val="10"/>
          <w:color w:val="auto"/>
        </w:rPr>
        <w:t>Includes gathering lines related to the transportation function. Excludes gathering lines related to U.S. and international production activities.</w:t>
      </w:r>
    </w:p>
    <w:p>
      <w:pPr>
        <w:spacing w:after="0" w:line="7" w:lineRule="exact"/>
        <w:rPr>
          <w:rFonts w:ascii="Arial" w:cs="Arial" w:eastAsia="Arial" w:hAnsi="Arial"/>
          <w:sz w:val="16"/>
          <w:szCs w:val="16"/>
          <w:color w:val="auto"/>
          <w:vertAlign w:val="superscript"/>
        </w:rPr>
      </w:pPr>
    </w:p>
    <w:p>
      <w:pPr>
        <w:ind w:left="620"/>
        <w:spacing w:after="0"/>
        <w:rPr>
          <w:rFonts w:ascii="Arial" w:cs="Arial" w:eastAsia="Arial" w:hAnsi="Arial"/>
          <w:sz w:val="16"/>
          <w:szCs w:val="16"/>
          <w:color w:val="auto"/>
          <w:vertAlign w:val="superscript"/>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Includes refined products, chemicals and natural gas liquids.</w:t>
      </w:r>
    </w:p>
    <w:p>
      <w:pPr>
        <w:spacing w:after="0" w:line="10" w:lineRule="exact"/>
        <w:rPr>
          <w:sz w:val="20"/>
          <w:szCs w:val="20"/>
          <w:color w:val="auto"/>
        </w:rPr>
      </w:pPr>
    </w:p>
    <w:p>
      <w:pPr>
        <w:ind w:left="460" w:right="80"/>
        <w:spacing w:after="0" w:line="279" w:lineRule="auto"/>
        <w:rPr>
          <w:sz w:val="20"/>
          <w:szCs w:val="20"/>
          <w:color w:val="auto"/>
        </w:rPr>
      </w:pPr>
      <w:r>
        <w:rPr>
          <w:rFonts w:ascii="Arial" w:cs="Arial" w:eastAsia="Arial" w:hAnsi="Arial"/>
          <w:sz w:val="12"/>
          <w:szCs w:val="12"/>
          <w:color w:val="auto"/>
        </w:rPr>
        <w:t>During 2008, the company completed the construction of a natural gas gathering pipeline serving the Piceance Basin in northwest Colorado; participated in the successful installation of the Amberjack-Tahiti lateral pipeline on the seafloor of the U.S. Gulf of Mexico; and led the expansion of the West Texas LPG pipeline system. Chevron also continued with a project during 2008 to expand capacity by about 2 billion cubic feet at the Keystone natural-gas storage facility. The project is expected to be completed in late 2009.</w:t>
      </w:r>
    </w:p>
    <w:p>
      <w:pPr>
        <w:spacing w:after="0" w:line="57" w:lineRule="exact"/>
        <w:rPr>
          <w:sz w:val="20"/>
          <w:szCs w:val="20"/>
          <w:color w:val="auto"/>
        </w:rPr>
      </w:pPr>
    </w:p>
    <w:p>
      <w:pPr>
        <w:jc w:val="both"/>
        <w:ind w:left="460" w:right="300"/>
        <w:spacing w:after="0" w:line="253" w:lineRule="auto"/>
        <w:rPr>
          <w:sz w:val="20"/>
          <w:szCs w:val="20"/>
          <w:color w:val="auto"/>
        </w:rPr>
      </w:pPr>
      <w:r>
        <w:rPr>
          <w:rFonts w:ascii="Arial" w:cs="Arial" w:eastAsia="Arial" w:hAnsi="Arial"/>
          <w:sz w:val="13"/>
          <w:szCs w:val="13"/>
          <w:color w:val="auto"/>
        </w:rPr>
        <w:t>Chevron has a 15 percent interest in the Caspian Pipeline Consortium (CPC) affiliate. CPC operates a crude oil export pipeline from the Tengiz Field in Kazakhstan to the Russian Black Sea port of Novorossiysk. During 2008, CPC transported an average of approximately 675,000 barrels of crude oil per day, including 557,000 barrels per day from Kazakhstan and 118,000 barrels per day from Russia. In late 2008, the CPC partners signed a Memorandum of Understanding to expand the design capacity to 1.4 million barrels per day. A final investment decision is expected after commercial terms have been agreed upon and required government approvals have been received.</w:t>
      </w:r>
    </w:p>
    <w:p>
      <w:pPr>
        <w:spacing w:after="0" w:line="26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The company has a 9 percent interest in the Baku-Tbilisi-Ceyhan (BTC) affiliate that owns and operates a pipeline that transports primarily the crude oil produced by Azerbaijan International Operating Company (AIOC) (owned 10 percent by Chevron) from Baku, Azerbaijan, through Georgia to deepwater port facilities in Ceyhan, Turkey. The BTC pipeline has a crude-oil capacity of 1.2 million barrels per day and transports the majority of the AIOC production. Another production export route for crude oil is the Western Route Export Pipeline, wholly owned by AIOC, with capacity to transport 145,000 barrels per day from Baku, Azerbaijan, to the marine terminal at Supsa, Georgia.</w:t>
      </w:r>
    </w:p>
    <w:p>
      <w:pPr>
        <w:spacing w:after="0" w:line="71"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Chevron is the largest shareholder, with a 37 percent interest, in the West African Gas Pipeline Company Limited affiliate, which constructed, owns and operates the 421-mile (678-km) West African Gas Pipeline. The pipeline is designed to supply Nigerian natural gas to customers in Benin, Ghana and Togo for industrial applications and power generation and is expected to have capacity of 170 million cubic feet of natural gas per day by 2010. First gas was shipped in December 2008.</w:t>
      </w:r>
    </w:p>
    <w:p>
      <w:pPr>
        <w:spacing w:after="0" w:line="65" w:lineRule="exact"/>
        <w:rPr>
          <w:sz w:val="20"/>
          <w:szCs w:val="20"/>
          <w:color w:val="auto"/>
        </w:rPr>
      </w:pPr>
    </w:p>
    <w:p>
      <w:pPr>
        <w:ind w:left="460" w:right="300"/>
        <w:spacing w:after="0" w:line="273" w:lineRule="auto"/>
        <w:rPr>
          <w:sz w:val="20"/>
          <w:szCs w:val="20"/>
          <w:color w:val="auto"/>
        </w:rPr>
      </w:pPr>
      <w:r>
        <w:rPr>
          <w:rFonts w:ascii="Arial" w:cs="Arial" w:eastAsia="Arial" w:hAnsi="Arial"/>
          <w:sz w:val="13"/>
          <w:szCs w:val="13"/>
          <w:b w:val="1"/>
          <w:bCs w:val="1"/>
          <w:color w:val="auto"/>
        </w:rPr>
        <w:t xml:space="preserve">Tankers: </w:t>
      </w:r>
      <w:r>
        <w:rPr>
          <w:rFonts w:ascii="Arial" w:cs="Arial" w:eastAsia="Arial" w:hAnsi="Arial"/>
          <w:sz w:val="13"/>
          <w:szCs w:val="13"/>
          <w:color w:val="auto"/>
        </w:rPr>
        <w:t>All tankers in Chevron’s controlled seagoing fleet were utilized during 2008. In addition, at any given time during 2008 the company had approximately 40 deep-sea vessels chartered on a</w:t>
      </w:r>
      <w:r>
        <w:rPr>
          <w:rFonts w:ascii="Arial" w:cs="Arial" w:eastAsia="Arial" w:hAnsi="Arial"/>
          <w:sz w:val="13"/>
          <w:szCs w:val="13"/>
          <w:b w:val="1"/>
          <w:bCs w:val="1"/>
          <w:color w:val="auto"/>
        </w:rPr>
        <w:t xml:space="preserve"> </w:t>
      </w:r>
      <w:r>
        <w:rPr>
          <w:rFonts w:ascii="Arial" w:cs="Arial" w:eastAsia="Arial" w:hAnsi="Arial"/>
          <w:sz w:val="13"/>
          <w:szCs w:val="13"/>
          <w:color w:val="auto"/>
        </w:rPr>
        <w:t>voyage basis, or for a period of less than one year. Additionally, the following table summarizes the capacity of the company’s controlled fleet.</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Controlled Tankers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99060</wp:posOffset>
            </wp:positionV>
            <wp:extent cx="6633845" cy="763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3845" cy="763270"/>
                    </a:xfrm>
                    <a:prstGeom prst="rect">
                      <a:avLst/>
                    </a:prstGeom>
                    <a:noFill/>
                  </pic:spPr>
                </pic:pic>
              </a:graphicData>
            </a:graphic>
          </wp:anchor>
        </w:drawing>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120"/>
        </w:trPr>
        <w:tc>
          <w:tcPr>
            <w:tcW w:w="3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ind w:left="220"/>
              <w:spacing w:after="0"/>
              <w:rPr>
                <w:sz w:val="20"/>
                <w:szCs w:val="20"/>
                <w:color w:val="auto"/>
              </w:rPr>
            </w:pPr>
            <w:r>
              <w:rPr>
                <w:rFonts w:ascii="Arial" w:cs="Arial" w:eastAsia="Arial" w:hAnsi="Arial"/>
                <w:sz w:val="10"/>
                <w:szCs w:val="10"/>
                <w:b w:val="1"/>
                <w:bCs w:val="1"/>
                <w:color w:val="auto"/>
              </w:rPr>
              <w:t>U.S. Flag</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20" w:type="dxa"/>
            <w:vAlign w:val="bottom"/>
            <w:gridSpan w:val="2"/>
          </w:tcPr>
          <w:p>
            <w:pPr>
              <w:ind w:left="120"/>
              <w:spacing w:after="0"/>
              <w:rPr>
                <w:sz w:val="20"/>
                <w:szCs w:val="20"/>
                <w:color w:val="auto"/>
              </w:rPr>
            </w:pPr>
            <w:r>
              <w:rPr>
                <w:rFonts w:ascii="Arial" w:cs="Arial" w:eastAsia="Arial" w:hAnsi="Arial"/>
                <w:sz w:val="10"/>
                <w:szCs w:val="10"/>
                <w:b w:val="1"/>
                <w:bCs w:val="1"/>
                <w:color w:val="auto"/>
              </w:rPr>
              <w:t>Foreign Flag</w:t>
            </w:r>
          </w:p>
        </w:tc>
      </w:tr>
      <w:tr>
        <w:trPr>
          <w:trHeight w:val="81"/>
        </w:trPr>
        <w:tc>
          <w:tcPr>
            <w:tcW w:w="3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700" w:type="dxa"/>
            <w:vAlign w:val="bottom"/>
            <w:tcBorders>
              <w:top w:val="single" w:sz="8" w:color="auto"/>
            </w:tcBorders>
          </w:tcPr>
          <w:p>
            <w:pPr>
              <w:jc w:val="center"/>
              <w:ind w:left="330"/>
              <w:spacing w:after="0" w:line="81" w:lineRule="exact"/>
              <w:rPr>
                <w:sz w:val="20"/>
                <w:szCs w:val="20"/>
                <w:color w:val="auto"/>
              </w:rPr>
            </w:pPr>
            <w:r>
              <w:rPr>
                <w:rFonts w:ascii="Arial" w:cs="Arial" w:eastAsia="Arial" w:hAnsi="Arial"/>
                <w:sz w:val="9"/>
                <w:szCs w:val="9"/>
                <w:b w:val="1"/>
                <w:bCs w:val="1"/>
                <w:color w:val="auto"/>
              </w:rPr>
              <w:t>Cargo Capacity</w:t>
            </w:r>
          </w:p>
        </w:tc>
        <w:tc>
          <w:tcPr>
            <w:tcW w:w="3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Cargo Capacity</w:t>
            </w:r>
          </w:p>
        </w:tc>
        <w:tc>
          <w:tcPr>
            <w:tcW w:w="80" w:type="dxa"/>
            <w:vAlign w:val="bottom"/>
          </w:tcPr>
          <w:p>
            <w:pPr>
              <w:spacing w:after="0"/>
              <w:rPr>
                <w:sz w:val="7"/>
                <w:szCs w:val="7"/>
                <w:color w:val="auto"/>
              </w:rPr>
            </w:pPr>
          </w:p>
        </w:tc>
      </w:tr>
      <w:tr>
        <w:trPr>
          <w:trHeight w:val="120"/>
        </w:trPr>
        <w:tc>
          <w:tcPr>
            <w:tcW w:w="3100" w:type="dxa"/>
            <w:vAlign w:val="bottom"/>
          </w:tcPr>
          <w:p>
            <w:pPr>
              <w:spacing w:after="0"/>
              <w:rPr>
                <w:sz w:val="10"/>
                <w:szCs w:val="10"/>
                <w:color w:val="auto"/>
              </w:rPr>
            </w:pPr>
          </w:p>
        </w:tc>
        <w:tc>
          <w:tcPr>
            <w:tcW w:w="580" w:type="dxa"/>
            <w:vAlign w:val="bottom"/>
          </w:tcPr>
          <w:p>
            <w:pPr>
              <w:ind w:left="180"/>
              <w:spacing w:after="0"/>
              <w:rPr>
                <w:sz w:val="20"/>
                <w:szCs w:val="20"/>
                <w:color w:val="auto"/>
              </w:rPr>
            </w:pPr>
            <w:r>
              <w:rPr>
                <w:rFonts w:ascii="Arial" w:cs="Arial" w:eastAsia="Arial" w:hAnsi="Arial"/>
                <w:sz w:val="10"/>
                <w:szCs w:val="10"/>
                <w:b w:val="1"/>
                <w:bCs w:val="1"/>
                <w:color w:val="auto"/>
              </w:rPr>
              <w:t>Number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Pr>
          <w:p>
            <w:pPr>
              <w:jc w:val="center"/>
              <w:ind w:left="330"/>
              <w:spacing w:after="0"/>
              <w:rPr>
                <w:sz w:val="20"/>
                <w:szCs w:val="20"/>
                <w:color w:val="auto"/>
              </w:rPr>
            </w:pPr>
            <w:r>
              <w:rPr>
                <w:rFonts w:ascii="Arial" w:cs="Arial" w:eastAsia="Arial" w:hAnsi="Arial"/>
                <w:sz w:val="10"/>
                <w:szCs w:val="10"/>
                <w:b w:val="1"/>
                <w:bCs w:val="1"/>
                <w:color w:val="auto"/>
                <w:w w:val="94"/>
              </w:rPr>
              <w:t>(Millions of Barrels)</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gridSpan w:val="2"/>
          </w:tcPr>
          <w:p>
            <w:pPr>
              <w:ind w:left="180"/>
              <w:spacing w:after="0"/>
              <w:rPr>
                <w:sz w:val="20"/>
                <w:szCs w:val="20"/>
                <w:color w:val="auto"/>
              </w:rPr>
            </w:pPr>
            <w:r>
              <w:rPr>
                <w:rFonts w:ascii="Arial" w:cs="Arial" w:eastAsia="Arial" w:hAnsi="Arial"/>
                <w:sz w:val="10"/>
                <w:szCs w:val="10"/>
                <w:b w:val="1"/>
                <w:bCs w:val="1"/>
                <w:color w:val="auto"/>
              </w:rPr>
              <w:t>Number</w:t>
            </w:r>
          </w:p>
        </w:tc>
        <w:tc>
          <w:tcPr>
            <w:tcW w:w="21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(Millions of Barrels)</w:t>
            </w:r>
          </w:p>
        </w:tc>
      </w:tr>
      <w:tr>
        <w:trPr>
          <w:trHeight w:val="28"/>
        </w:trPr>
        <w:tc>
          <w:tcPr>
            <w:tcW w:w="3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Owned</w:t>
            </w:r>
          </w:p>
        </w:tc>
        <w:tc>
          <w:tcPr>
            <w:tcW w:w="66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w:t>
            </w:r>
          </w:p>
        </w:tc>
        <w:tc>
          <w:tcPr>
            <w:tcW w:w="17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0.8</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w:t>
            </w: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r>
      <w:tr>
        <w:trPr>
          <w:trHeight w:val="154"/>
        </w:trPr>
        <w:tc>
          <w:tcPr>
            <w:tcW w:w="3680" w:type="dxa"/>
            <w:vAlign w:val="bottom"/>
            <w:gridSpan w:val="2"/>
          </w:tcPr>
          <w:p>
            <w:pPr>
              <w:spacing w:after="0"/>
              <w:rPr>
                <w:sz w:val="20"/>
                <w:szCs w:val="20"/>
                <w:color w:val="auto"/>
              </w:rPr>
            </w:pPr>
            <w:r>
              <w:rPr>
                <w:rFonts w:ascii="Arial" w:cs="Arial" w:eastAsia="Arial" w:hAnsi="Arial"/>
                <w:sz w:val="13"/>
                <w:szCs w:val="13"/>
                <w:color w:val="auto"/>
              </w:rPr>
              <w:t>Bareboat Chartered</w:t>
            </w:r>
          </w:p>
        </w:tc>
        <w:tc>
          <w:tcPr>
            <w:tcW w:w="660" w:type="dxa"/>
            <w:vAlign w:val="bottom"/>
            <w:gridSpan w:val="2"/>
          </w:tcPr>
          <w:p>
            <w:pPr>
              <w:jc w:val="right"/>
              <w:ind w:right="520"/>
              <w:spacing w:after="0"/>
              <w:rPr>
                <w:sz w:val="20"/>
                <w:szCs w:val="20"/>
                <w:color w:val="auto"/>
              </w:rPr>
            </w:pPr>
            <w:r>
              <w:rPr>
                <w:rFonts w:ascii="Arial" w:cs="Arial" w:eastAsia="Arial" w:hAnsi="Arial"/>
                <w:sz w:val="13"/>
                <w:szCs w:val="13"/>
                <w:color w:val="auto"/>
              </w:rPr>
              <w:t>2</w:t>
            </w:r>
          </w:p>
        </w:tc>
        <w:tc>
          <w:tcPr>
            <w:tcW w:w="170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color w:val="auto"/>
              </w:rPr>
              <w:t>0.7</w:t>
            </w:r>
          </w:p>
        </w:tc>
        <w:tc>
          <w:tcPr>
            <w:tcW w:w="1220" w:type="dxa"/>
            <w:vAlign w:val="bottom"/>
            <w:gridSpan w:val="2"/>
          </w:tcPr>
          <w:p>
            <w:pPr>
              <w:jc w:val="right"/>
              <w:ind w:right="500"/>
              <w:spacing w:after="0"/>
              <w:rPr>
                <w:sz w:val="20"/>
                <w:szCs w:val="20"/>
                <w:color w:val="auto"/>
              </w:rPr>
            </w:pPr>
            <w:r>
              <w:rPr>
                <w:rFonts w:ascii="Arial" w:cs="Arial" w:eastAsia="Arial" w:hAnsi="Arial"/>
                <w:sz w:val="13"/>
                <w:szCs w:val="13"/>
                <w:color w:val="auto"/>
              </w:rPr>
              <w:t>18</w:t>
            </w:r>
          </w:p>
        </w:tc>
        <w:tc>
          <w:tcPr>
            <w:tcW w:w="2120" w:type="dxa"/>
            <w:vAlign w:val="bottom"/>
            <w:gridSpan w:val="2"/>
          </w:tcPr>
          <w:p>
            <w:pPr>
              <w:jc w:val="right"/>
              <w:ind w:right="80"/>
              <w:spacing w:after="0"/>
              <w:rPr>
                <w:sz w:val="20"/>
                <w:szCs w:val="20"/>
                <w:color w:val="auto"/>
              </w:rPr>
            </w:pPr>
            <w:r>
              <w:rPr>
                <w:rFonts w:ascii="Arial" w:cs="Arial" w:eastAsia="Arial" w:hAnsi="Arial"/>
                <w:sz w:val="13"/>
                <w:szCs w:val="13"/>
                <w:color w:val="auto"/>
              </w:rPr>
              <w:t>27.1</w:t>
            </w:r>
          </w:p>
        </w:tc>
      </w:tr>
      <w:tr>
        <w:trPr>
          <w:trHeight w:val="154"/>
        </w:trPr>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Time Chartered*</w:t>
            </w:r>
          </w:p>
        </w:tc>
        <w:tc>
          <w:tcPr>
            <w:tcW w:w="2360" w:type="dxa"/>
            <w:vAlign w:val="bottom"/>
            <w:gridSpan w:val="3"/>
            <w:shd w:val="clear" w:color="auto" w:fill="CCEEFF"/>
          </w:tcPr>
          <w:p>
            <w:pPr>
              <w:jc w:val="right"/>
              <w:ind w:right="217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17</w:t>
            </w: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r>
      <w:tr>
        <w:trPr>
          <w:trHeight w:val="156"/>
        </w:trPr>
        <w:tc>
          <w:tcPr>
            <w:tcW w:w="310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52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w:t>
            </w:r>
          </w:p>
        </w:tc>
        <w:tc>
          <w:tcPr>
            <w:tcW w:w="52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500" w:type="dxa"/>
            <w:vAlign w:val="bottom"/>
          </w:tcPr>
          <w:p>
            <w:pPr>
              <w:spacing w:after="0"/>
              <w:rPr>
                <w:sz w:val="13"/>
                <w:szCs w:val="13"/>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42.8</w:t>
            </w:r>
          </w:p>
        </w:tc>
        <w:tc>
          <w:tcPr>
            <w:tcW w:w="80" w:type="dxa"/>
            <w:vAlign w:val="bottom"/>
          </w:tcPr>
          <w:p>
            <w:pPr>
              <w:spacing w:after="0"/>
              <w:rPr>
                <w:sz w:val="13"/>
                <w:szCs w:val="13"/>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One year or more.</w:t>
      </w:r>
    </w:p>
    <w:p>
      <w:pPr>
        <w:spacing w:after="0" w:line="91" w:lineRule="exact"/>
        <w:rPr>
          <w:sz w:val="20"/>
          <w:szCs w:val="20"/>
          <w:color w:val="auto"/>
        </w:rPr>
      </w:pPr>
    </w:p>
    <w:p>
      <w:pPr>
        <w:jc w:val="both"/>
        <w:ind w:left="460" w:right="160"/>
        <w:spacing w:after="0" w:line="325" w:lineRule="auto"/>
        <w:rPr>
          <w:sz w:val="20"/>
          <w:szCs w:val="20"/>
          <w:color w:val="auto"/>
        </w:rPr>
      </w:pPr>
      <w:r>
        <w:rPr>
          <w:rFonts w:ascii="Arial" w:cs="Arial" w:eastAsia="Arial" w:hAnsi="Arial"/>
          <w:sz w:val="11"/>
          <w:szCs w:val="11"/>
          <w:color w:val="auto"/>
        </w:rPr>
        <w:t>Federal law requires that cargo transported between U.S. ports be carried in ships built and registered in the United States, owned and operated by U.S. entities, and manned by U.S. crews. In 2008, the company’s U.S. flag fleet was engaged primarily in transporting refined products between the Gulf Coast and the East Coast and from California refineries to terminals on the West Coast and in Alaska and Hawaii. One U.S.-flagged product tanker, capable of carrying 300,000 barrels of cargo, was delivered in 2008 and two additional U.S.-flagged product tankers are scheduled for delivery in 2010.</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foreign-flagged vessels were engaged primarily in transporting crude oil from the Middle East, Asia, the Black Sea, Mexico and West Africa to ports in the United States, Europe, Australia and Asia.</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Refined products were also transported by tanker worldwide.</w:t>
      </w:r>
    </w:p>
    <w:p>
      <w:pPr>
        <w:spacing w:after="0" w:line="82" w:lineRule="exact"/>
        <w:rPr>
          <w:sz w:val="20"/>
          <w:szCs w:val="20"/>
          <w:color w:val="auto"/>
        </w:rPr>
      </w:pPr>
    </w:p>
    <w:p>
      <w:pPr>
        <w:ind w:left="460" w:right="220"/>
        <w:spacing w:after="0" w:line="256" w:lineRule="auto"/>
        <w:rPr>
          <w:sz w:val="20"/>
          <w:szCs w:val="20"/>
          <w:color w:val="auto"/>
        </w:rPr>
      </w:pPr>
      <w:r>
        <w:rPr>
          <w:rFonts w:ascii="Arial" w:cs="Arial" w:eastAsia="Arial" w:hAnsi="Arial"/>
          <w:sz w:val="13"/>
          <w:szCs w:val="13"/>
          <w:color w:val="auto"/>
        </w:rPr>
        <w:t>In addition to the vessels described above, the company owns a one-sixth interest in each of seven LNG tankers transporting cargoes for the North West Shelf (NWS) Venture in Australia. The NWS project also has two LNG tankers under long-term time charter. In 2008, the company sold its two LNG shipbuilding contracts with Samsung Heavy Industries, but retained the option to purchase two new LNG vessels.</w:t>
      </w:r>
    </w:p>
    <w:p>
      <w:pPr>
        <w:spacing w:after="0" w:line="69"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The Federal Oil Pollution Act of 1990 requires the phase-out by year-end 2010 of all single-hull tankers trading to U.S. ports or transferring cargo in waters within the U.S. Exclusive Economic Zone. As of the end of 2008, the company’s owned and bareboat-chartered fleet was completely double-hulled. The company is a member of many oil-spill-response cooperatives in areas in which it operates around the world.</w:t>
      </w:r>
    </w:p>
    <w:p>
      <w:pPr>
        <w:spacing w:after="0" w:line="142"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Chemicals</w:t>
      </w:r>
    </w:p>
    <w:p>
      <w:pPr>
        <w:spacing w:after="0" w:line="95" w:lineRule="exact"/>
        <w:rPr>
          <w:sz w:val="20"/>
          <w:szCs w:val="20"/>
          <w:color w:val="auto"/>
        </w:rPr>
      </w:pPr>
    </w:p>
    <w:p>
      <w:pPr>
        <w:ind w:left="460" w:right="60"/>
        <w:spacing w:after="0" w:line="267" w:lineRule="auto"/>
        <w:rPr>
          <w:sz w:val="20"/>
          <w:szCs w:val="20"/>
          <w:color w:val="auto"/>
        </w:rPr>
      </w:pPr>
      <w:r>
        <w:rPr>
          <w:rFonts w:ascii="Arial" w:cs="Arial" w:eastAsia="Arial" w:hAnsi="Arial"/>
          <w:sz w:val="13"/>
          <w:szCs w:val="13"/>
          <w:color w:val="auto"/>
        </w:rPr>
        <w:t>Chevron Phillips Chemical Company LLC (CPChem) is equally owned with ConocoPhillips Corporation. At the end of 2008, CPChem owned or had joint venture interests in 35 manufacturing facilities and five research and technical centers in Belgium, Brazil, China, Colombia, Qatar, Saudi Arabia, Singapore, South Korea and the United States.</w:t>
      </w:r>
    </w:p>
    <w:p>
      <w:pPr>
        <w:spacing w:after="0" w:line="61" w:lineRule="exact"/>
        <w:rPr>
          <w:sz w:val="20"/>
          <w:szCs w:val="20"/>
          <w:color w:val="auto"/>
        </w:rPr>
      </w:pPr>
    </w:p>
    <w:p>
      <w:pPr>
        <w:ind w:left="460" w:right="560"/>
        <w:spacing w:after="0" w:line="256" w:lineRule="auto"/>
        <w:rPr>
          <w:sz w:val="20"/>
          <w:szCs w:val="20"/>
          <w:color w:val="auto"/>
        </w:rPr>
      </w:pPr>
      <w:r>
        <w:rPr>
          <w:rFonts w:ascii="Arial" w:cs="Arial" w:eastAsia="Arial" w:hAnsi="Arial"/>
          <w:sz w:val="13"/>
          <w:szCs w:val="13"/>
          <w:color w:val="auto"/>
        </w:rPr>
        <w:t>Americas Styrenics LLC, a 50-50 joint venture between CPChem and Dow Chemical Company, began commercial operations in 2008. This joint venture combined CPChem’s U.S. styrene and polystyrene operations with Dow’s U.S. and Latin America polystyrene operations. Also, construction continued on the new 22 million-pound-per-year Ryton</w:t>
      </w:r>
      <w:r>
        <w:rPr>
          <w:rFonts w:ascii="Arial" w:cs="Arial" w:eastAsia="Arial" w:hAnsi="Arial"/>
          <w:sz w:val="10"/>
          <w:szCs w:val="10"/>
          <w:color w:val="auto"/>
        </w:rPr>
        <w:t>®</w:t>
      </w:r>
      <w:r>
        <w:rPr>
          <w:rFonts w:ascii="Arial" w:cs="Arial" w:eastAsia="Arial" w:hAnsi="Arial"/>
          <w:sz w:val="13"/>
          <w:szCs w:val="13"/>
          <w:color w:val="auto"/>
        </w:rPr>
        <w:t xml:space="preserve"> polyphenylene-sulfide (PPS) manufacturing facility at Borger, Texas. Completion of this plant is expected in second quarter 2009.</w:t>
      </w:r>
    </w:p>
    <w:p>
      <w:pPr>
        <w:spacing w:after="0" w:line="262"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8" w:right="79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jc w:val="both"/>
        <w:ind w:left="460"/>
        <w:spacing w:after="0" w:line="256" w:lineRule="auto"/>
        <w:rPr>
          <w:sz w:val="20"/>
          <w:szCs w:val="20"/>
          <w:color w:val="auto"/>
        </w:rPr>
      </w:pPr>
      <w:r>
        <w:rPr>
          <w:rFonts w:ascii="Arial" w:cs="Arial" w:eastAsia="Arial" w:hAnsi="Arial"/>
          <w:sz w:val="13"/>
          <w:szCs w:val="13"/>
          <w:color w:val="auto"/>
        </w:rPr>
        <w:t>Outside the United States, CPChem’s 50 percent-owned Jubail Chevron Phillips Company began commercial production at its world-scale styrene facility at Al Jubail, Saudi Arabia. The styrene facility is located adjacent to an existing aromatics complex in Al Jubail that is jointly owned by CPChem and the Saudi Industrial Investment Group. Also during 2008, construction commenced by Saudi Polymers Company, a joint venture company formed to build a third petrochemical project in Al Jubail. Project completion is expected in 2011.</w:t>
      </w:r>
    </w:p>
    <w:p>
      <w:pPr>
        <w:spacing w:after="0" w:line="69" w:lineRule="exact"/>
        <w:rPr>
          <w:sz w:val="20"/>
          <w:szCs w:val="20"/>
          <w:color w:val="auto"/>
        </w:rPr>
      </w:pPr>
    </w:p>
    <w:p>
      <w:pPr>
        <w:jc w:val="both"/>
        <w:ind w:left="460" w:right="20"/>
        <w:spacing w:after="0" w:line="325" w:lineRule="auto"/>
        <w:rPr>
          <w:sz w:val="20"/>
          <w:szCs w:val="20"/>
          <w:color w:val="auto"/>
        </w:rPr>
      </w:pPr>
      <w:r>
        <w:rPr>
          <w:rFonts w:ascii="Arial" w:cs="Arial" w:eastAsia="Arial" w:hAnsi="Arial"/>
          <w:sz w:val="11"/>
          <w:szCs w:val="11"/>
          <w:color w:val="auto"/>
        </w:rPr>
        <w:t>CPChem continued construction during 2008 on the 49 percent-owned Q-Chem II project in Mesaieed, Qatar. The project includes a 350,000-metric-ton-per-year polyethylene plant and a 345,000-metric-ton-per-year normal alpha olefins plant — each utilizing CPChem proprietary technology — and is located adjacent to the existing Q-Chem I complex. Q-Chem II also includes a separate joint venture to develop a 1.3 million-metric-ton-per-year ethylene cracker at Qatar’s Ras Laffan Industrial City, in which Q-Chem II owns 54 percent of the capacity rights. Start-up is anticipated in late 2009.</w:t>
      </w:r>
    </w:p>
    <w:p>
      <w:pPr>
        <w:spacing w:after="0" w:line="34" w:lineRule="exact"/>
        <w:rPr>
          <w:sz w:val="20"/>
          <w:szCs w:val="20"/>
          <w:color w:val="auto"/>
        </w:rPr>
      </w:pPr>
    </w:p>
    <w:p>
      <w:pPr>
        <w:ind w:left="460" w:right="20"/>
        <w:spacing w:after="0" w:line="308" w:lineRule="auto"/>
        <w:rPr>
          <w:sz w:val="20"/>
          <w:szCs w:val="20"/>
          <w:color w:val="auto"/>
        </w:rPr>
      </w:pPr>
      <w:r>
        <w:rPr>
          <w:rFonts w:ascii="Arial" w:cs="Arial" w:eastAsia="Arial" w:hAnsi="Arial"/>
          <w:sz w:val="11"/>
          <w:szCs w:val="11"/>
          <w:color w:val="auto"/>
        </w:rPr>
        <w:t>Chevron’s Oronite brand lubricant and fuel additives business is a leading developer, manufacturer and marketer of performance additives for lubricating oils and fuels. The company owns and operates facilities in Brazil, France, Japan, the Netherlands, Singapore and the United States and has equity interests in facilities in India and Mexico. Oronite provides additives for lubricating oil in most engine applications, such as passenger car, heavy-duty diesel, marine, locomotive and motorcycle engines, and additives for fuels to improve engine performance and extend engine life. Oronite completed construction and started up the hydrofluoric acid replacement alkylation units in Gonfreville, France, during 2008. Commercial production commenced in January 2009. Also during 2008, the Gonfreville facility began full commercial production of new sulfur-free detergent components for marine engine applications and low-sulfur components for automotive engine oil applications.</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Other Businesses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Mining</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Chevron’s U.S.-based mining company produces and markets coal and molybdenum. Sales occur in both U.S. and international markets.</w:t>
      </w:r>
    </w:p>
    <w:p>
      <w:pPr>
        <w:spacing w:after="0" w:line="91"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The company owns and operates two surface coal mines, McKinley, in New Mexico, and Kemmerer, in Wyoming, and one underground coal mine, North River, in Alabama. The company also owns a 50 percent interest in Youngs Creek Mining Company LLC, a joint venture to develop a coal mine in northern Wyoming. Coal sales from wholly owned mines were 11 million tons, down about 1 million tons from 2007.</w:t>
      </w:r>
    </w:p>
    <w:p>
      <w:pPr>
        <w:spacing w:after="0" w:line="69" w:lineRule="exact"/>
        <w:rPr>
          <w:sz w:val="20"/>
          <w:szCs w:val="20"/>
          <w:color w:val="auto"/>
        </w:rPr>
      </w:pPr>
    </w:p>
    <w:p>
      <w:pPr>
        <w:ind w:left="460" w:right="320"/>
        <w:spacing w:after="0" w:line="359" w:lineRule="auto"/>
        <w:rPr>
          <w:sz w:val="20"/>
          <w:szCs w:val="20"/>
          <w:color w:val="auto"/>
        </w:rPr>
      </w:pPr>
      <w:r>
        <w:rPr>
          <w:rFonts w:ascii="Arial" w:cs="Arial" w:eastAsia="Arial" w:hAnsi="Arial"/>
          <w:sz w:val="11"/>
          <w:szCs w:val="11"/>
          <w:color w:val="auto"/>
        </w:rPr>
        <w:t>At year-end 2008, Chevron controlled approximately 200 million tons of proven and probable coal reserves in the United States, including reserves of environmentally desirable low-sulfur coal. The company is contractually committed to deliver between 8 million and 11 million tons of coal per year through the end of 2010 and believes it will satisfy these contracts from existing coal reserves.</w:t>
      </w:r>
    </w:p>
    <w:p>
      <w:pPr>
        <w:spacing w:after="0" w:line="16" w:lineRule="exact"/>
        <w:rPr>
          <w:sz w:val="20"/>
          <w:szCs w:val="20"/>
          <w:color w:val="auto"/>
        </w:rPr>
      </w:pPr>
    </w:p>
    <w:p>
      <w:pPr>
        <w:ind w:left="460" w:right="600"/>
        <w:spacing w:after="0" w:line="267" w:lineRule="auto"/>
        <w:rPr>
          <w:sz w:val="20"/>
          <w:szCs w:val="20"/>
          <w:color w:val="auto"/>
        </w:rPr>
      </w:pPr>
      <w:r>
        <w:rPr>
          <w:rFonts w:ascii="Arial" w:cs="Arial" w:eastAsia="Arial" w:hAnsi="Arial"/>
          <w:sz w:val="13"/>
          <w:szCs w:val="13"/>
          <w:color w:val="auto"/>
        </w:rPr>
        <w:t>In addition to the coal operations, Chevron owns and operates the Questa molybdenum mine in New Mexico. At year-end 2008, Chevron controlled approximately 53 million pounds of proven molybdenum reserves at Questa.</w:t>
      </w:r>
    </w:p>
    <w:p>
      <w:pPr>
        <w:spacing w:after="0" w:line="61" w:lineRule="exact"/>
        <w:rPr>
          <w:sz w:val="20"/>
          <w:szCs w:val="20"/>
          <w:color w:val="auto"/>
        </w:rPr>
      </w:pPr>
    </w:p>
    <w:p>
      <w:pPr>
        <w:ind w:left="460" w:right="240"/>
        <w:spacing w:after="0" w:line="256" w:lineRule="auto"/>
        <w:rPr>
          <w:sz w:val="20"/>
          <w:szCs w:val="20"/>
          <w:color w:val="auto"/>
        </w:rPr>
      </w:pPr>
      <w:r>
        <w:rPr>
          <w:rFonts w:ascii="Arial" w:cs="Arial" w:eastAsia="Arial" w:hAnsi="Arial"/>
          <w:sz w:val="13"/>
          <w:szCs w:val="13"/>
          <w:color w:val="auto"/>
        </w:rPr>
        <w:t>In 2008, the company sold the petroleum coke calciner assets of Chicago Carbon Company, a wholly owned subsidiary in Illinois. The company also sold its lanthanides processing facilities and rare-earth mineral mine in Mountain Pass, California, and its 33 percent interest in Sumikin Molycorp, a manufacturer and marketer of neodymium compounds in Japan. In early 2009, the company was actively marketing its coal reserves at the North River Mine and elsewhere in Alabama for sale.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Power Generation</w:t>
      </w:r>
    </w:p>
    <w:p>
      <w:pPr>
        <w:spacing w:after="0" w:line="95" w:lineRule="exact"/>
        <w:rPr>
          <w:sz w:val="20"/>
          <w:szCs w:val="20"/>
          <w:color w:val="auto"/>
        </w:rPr>
      </w:pPr>
    </w:p>
    <w:p>
      <w:pPr>
        <w:jc w:val="both"/>
        <w:ind w:left="460" w:right="160"/>
        <w:spacing w:after="0" w:line="288" w:lineRule="auto"/>
        <w:rPr>
          <w:sz w:val="20"/>
          <w:szCs w:val="20"/>
          <w:color w:val="auto"/>
        </w:rPr>
      </w:pPr>
      <w:r>
        <w:rPr>
          <w:rFonts w:ascii="Arial" w:cs="Arial" w:eastAsia="Arial" w:hAnsi="Arial"/>
          <w:sz w:val="12"/>
          <w:szCs w:val="12"/>
          <w:color w:val="auto"/>
        </w:rPr>
        <w:t>Chevron’s power generation business develops and operates commercial power projects and has interests in 13 power assets through joint ventures in the United States and Asia. The company manages the production of more than 2,300 megawatts of electricity at 11 facilities it owns through joint ventures. The company operates gas-fired cogeneration facilities that use waste heat recovery to produce additional electricity or to support industrial thermal hosts. A number of the facilities produce steam for use in upstream operations to facilitate production of heavy oil.</w:t>
      </w:r>
    </w:p>
    <w:p>
      <w:pPr>
        <w:spacing w:after="0" w:line="51" w:lineRule="exact"/>
        <w:rPr>
          <w:sz w:val="20"/>
          <w:szCs w:val="20"/>
          <w:color w:val="auto"/>
        </w:rPr>
      </w:pPr>
    </w:p>
    <w:p>
      <w:pPr>
        <w:ind w:left="460" w:right="340"/>
        <w:spacing w:after="0" w:line="309" w:lineRule="auto"/>
        <w:rPr>
          <w:sz w:val="20"/>
          <w:szCs w:val="20"/>
          <w:color w:val="auto"/>
        </w:rPr>
      </w:pPr>
      <w:r>
        <w:rPr>
          <w:rFonts w:ascii="Arial" w:cs="Arial" w:eastAsia="Arial" w:hAnsi="Arial"/>
          <w:sz w:val="12"/>
          <w:szCs w:val="12"/>
          <w:color w:val="auto"/>
        </w:rPr>
        <w:t>The company has major geothermal operations in Indonesia and the Philippines and is investigating several advanced solar technologies for use in oil field operations as part of its renewable energy strategy. For additional information on the company’s geothermal operations and renewable energy projects, refer to page 19 and “Research and Technology”, on page 29.</w:t>
      </w: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Chevron Energy Solutions</w:t>
      </w:r>
    </w:p>
    <w:p>
      <w:pPr>
        <w:spacing w:after="0" w:line="95"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Chevron Energy Solutions (CES) is a wholly owned subsidiary that provides public institutions and businesses with sustainable energy projects designed to increase energy efficiency and reliability, reduce energy costs, and utilize renewable and alternative-power technologies. Since 2000, CES has developed hundreds of projects that will help government, education and other customers reduce their energy costs and carbon footprint. Major projects completed by CES in 2008 included several large solar panel installations in California.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Research and Technology</w:t>
      </w:r>
    </w:p>
    <w:p>
      <w:pPr>
        <w:spacing w:after="0" w:line="95" w:lineRule="exact"/>
        <w:rPr>
          <w:sz w:val="20"/>
          <w:szCs w:val="20"/>
          <w:color w:val="auto"/>
        </w:rPr>
      </w:pPr>
    </w:p>
    <w:p>
      <w:pPr>
        <w:ind w:left="460" w:right="40"/>
        <w:spacing w:after="0" w:line="253" w:lineRule="auto"/>
        <w:rPr>
          <w:sz w:val="20"/>
          <w:szCs w:val="20"/>
          <w:color w:val="auto"/>
        </w:rPr>
      </w:pPr>
      <w:r>
        <w:rPr>
          <w:rFonts w:ascii="Arial" w:cs="Arial" w:eastAsia="Arial" w:hAnsi="Arial"/>
          <w:sz w:val="13"/>
          <w:szCs w:val="13"/>
          <w:color w:val="auto"/>
        </w:rPr>
        <w:t>The company’s energy technology organization supports Chevron’s upstream and downstream businesses by providing technology, services and competency development in earth sciences; reservoir and production engineering; drilling and completions; facilities engineering; manufacturing; process technology; catalysis; technical computing; and health, environment and safety. The information technology organization integrates computing, telecommunications, data management, security and network technology to provide a standardized digital infrastructure and enable Chevron’s global operations and business processes.</w:t>
      </w:r>
    </w:p>
    <w:p>
      <w:pPr>
        <w:spacing w:after="0" w:line="71" w:lineRule="exact"/>
        <w:rPr>
          <w:sz w:val="20"/>
          <w:szCs w:val="20"/>
          <w:color w:val="auto"/>
        </w:rPr>
      </w:pPr>
    </w:p>
    <w:p>
      <w:pPr>
        <w:ind w:left="460" w:right="560"/>
        <w:spacing w:after="0" w:line="267" w:lineRule="auto"/>
        <w:rPr>
          <w:sz w:val="20"/>
          <w:szCs w:val="20"/>
          <w:color w:val="auto"/>
        </w:rPr>
      </w:pPr>
      <w:r>
        <w:rPr>
          <w:rFonts w:ascii="Arial" w:cs="Arial" w:eastAsia="Arial" w:hAnsi="Arial"/>
          <w:sz w:val="13"/>
          <w:szCs w:val="13"/>
          <w:color w:val="auto"/>
        </w:rPr>
        <w:t>Chevron Technology Ventures (CTV) manages investments and projects in emerging energy technologies and their integration into Chevron’s core businesses. As of the end of 2008, CTV was investigating technologies such as next-generation biofuels, advanced solar power and enhanced geothermal.</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Chevron’s research and development expenses were $835 million, $562 million and $468 million for the years 2008, 2007 and 2006, respectively.</w:t>
      </w:r>
    </w:p>
    <w:p>
      <w:pPr>
        <w:spacing w:after="0" w:line="91" w:lineRule="exact"/>
        <w:rPr>
          <w:sz w:val="20"/>
          <w:szCs w:val="20"/>
          <w:color w:val="auto"/>
        </w:rPr>
      </w:pPr>
    </w:p>
    <w:p>
      <w:pPr>
        <w:ind w:left="460" w:right="60"/>
        <w:spacing w:after="0" w:line="267" w:lineRule="auto"/>
        <w:rPr>
          <w:sz w:val="20"/>
          <w:szCs w:val="20"/>
          <w:color w:val="auto"/>
        </w:rPr>
      </w:pPr>
      <w:r>
        <w:rPr>
          <w:rFonts w:ascii="Arial" w:cs="Arial" w:eastAsia="Arial" w:hAnsi="Arial"/>
          <w:sz w:val="13"/>
          <w:szCs w:val="13"/>
          <w:color w:val="auto"/>
        </w:rPr>
        <w:t>Some of the investments the company makes in the areas described above are in new or unproven technologies and business processes, and ultimate successes are not certain. Although not all initiatives may prove to be economically viable, the company’s overall investment in this area is not significant to the company’s consolidated financial position.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Environmental Protection</w:t>
      </w:r>
    </w:p>
    <w:p>
      <w:pPr>
        <w:spacing w:after="0" w:line="95" w:lineRule="exact"/>
        <w:rPr>
          <w:sz w:val="20"/>
          <w:szCs w:val="20"/>
          <w:color w:val="auto"/>
        </w:rPr>
      </w:pPr>
    </w:p>
    <w:p>
      <w:pPr>
        <w:ind w:left="460" w:right="160"/>
        <w:spacing w:after="0" w:line="253" w:lineRule="auto"/>
        <w:rPr>
          <w:sz w:val="20"/>
          <w:szCs w:val="20"/>
          <w:color w:val="auto"/>
        </w:rPr>
      </w:pPr>
      <w:r>
        <w:rPr>
          <w:rFonts w:ascii="Arial" w:cs="Arial" w:eastAsia="Arial" w:hAnsi="Arial"/>
          <w:sz w:val="13"/>
          <w:szCs w:val="13"/>
          <w:color w:val="auto"/>
        </w:rPr>
        <w:t>Virtually all aspects of the company’s businesses are subject to various U.S. federal, state and local environmental, health and safety laws and regulations and to similar laws and regulations in other countries. These regulatory requirements continue to change and increase in both number and complexity and to govern not only the manner in which the company conducts its operations, but also the products it sells. Chevron expects more environment-related regulations in the countries where it has operations. Most of the costs of complying with the many laws and regulations pertaining to its operations are embedded in the normal costs of conducting business.</w:t>
      </w:r>
    </w:p>
    <w:p>
      <w:pPr>
        <w:spacing w:after="0" w:line="71" w:lineRule="exact"/>
        <w:rPr>
          <w:sz w:val="20"/>
          <w:szCs w:val="20"/>
          <w:color w:val="auto"/>
        </w:rPr>
      </w:pPr>
    </w:p>
    <w:p>
      <w:pPr>
        <w:ind w:left="460" w:right="100"/>
        <w:spacing w:after="0" w:line="314" w:lineRule="auto"/>
        <w:rPr>
          <w:sz w:val="20"/>
          <w:szCs w:val="20"/>
          <w:color w:val="auto"/>
        </w:rPr>
      </w:pPr>
      <w:r>
        <w:rPr>
          <w:rFonts w:ascii="Arial" w:cs="Arial" w:eastAsia="Arial" w:hAnsi="Arial"/>
          <w:sz w:val="11"/>
          <w:szCs w:val="11"/>
          <w:color w:val="auto"/>
        </w:rPr>
        <w:t>In 2008, the company’s U.S. capitalized environmental expenditures were approximately $780 million, representing approximately 9 percent of the company’s total consolidated U.S. capital and exploratory expenditures. These environmental expenditures include capital outlays to retrofit existing facilities as well as those associated with new facilities. The expenditures relate mostly to air- and water-quality projects and activities at the company’s refineries, oil and gas producing facilities, and marketing facilities. For 2009, the company estimates U.S. capital expenditures for environmental control facilities will be approximately $1 billion. The future annual capital costs are uncertain and will be governed by several factors, including future changes to regulatory requirements.</w:t>
      </w:r>
    </w:p>
    <w:p>
      <w:pPr>
        <w:spacing w:after="0" w:line="40"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Refer to Management’s Discussion and Analysis of Financial Condition and Results of Operations on pages FS-16 through FS-18 for additional information on environmental matters and their impact on Chevron and on the company’s 2008 environmental expenditures, remediation provisions and year-end environmental reserves.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Web Site Access to SEC Reports</w:t>
      </w:r>
    </w:p>
    <w:p>
      <w:pPr>
        <w:spacing w:after="0" w:line="95"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 xml:space="preserve">The company’s Internet Web site is at </w:t>
      </w:r>
      <w:r>
        <w:rPr>
          <w:rFonts w:ascii="Arial" w:cs="Arial" w:eastAsia="Arial" w:hAnsi="Arial"/>
          <w:sz w:val="13"/>
          <w:szCs w:val="13"/>
          <w:u w:val="single" w:color="auto"/>
          <w:color w:val="auto"/>
        </w:rPr>
        <w:t>www.chevron.com</w:t>
      </w:r>
      <w:r>
        <w:rPr>
          <w:rFonts w:ascii="Arial" w:cs="Arial" w:eastAsia="Arial" w:hAnsi="Arial"/>
          <w:sz w:val="13"/>
          <w:szCs w:val="13"/>
          <w:color w:val="auto"/>
        </w:rPr>
        <w:t xml:space="preserve">. Information contained on the company’s Internet Web site is not part of this Annual Report on Form 10-K. The company’s Annual Reports on Form 10-K, Quarterly Reports on Form 10-Q, Current Reports on Form 8-K and any amendments to these reports filed or furnished pursuant to Section 13(a) or 15(d) of the Securities Exchange Act of 1934 are available on the company’s Web site soon after such reports are filed with or furnished to the Securities and Exchange Commission (SEC). The reports are also available at the SEC’s Web site at </w:t>
      </w:r>
      <w:r>
        <w:rPr>
          <w:rFonts w:ascii="Arial" w:cs="Arial" w:eastAsia="Arial" w:hAnsi="Arial"/>
          <w:sz w:val="13"/>
          <w:szCs w:val="13"/>
          <w:u w:val="single" w:color="auto"/>
          <w:color w:val="auto"/>
        </w:rPr>
        <w:t>www.sec.gov</w:t>
      </w:r>
      <w:r>
        <w:rPr>
          <w:rFonts w:ascii="Arial" w:cs="Arial" w:eastAsia="Arial" w:hAnsi="Arial"/>
          <w:sz w:val="13"/>
          <w:szCs w:val="13"/>
          <w:color w:val="auto"/>
        </w:rPr>
        <w:t>.</w:t>
      </w:r>
    </w:p>
    <w:p>
      <w:pPr>
        <w:spacing w:after="0" w:line="273"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40"/>
          </w:cols>
          <w:pgMar w:left="220" w:top="338" w:right="8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95" w:lineRule="exact"/>
        <w:rPr>
          <w:sz w:val="20"/>
          <w:szCs w:val="20"/>
          <w:color w:val="auto"/>
        </w:rPr>
      </w:pPr>
    </w:p>
    <w:p>
      <w:pPr>
        <w:ind w:left="460" w:right="20"/>
        <w:spacing w:after="0" w:line="267" w:lineRule="auto"/>
        <w:rPr>
          <w:sz w:val="20"/>
          <w:szCs w:val="20"/>
          <w:color w:val="auto"/>
        </w:rPr>
      </w:pPr>
      <w:r>
        <w:rPr>
          <w:rFonts w:ascii="Arial" w:cs="Arial" w:eastAsia="Arial" w:hAnsi="Arial"/>
          <w:sz w:val="13"/>
          <w:szCs w:val="13"/>
          <w:color w:val="auto"/>
        </w:rPr>
        <w:t>Chevron is a major fully integrated petroleum company with a diversified business portfolio, a strong balance sheet, and a history of generating sufficient cash to fund capital and exploratory expenditures and to pay dividends. Nevertheless, some inherent risks could materially impact the company’s financial results of operations or financial condition.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Chevron is exposed to the effects of changing commodity prices.</w:t>
      </w:r>
    </w:p>
    <w:p>
      <w:pPr>
        <w:spacing w:after="0" w:line="91" w:lineRule="exact"/>
        <w:rPr>
          <w:sz w:val="20"/>
          <w:szCs w:val="20"/>
          <w:color w:val="auto"/>
        </w:rPr>
      </w:pPr>
    </w:p>
    <w:p>
      <w:pPr>
        <w:ind w:left="460" w:right="540"/>
        <w:spacing w:after="0" w:line="267" w:lineRule="auto"/>
        <w:rPr>
          <w:sz w:val="20"/>
          <w:szCs w:val="20"/>
          <w:color w:val="auto"/>
        </w:rPr>
      </w:pPr>
      <w:r>
        <w:rPr>
          <w:rFonts w:ascii="Arial" w:cs="Arial" w:eastAsia="Arial" w:hAnsi="Arial"/>
          <w:sz w:val="13"/>
          <w:szCs w:val="13"/>
          <w:color w:val="auto"/>
        </w:rPr>
        <w:t>Chevron is primarily in a commodities business with a history of price volatility. The single largest variable that affects the company’s results of operations is the price of crude oil, which can be influenced by general economic conditions and geopolitical risk.</w:t>
      </w:r>
    </w:p>
    <w:p>
      <w:pPr>
        <w:spacing w:after="0" w:line="61" w:lineRule="exact"/>
        <w:rPr>
          <w:sz w:val="20"/>
          <w:szCs w:val="20"/>
          <w:color w:val="auto"/>
        </w:rPr>
      </w:pPr>
    </w:p>
    <w:p>
      <w:pPr>
        <w:ind w:left="460" w:right="80"/>
        <w:spacing w:after="0" w:line="309" w:lineRule="auto"/>
        <w:rPr>
          <w:sz w:val="20"/>
          <w:szCs w:val="20"/>
          <w:color w:val="auto"/>
        </w:rPr>
      </w:pPr>
      <w:r>
        <w:rPr>
          <w:rFonts w:ascii="Arial" w:cs="Arial" w:eastAsia="Arial" w:hAnsi="Arial"/>
          <w:sz w:val="12"/>
          <w:szCs w:val="12"/>
          <w:color w:val="auto"/>
        </w:rPr>
        <w:t>During extended periods of historically low prices for crude oil, the company’s upstream earnings and capital and exploratory expenditure programs will be negatively affected. Upstream assets may also become impaired. The impact on downstream earnings is dependent upon the supply and demand for refined products and the associated margins on refined-product sales.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scope of Chevron’s business will decline if the company does not successfully develop resources.</w:t>
      </w:r>
    </w:p>
    <w:p>
      <w:pPr>
        <w:spacing w:after="0" w:line="91"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The company is in an extractive business; therefore, if Chevron is not successful in replacing the crude oil and natural gas it produces with good prospects for future production, the company’s business will decline. Creating and maintaining an inventory of projects depends on many factors, including obtaining and renewing rights to explore, develop and produce hydrocarbons; drilling success; ability to bring long-lead-time, capital-intensive projects to completion on budget and schedule; and efficient and profitable operation of mature properties.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company’s operations could be disrupted by natural or human factors.</w:t>
      </w:r>
    </w:p>
    <w:p>
      <w:pPr>
        <w:spacing w:after="0" w:line="91" w:lineRule="exact"/>
        <w:rPr>
          <w:sz w:val="20"/>
          <w:szCs w:val="20"/>
          <w:color w:val="auto"/>
        </w:rPr>
      </w:pPr>
    </w:p>
    <w:p>
      <w:pPr>
        <w:jc w:val="both"/>
        <w:ind w:left="460" w:right="280"/>
        <w:spacing w:after="0" w:line="256" w:lineRule="auto"/>
        <w:rPr>
          <w:sz w:val="20"/>
          <w:szCs w:val="20"/>
          <w:color w:val="auto"/>
        </w:rPr>
      </w:pPr>
      <w:r>
        <w:rPr>
          <w:rFonts w:ascii="Arial" w:cs="Arial" w:eastAsia="Arial" w:hAnsi="Arial"/>
          <w:sz w:val="13"/>
          <w:szCs w:val="13"/>
          <w:color w:val="auto"/>
        </w:rPr>
        <w:t>Chevron operates in both urban areas and remote and sometimes inhospitable regions. The company’s operations and facilities are therefore subject to disruption from either natural or human causes, including hurricanes, floods and other forms of severe weather, war, civil unrest and other political events, fires, earthquakes, and explosions, any of which could result in suspension of operations or harm to people or the natural environment.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Chevron’s business subjects the company to liability risks.</w:t>
      </w:r>
    </w:p>
    <w:p>
      <w:pPr>
        <w:spacing w:after="0" w:line="91" w:lineRule="exact"/>
        <w:rPr>
          <w:sz w:val="20"/>
          <w:szCs w:val="20"/>
          <w:color w:val="auto"/>
        </w:rPr>
      </w:pPr>
    </w:p>
    <w:p>
      <w:pPr>
        <w:ind w:left="460" w:right="20"/>
        <w:spacing w:after="0" w:line="256" w:lineRule="auto"/>
        <w:rPr>
          <w:sz w:val="20"/>
          <w:szCs w:val="20"/>
          <w:color w:val="auto"/>
        </w:rPr>
      </w:pPr>
      <w:r>
        <w:rPr>
          <w:rFonts w:ascii="Arial" w:cs="Arial" w:eastAsia="Arial" w:hAnsi="Arial"/>
          <w:sz w:val="13"/>
          <w:szCs w:val="13"/>
          <w:color w:val="auto"/>
        </w:rPr>
        <w:t>The company produces, transports, refines and markets materials with potential toxicity, and it purchases, handles and disposes of other potentially toxic materials in the course of the company’s business. Chevron operations also produce byproducts, which may be considered pollutants. Any of these activities could result in liability, either as a result of an accidental, unlawful discharge or as a result of new conclusions on the effects of the company’s operations on human health or the environment.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Political instability could harm Chevron’s business.</w:t>
      </w:r>
    </w:p>
    <w:p>
      <w:pPr>
        <w:spacing w:after="0" w:line="91" w:lineRule="exact"/>
        <w:rPr>
          <w:sz w:val="20"/>
          <w:szCs w:val="20"/>
          <w:color w:val="auto"/>
        </w:rPr>
      </w:pPr>
    </w:p>
    <w:p>
      <w:pPr>
        <w:ind w:left="460" w:right="320"/>
        <w:spacing w:after="0" w:line="359" w:lineRule="auto"/>
        <w:rPr>
          <w:sz w:val="20"/>
          <w:szCs w:val="20"/>
          <w:color w:val="auto"/>
        </w:rPr>
      </w:pPr>
      <w:r>
        <w:rPr>
          <w:rFonts w:ascii="Arial" w:cs="Arial" w:eastAsia="Arial" w:hAnsi="Arial"/>
          <w:sz w:val="11"/>
          <w:szCs w:val="11"/>
          <w:color w:val="auto"/>
        </w:rPr>
        <w:t>The company’s operations, particularly exploration and production, can be affected by changing economic, regulatory and political environments in the various countries in which it operates. As has occurred in the past, actions could be taken by governments to increase public ownership of the company’s partially or wholly owned businesses and/or to impose additional taxes or royalties.</w:t>
      </w:r>
    </w:p>
    <w:p>
      <w:pPr>
        <w:spacing w:after="0" w:line="16" w:lineRule="exact"/>
        <w:rPr>
          <w:sz w:val="20"/>
          <w:szCs w:val="20"/>
          <w:color w:val="auto"/>
        </w:rPr>
      </w:pPr>
    </w:p>
    <w:p>
      <w:pPr>
        <w:ind w:left="460" w:right="20"/>
        <w:spacing w:after="0" w:line="305" w:lineRule="auto"/>
        <w:rPr>
          <w:sz w:val="20"/>
          <w:szCs w:val="20"/>
          <w:color w:val="auto"/>
        </w:rPr>
      </w:pPr>
      <w:r>
        <w:rPr>
          <w:rFonts w:ascii="Arial" w:cs="Arial" w:eastAsia="Arial" w:hAnsi="Arial"/>
          <w:sz w:val="11"/>
          <w:szCs w:val="11"/>
          <w:color w:val="auto"/>
        </w:rPr>
        <w:t>In certain locations, governments have imposed restrictions, controls and taxes, and in others, political conditions have existed that may threaten the safety of employees and the company’s continued presence in those countries. Internal unrest, acts of violence or strained relations between a government and the company or other governments may affect the company’s operations. Those developments have, at times, significantly affected the company’s related operations and results and are carefully considered by management when evaluating the level of current and future activity in such countries. At December 31, 2008, 29 percent of the company’s net proved reserves were located in Kazakhstan. The company also has significant interests in Organization of Petroleum Exporting Countries (OPEC)-member countries including Angola, Nigeria and Venezuela and in the Partitioned Neutral Zone between Saudi Arabia and Kuwait. Twenty-three percent of the company’s net proved reserves, including affiliates, were located in OPEC countries at December 31, 2008 (excluding reserves in Indonesia, which relinquished its OPEC membership at the end of 2008).</w:t>
      </w:r>
    </w:p>
    <w:p>
      <w:pPr>
        <w:spacing w:after="0" w:line="246"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Regulation of greenhouse gas emissions could increase Chevron’s operational costs and reduce demand for Chevron’s products.</w:t>
      </w:r>
    </w:p>
    <w:p>
      <w:pPr>
        <w:spacing w:after="0" w:line="91" w:lineRule="exact"/>
        <w:rPr>
          <w:sz w:val="20"/>
          <w:szCs w:val="20"/>
          <w:color w:val="auto"/>
        </w:rPr>
      </w:pPr>
    </w:p>
    <w:p>
      <w:pPr>
        <w:ind w:left="460" w:right="40"/>
        <w:spacing w:after="0" w:line="267" w:lineRule="auto"/>
        <w:rPr>
          <w:sz w:val="20"/>
          <w:szCs w:val="20"/>
          <w:color w:val="auto"/>
        </w:rPr>
      </w:pPr>
      <w:r>
        <w:rPr>
          <w:rFonts w:ascii="Arial" w:cs="Arial" w:eastAsia="Arial" w:hAnsi="Arial"/>
          <w:sz w:val="13"/>
          <w:szCs w:val="13"/>
          <w:color w:val="auto"/>
        </w:rPr>
        <w:t>Management expects continued political attention to issues concerning climate change, and the role of human activity in it and potential remediation or mitigation through regulation that could materially affect the company’s operations.</w:t>
      </w:r>
    </w:p>
    <w:p>
      <w:pPr>
        <w:spacing w:after="0" w:line="61"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International agreements and national or regional legislation and regulatory measures to limit greenhouse emissions are currently in various phases of discussion or implementation. The Kyoto Protocol, California’s Global Warming Solutions Act and Australia’s proposed Carbon Pollution Reduction Scheme, along with other actual or pending federal, state and provincial regulations, envision a reduction of greenhouse gas emissions through market-based trading schemes. The company is currently complying with greenhouse gas emissions limits within the European Union.</w:t>
      </w:r>
    </w:p>
    <w:p>
      <w:pPr>
        <w:spacing w:after="0" w:line="51" w:lineRule="exact"/>
        <w:rPr>
          <w:sz w:val="20"/>
          <w:szCs w:val="20"/>
          <w:color w:val="auto"/>
        </w:rPr>
      </w:pPr>
    </w:p>
    <w:p>
      <w:pPr>
        <w:ind w:left="460" w:right="20"/>
        <w:spacing w:after="0" w:line="251" w:lineRule="auto"/>
        <w:rPr>
          <w:sz w:val="20"/>
          <w:szCs w:val="20"/>
          <w:color w:val="auto"/>
        </w:rPr>
      </w:pPr>
      <w:r>
        <w:rPr>
          <w:rFonts w:ascii="Arial" w:cs="Arial" w:eastAsia="Arial" w:hAnsi="Arial"/>
          <w:sz w:val="13"/>
          <w:szCs w:val="13"/>
          <w:color w:val="auto"/>
        </w:rPr>
        <w:t>As a result of these and other environmental regulations, the company expects to incur substantial capital, compliance, operating, maintenance and remediation costs. The level of expenditure required to comply with these laws and regulations is uncertain and may vary by jurisdiction depending on the laws enacted in each jurisdiction and the company’s activities in it. The company’s production and processing operations (e.g., the production of crude oil at offshore platforms and the processing of natural gas at liquefied natural gas facilities) typically result in emission of greenhouse gases. Likewise, emissions arise from power and downstream operations, including crude oil transportation and refining. Finally, although beyond the control of the company, the use of passenger vehicle fuels and related products by consumers also results in greenhouse gas emissions that may be regulated.</w:t>
      </w:r>
    </w:p>
    <w:p>
      <w:pPr>
        <w:spacing w:after="0" w:line="74" w:lineRule="exact"/>
        <w:rPr>
          <w:sz w:val="20"/>
          <w:szCs w:val="20"/>
          <w:color w:val="auto"/>
        </w:rPr>
      </w:pPr>
    </w:p>
    <w:p>
      <w:pPr>
        <w:ind w:left="460" w:right="40"/>
        <w:spacing w:after="0" w:line="314" w:lineRule="auto"/>
        <w:rPr>
          <w:sz w:val="20"/>
          <w:szCs w:val="20"/>
          <w:color w:val="auto"/>
        </w:rPr>
      </w:pPr>
      <w:r>
        <w:rPr>
          <w:rFonts w:ascii="Arial" w:cs="Arial" w:eastAsia="Arial" w:hAnsi="Arial"/>
          <w:sz w:val="11"/>
          <w:szCs w:val="11"/>
          <w:color w:val="auto"/>
        </w:rPr>
        <w:t>The company’s financial performance will depend on a number of factors, including, among others, the greenhouse gas emissions reductions required by law, the price and availability of emission allowances and credits, the extent to which Chevron would be entitled to receive emission allowances or need to purchase them in the open market or through auctions and the impact of legislation on the company’s ability to recover the costs incurred through the pricing of the company’s products. Material cost increases or incentives to conserve or use alternative energy sources could reduce demand for products the company currently sells. To the extent these costs are not ultimately reflected in the price of the company’s products, the company’s operating results will be adversely affected.</w:t>
      </w:r>
    </w:p>
    <w:p>
      <w:pPr>
        <w:spacing w:after="0" w:line="112"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6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location and character of the company’s crude oil, natural gas and mining properties and its refining, marketing, transportation and chemicals facilities are described on page 3 under Item 1. Business.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Information required by the Securities Exchange Act Industry Guide No. 2 (“Disclosure of Oil and Gas Operations”) is also contained in Item 1 and in Tables I through VII on pages FS-62 to FS-74.</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Note 13, “Properties, Plant and Equipment,” to the company’s financial statements is on page FS-43.</w:t>
      </w:r>
    </w:p>
    <w:p>
      <w:pPr>
        <w:spacing w:after="0" w:line="155"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95" w:lineRule="exact"/>
        <w:rPr>
          <w:sz w:val="20"/>
          <w:szCs w:val="20"/>
          <w:color w:val="auto"/>
        </w:rPr>
      </w:pPr>
    </w:p>
    <w:p>
      <w:pPr>
        <w:ind w:left="460" w:right="20"/>
        <w:spacing w:after="0" w:line="273" w:lineRule="auto"/>
        <w:rPr>
          <w:sz w:val="20"/>
          <w:szCs w:val="20"/>
          <w:color w:val="auto"/>
        </w:rPr>
      </w:pPr>
      <w:r>
        <w:rPr>
          <w:rFonts w:ascii="Arial" w:cs="Arial" w:eastAsia="Arial" w:hAnsi="Arial"/>
          <w:sz w:val="12"/>
          <w:szCs w:val="12"/>
          <w:i w:val="1"/>
          <w:iCs w:val="1"/>
          <w:color w:val="auto"/>
        </w:rPr>
        <w:t xml:space="preserve">Ecuador </w:t>
      </w:r>
      <w:r>
        <w:rPr>
          <w:rFonts w:ascii="Arial" w:cs="Arial" w:eastAsia="Arial" w:hAnsi="Arial"/>
          <w:sz w:val="12"/>
          <w:szCs w:val="12"/>
          <w:color w:val="auto"/>
        </w:rPr>
        <w:t>Chevron is a defendant in a civil lawsuit before the Superior Court of Nueva Loja in Lago Agrio, Ecuador, brought in May 2003 by plaintiffs who claim to be representatives of certain residents</w:t>
      </w:r>
      <w:r>
        <w:rPr>
          <w:rFonts w:ascii="Arial" w:cs="Arial" w:eastAsia="Arial" w:hAnsi="Arial"/>
          <w:sz w:val="12"/>
          <w:szCs w:val="12"/>
          <w:i w:val="1"/>
          <w:iCs w:val="1"/>
          <w:color w:val="auto"/>
        </w:rPr>
        <w:t xml:space="preserve"> </w:t>
      </w:r>
      <w:r>
        <w:rPr>
          <w:rFonts w:ascii="Arial" w:cs="Arial" w:eastAsia="Arial" w:hAnsi="Arial"/>
          <w:sz w:val="12"/>
          <w:szCs w:val="12"/>
          <w:color w:val="auto"/>
        </w:rPr>
        <w:t>of an area where an oil production consortium formerly had operations. The lawsuit alleges damage to the environment from the oil exploration and production operations, and seeks unspecified damages to fund environmental remediation and restoration of the alleged environmental harm, plus a health monitoring program. Until 1992, Texaco Petroleum Company (Texpet), a subsidiary of Texaco Inc., was a minority member of this consortium with Petroecuador, the Ecuadorian state-owned oil company, as the majority partner; since 1990, the operations have been conducted solely by Petroecuador. At the conclusion of the consortium and following an independent third-party environmental audit of the concession area, Texpet entered into a formal agreement with the Republic of Ecuador and Petroecuador for Texpet to remediate specific sites assigned by the government in proportion to Texpet’s ownership share of the consortium. Pursuant to that agreement, Texpet conducted a three-year remediation program at a cost of $40 million. After certifying that the sites were properly remediated, the government granted Texpet and all related corporate entities a full release from any and all environmental liability arising from the consortium operations.</w:t>
      </w:r>
    </w:p>
    <w:p>
      <w:pPr>
        <w:spacing w:after="0" w:line="61" w:lineRule="exact"/>
        <w:rPr>
          <w:sz w:val="20"/>
          <w:szCs w:val="20"/>
          <w:color w:val="auto"/>
        </w:rPr>
      </w:pPr>
    </w:p>
    <w:p>
      <w:pPr>
        <w:ind w:left="460" w:right="400"/>
        <w:spacing w:after="0" w:line="309" w:lineRule="auto"/>
        <w:rPr>
          <w:sz w:val="20"/>
          <w:szCs w:val="20"/>
          <w:color w:val="auto"/>
        </w:rPr>
      </w:pPr>
      <w:r>
        <w:rPr>
          <w:rFonts w:ascii="Arial" w:cs="Arial" w:eastAsia="Arial" w:hAnsi="Arial"/>
          <w:sz w:val="12"/>
          <w:szCs w:val="12"/>
          <w:color w:val="auto"/>
        </w:rPr>
        <w:t>Based on the history described above, Chevron believes that this lawsuit lacks legal or factual merit. As to matters of law, the company believes first, that the court lacks jurisdiction over Chevron; second, that the law under which plaintiffs bring the action, enacted in 1999, cannot be applied retroactively to Chevron; third, that the claims are barred by the</w:t>
      </w:r>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statute of limitations in Ecuador; and, fourth, that the lawsuit is also barred by the releases from liability previously given to Texpet by the Republic of Ecuador and Petroecuador. With regard to the facts, the company believes that the evidence confirms that Texpet’s remediation was properly conducted and that the remaining environmental damage reflects Petroecuador’s failure to timely fulfill its legal obligations and Petroecuador’s further conduct since assuming full control over the operations.</w:t>
      </w:r>
    </w:p>
    <w:p>
      <w:pPr>
        <w:spacing w:after="0" w:line="69" w:lineRule="exact"/>
        <w:rPr>
          <w:sz w:val="20"/>
          <w:szCs w:val="20"/>
          <w:color w:val="auto"/>
        </w:rPr>
      </w:pPr>
    </w:p>
    <w:p>
      <w:pPr>
        <w:ind w:left="460"/>
        <w:spacing w:after="0" w:line="274" w:lineRule="auto"/>
        <w:rPr>
          <w:sz w:val="20"/>
          <w:szCs w:val="20"/>
          <w:color w:val="auto"/>
        </w:rPr>
      </w:pPr>
      <w:r>
        <w:rPr>
          <w:rFonts w:ascii="Arial" w:cs="Arial" w:eastAsia="Arial" w:hAnsi="Arial"/>
          <w:sz w:val="12"/>
          <w:szCs w:val="12"/>
          <w:color w:val="auto"/>
        </w:rPr>
        <w:t>In April 2008, a mining engineer appointed by the court to identify and determine the cause of environmental damage, and to specify steps needed to remediate it, issued a report recommending that the court assess $8 billion, which would, according to the engineer, provide financial compensation for purported damages, including wrongful death claims, and pay for, among other items, environmental remediation, health care systems, and additional infrastructure for Petroecuador. The engineer’s report also asserted that an additional $8.3 billion could be assessed against Chevron for unjust enrichment. The engineer’s report is not binding on the court. Chevron also believes that the engineer’s work was performed and his report prepared in a manner contrary to law and in violation of the court’s orders. Chevron submitted a rebuttal to the report in which it asked the court to strike the report in its entirety. In November 2008, the engineer revised the report and, without additional evidence, recommended an increase in the financial compensation for purported damages to a total of $18.9 billion and an increase in the assessment for purported unjust enrichment to a total of $8.4 billion. Chevron submitted a rebuttal to the revised report, and Chevron will continue a vigorous defense of any attempted imposition of liability.</w:t>
      </w:r>
    </w:p>
    <w:p>
      <w:pPr>
        <w:spacing w:after="0" w:line="60" w:lineRule="exact"/>
        <w:rPr>
          <w:sz w:val="20"/>
          <w:szCs w:val="20"/>
          <w:color w:val="auto"/>
        </w:rPr>
      </w:pPr>
    </w:p>
    <w:p>
      <w:pPr>
        <w:ind w:left="460" w:right="20"/>
        <w:spacing w:after="0" w:line="256" w:lineRule="auto"/>
        <w:rPr>
          <w:sz w:val="20"/>
          <w:szCs w:val="20"/>
          <w:color w:val="auto"/>
        </w:rPr>
      </w:pPr>
      <w:r>
        <w:rPr>
          <w:rFonts w:ascii="Arial" w:cs="Arial" w:eastAsia="Arial" w:hAnsi="Arial"/>
          <w:sz w:val="13"/>
          <w:szCs w:val="13"/>
          <w:color w:val="auto"/>
        </w:rPr>
        <w:t>Management does not believe an estimate of a reasonably possible loss (or a range of loss) can be made in this case. Due to the defects associated with the engineer’s report, management does not believe the report itself has any utility in calculating a reasonably possible loss (or a range of loss). Moreover, the highly uncertain legal environment surrounding the case provides no basis for management to estimate a reasonably possible loss (or a range of loss).</w:t>
      </w:r>
    </w:p>
    <w:p>
      <w:pPr>
        <w:spacing w:after="0" w:line="142"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Submission of Matters to a Vote of Security Holders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II</w:t>
      </w:r>
    </w:p>
    <w:p>
      <w:pPr>
        <w:spacing w:after="0" w:line="168"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color w:val="auto"/>
        </w:rPr>
        <w:t>Market for the Registrant’s Common Equity, Related Stockholder Matters and Issuer Purchases of Equity Securities</w:t>
      </w:r>
    </w:p>
    <w:p>
      <w:pPr>
        <w:spacing w:after="0" w:line="95" w:lineRule="exact"/>
        <w:rPr>
          <w:sz w:val="20"/>
          <w:szCs w:val="20"/>
          <w:color w:val="auto"/>
        </w:rPr>
      </w:pPr>
    </w:p>
    <w:p>
      <w:pPr>
        <w:ind w:left="460" w:right="200"/>
        <w:spacing w:after="0" w:line="267" w:lineRule="auto"/>
        <w:rPr>
          <w:sz w:val="20"/>
          <w:szCs w:val="20"/>
          <w:color w:val="auto"/>
        </w:rPr>
      </w:pPr>
      <w:r>
        <w:rPr>
          <w:rFonts w:ascii="Arial" w:cs="Arial" w:eastAsia="Arial" w:hAnsi="Arial"/>
          <w:sz w:val="13"/>
          <w:szCs w:val="13"/>
          <w:color w:val="auto"/>
        </w:rPr>
        <w:t>The information on Chevron’s common stock market prices, dividends, principal exchanges on which the stock is traded and number of stockholders of record is contained in the Quarterly Results and Stock Market Data tabulations, on page FS-24.</w:t>
      </w:r>
    </w:p>
    <w:p>
      <w:pPr>
        <w:spacing w:after="0" w:line="5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CHEVRON CORPORATION</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5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Maximum</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6"/>
              </w:rPr>
              <w:t>Total Number of</w:t>
            </w: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0"/>
              </w:rPr>
              <w:t>Number of Shares</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116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3"/>
              </w:rPr>
              <w:t>Total Number</w:t>
            </w:r>
          </w:p>
        </w:tc>
        <w:tc>
          <w:tcPr>
            <w:tcW w:w="96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1"/>
              </w:rPr>
              <w:t>Average</w:t>
            </w:r>
          </w:p>
        </w:tc>
        <w:tc>
          <w:tcPr>
            <w:tcW w:w="1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88"/>
              </w:rPr>
              <w:t>Shares Purchased as</w:t>
            </w: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5"/>
              </w:rPr>
              <w:t>that May Yet be</w:t>
            </w:r>
          </w:p>
        </w:tc>
        <w:tc>
          <w:tcPr>
            <w:tcW w:w="0" w:type="dxa"/>
            <w:vAlign w:val="bottom"/>
          </w:tcPr>
          <w:p>
            <w:pPr>
              <w:spacing w:after="0"/>
              <w:rPr>
                <w:sz w:val="1"/>
                <w:szCs w:val="1"/>
                <w:color w:val="auto"/>
              </w:rPr>
            </w:pPr>
          </w:p>
        </w:tc>
      </w:tr>
      <w:tr>
        <w:trPr>
          <w:trHeight w:val="115"/>
        </w:trPr>
        <w:tc>
          <w:tcPr>
            <w:tcW w:w="5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of Shares</w:t>
            </w:r>
          </w:p>
        </w:tc>
        <w:tc>
          <w:tcPr>
            <w:tcW w:w="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0"/>
              </w:rPr>
              <w:t>Price Paid</w:t>
            </w:r>
          </w:p>
        </w:tc>
        <w:tc>
          <w:tcPr>
            <w:tcW w:w="16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Purchased Under</w:t>
            </w:r>
          </w:p>
        </w:tc>
        <w:tc>
          <w:tcPr>
            <w:tcW w:w="0" w:type="dxa"/>
            <w:vAlign w:val="bottom"/>
          </w:tcPr>
          <w:p>
            <w:pPr>
              <w:spacing w:after="0"/>
              <w:rPr>
                <w:sz w:val="1"/>
                <w:szCs w:val="1"/>
                <w:color w:val="auto"/>
              </w:rPr>
            </w:pPr>
          </w:p>
        </w:tc>
      </w:tr>
      <w:tr>
        <w:trPr>
          <w:trHeight w:val="120"/>
        </w:trPr>
        <w:tc>
          <w:tcPr>
            <w:tcW w:w="5440" w:type="dxa"/>
            <w:vAlign w:val="bottom"/>
            <w:vMerge w:val="continue"/>
          </w:tcPr>
          <w:p>
            <w:pPr>
              <w:spacing w:after="0"/>
              <w:rPr>
                <w:sz w:val="10"/>
                <w:szCs w:val="1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Purchased</w:t>
            </w:r>
            <w:r>
              <w:rPr>
                <w:rFonts w:ascii="Arial" w:cs="Arial" w:eastAsia="Arial" w:hAnsi="Arial"/>
                <w:sz w:val="8"/>
                <w:szCs w:val="8"/>
                <w:b w:val="1"/>
                <w:bCs w:val="1"/>
                <w:color w:val="auto"/>
                <w:w w:val="96"/>
              </w:rPr>
              <w:t>(1)(2)</w:t>
            </w:r>
          </w:p>
        </w:tc>
        <w:tc>
          <w:tcPr>
            <w:tcW w:w="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per Share</w:t>
            </w:r>
          </w:p>
        </w:tc>
        <w:tc>
          <w:tcPr>
            <w:tcW w:w="16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0"/>
              </w:rPr>
              <w:t>Announced Program</w:t>
            </w: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the Program</w:t>
            </w:r>
          </w:p>
        </w:tc>
        <w:tc>
          <w:tcPr>
            <w:tcW w:w="0" w:type="dxa"/>
            <w:vAlign w:val="bottom"/>
          </w:tcPr>
          <w:p>
            <w:pPr>
              <w:spacing w:after="0"/>
              <w:rPr>
                <w:sz w:val="1"/>
                <w:szCs w:val="1"/>
                <w:color w:val="auto"/>
              </w:rPr>
            </w:pPr>
          </w:p>
        </w:tc>
      </w:tr>
      <w:tr>
        <w:trPr>
          <w:trHeight w:val="28"/>
        </w:trPr>
        <w:tc>
          <w:tcPr>
            <w:tcW w:w="54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Oct. 1 – Oct.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14,185,681</w:t>
            </w:r>
          </w:p>
        </w:tc>
        <w:tc>
          <w:tcPr>
            <w:tcW w:w="320" w:type="dxa"/>
            <w:vAlign w:val="bottom"/>
            <w:tcBorders>
              <w:lef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b w:val="1"/>
                <w:bCs w:val="1"/>
                <w:color w:val="auto"/>
              </w:rPr>
              <w:t>67.71</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14,184,858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440" w:type="dxa"/>
            <w:vAlign w:val="bottom"/>
          </w:tcPr>
          <w:p>
            <w:pPr>
              <w:spacing w:after="0"/>
              <w:rPr>
                <w:sz w:val="20"/>
                <w:szCs w:val="20"/>
                <w:color w:val="auto"/>
              </w:rPr>
            </w:pPr>
            <w:r>
              <w:rPr>
                <w:rFonts w:ascii="Arial" w:cs="Arial" w:eastAsia="Arial" w:hAnsi="Arial"/>
                <w:sz w:val="13"/>
                <w:szCs w:val="13"/>
                <w:color w:val="auto"/>
              </w:rPr>
              <w:t>Nov. 1 – Nov. 30, 2008</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7,687,933</w:t>
            </w:r>
          </w:p>
        </w:tc>
        <w:tc>
          <w:tcPr>
            <w:tcW w:w="3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72.46</w:t>
            </w: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7,665,000</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Dec. 1 – Dec.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6,373,015</w:t>
            </w:r>
          </w:p>
        </w:tc>
        <w:tc>
          <w:tcPr>
            <w:tcW w:w="320" w:type="dxa"/>
            <w:vAlign w:val="bottom"/>
            <w:tcBorders>
              <w:lef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b w:val="1"/>
                <w:bCs w:val="1"/>
                <w:color w:val="auto"/>
              </w:rPr>
              <w:t>76.05</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6,367,989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3"/>
                <w:szCs w:val="13"/>
                <w:b w:val="1"/>
                <w:bCs w:val="1"/>
                <w:color w:val="auto"/>
              </w:rPr>
              <w:t>Total Oct. 1 – Dec. 31, 2008</w:t>
            </w: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70.88</w:t>
            </w: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line="20" w:lineRule="exact"/>
              <w:rPr>
                <w:sz w:val="1"/>
                <w:szCs w:val="1"/>
                <w:color w:val="auto"/>
              </w:rPr>
            </w:pPr>
          </w:p>
        </w:tc>
      </w:tr>
      <w:tr>
        <w:trPr>
          <w:trHeight w:val="153"/>
        </w:trPr>
        <w:tc>
          <w:tcPr>
            <w:tcW w:w="54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28,246,629</w:t>
            </w:r>
          </w:p>
        </w:tc>
        <w:tc>
          <w:tcPr>
            <w:tcW w:w="3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28,217,847</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164465</wp:posOffset>
            </wp:positionV>
            <wp:extent cx="10617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240" w:lineRule="exact"/>
        <w:rPr>
          <w:sz w:val="20"/>
          <w:szCs w:val="20"/>
          <w:color w:val="auto"/>
        </w:rPr>
      </w:pPr>
    </w:p>
    <w:p>
      <w:pPr>
        <w:ind w:left="880" w:right="40" w:hanging="424"/>
        <w:spacing w:after="0" w:line="314" w:lineRule="auto"/>
        <w:tabs>
          <w:tab w:leader="none" w:pos="8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Includes 14,339 common shares repurchased during the three-month period ended December 31, 2008, from company employees for required personal income tax withholdings on the exercise of the stock options issued to management and employees under the company’s broad-based employee stock options, long-term incentive plans and former Texaco Inc. stock option plans. Also includes 14,443 shares delivered or attested to in satisfaction of the exercise price by holders of certain former Texaco Inc. employee stock options exercised during the three-month period ended December 31, 2008. The October purchases also include approximately 14.2 million shares acquired in an exchange transaction for a U.S. upstream property and cash.</w:t>
      </w:r>
    </w:p>
    <w:p>
      <w:pPr>
        <w:spacing w:after="0" w:line="29" w:lineRule="exact"/>
        <w:rPr>
          <w:rFonts w:ascii="Arial" w:cs="Arial" w:eastAsia="Arial" w:hAnsi="Arial"/>
          <w:sz w:val="11"/>
          <w:szCs w:val="11"/>
          <w:color w:val="auto"/>
        </w:rPr>
      </w:pPr>
    </w:p>
    <w:p>
      <w:pPr>
        <w:jc w:val="both"/>
        <w:ind w:left="880" w:right="100" w:hanging="424"/>
        <w:spacing w:after="0" w:line="256" w:lineRule="auto"/>
        <w:tabs>
          <w:tab w:leader="none" w:pos="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September 2007, the company authorized stock repurchases of up to $15 billion that may be made from time to time at prevailing prices as permitted by securities laws and other requirements and subject to market conditions and other factors. The program will occur over a period of up to three years and may be discontinued at any time. As of December 31, 2008, 118,996,749 shares had been acquired under this program for $10.1 billion.</w:t>
      </w:r>
    </w:p>
    <w:p>
      <w:pPr>
        <w:spacing w:after="0" w:line="142"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selected financial data for years 2004 through 2008 are presented on page FS-61.</w:t>
      </w:r>
    </w:p>
    <w:p>
      <w:pPr>
        <w:spacing w:after="0" w:line="16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index to Management’s Discussion and Analysis of Financial Condition and Results of Operations, Consolidated Financial Statements and Supplementary Data is presented on page FS-1.</w:t>
      </w:r>
    </w:p>
    <w:p>
      <w:pPr>
        <w:spacing w:after="0" w:line="175"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95" w:lineRule="exact"/>
        <w:rPr>
          <w:sz w:val="20"/>
          <w:szCs w:val="20"/>
          <w:color w:val="auto"/>
        </w:rPr>
      </w:pPr>
    </w:p>
    <w:p>
      <w:pPr>
        <w:ind w:left="460" w:right="260"/>
        <w:spacing w:after="0" w:line="359" w:lineRule="auto"/>
        <w:rPr>
          <w:sz w:val="20"/>
          <w:szCs w:val="20"/>
          <w:color w:val="auto"/>
        </w:rPr>
      </w:pPr>
      <w:r>
        <w:rPr>
          <w:rFonts w:ascii="Arial" w:cs="Arial" w:eastAsia="Arial" w:hAnsi="Arial"/>
          <w:sz w:val="11"/>
          <w:szCs w:val="11"/>
          <w:color w:val="auto"/>
        </w:rPr>
        <w:t>The company’s discussion of interest rate, foreign currency and commodity price market risk is contained in Management’s Discussion and Analysis of Financial Condition and Results of Operations — “Financial and Derivative Instruments,” beginning on page FS-13 and in Note 7 to the Consolidated Financial Statements, “Financial and Derivative Instruments,” beginning on page FS-36.</w:t>
      </w:r>
    </w:p>
    <w:p>
      <w:pPr>
        <w:spacing w:after="0" w:line="88"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index to Management’s Discussion and Analysis, Consolidated Financial Statements and Supplementary Data is presented on page FS-1.</w:t>
      </w: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64"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91" w:lineRule="exact"/>
        <w:rPr>
          <w:sz w:val="20"/>
          <w:szCs w:val="20"/>
          <w:color w:val="auto"/>
        </w:rPr>
      </w:pPr>
    </w:p>
    <w:p>
      <w:pPr>
        <w:ind w:left="880" w:hanging="424"/>
        <w:spacing w:after="0"/>
        <w:tabs>
          <w:tab w:leader="none" w:pos="88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Evaluation of Disclosure Controls and Procedures</w:t>
      </w:r>
    </w:p>
    <w:p>
      <w:pPr>
        <w:spacing w:after="0" w:line="95" w:lineRule="exact"/>
        <w:rPr>
          <w:sz w:val="20"/>
          <w:szCs w:val="20"/>
          <w:color w:val="auto"/>
        </w:rPr>
      </w:pPr>
    </w:p>
    <w:p>
      <w:pPr>
        <w:ind w:left="460" w:right="60"/>
        <w:spacing w:after="0" w:line="288" w:lineRule="auto"/>
        <w:rPr>
          <w:sz w:val="20"/>
          <w:szCs w:val="20"/>
          <w:color w:val="auto"/>
        </w:rPr>
      </w:pPr>
      <w:r>
        <w:rPr>
          <w:rFonts w:ascii="Arial" w:cs="Arial" w:eastAsia="Arial" w:hAnsi="Arial"/>
          <w:sz w:val="12"/>
          <w:szCs w:val="12"/>
          <w:color w:val="auto"/>
        </w:rPr>
        <w:t>The company’s management has evaluated, with the participation of the Chief Executive Officer and Chief Financial Officer, the effectiveness of the company’s disclosure controls and procedures (as defined in Rule 13a-15(e) and 15d-15(e) under the Securities Exchange Act of 1934 (the “Exchange Act”) as of the end of the period covered by this report. Based on this evaluation, the Chief Executive Officer and Chief Financial Officer concluded that the company’s disclosure controls and procedures were effective as of December 31, 2008.</w:t>
      </w:r>
    </w:p>
    <w:p>
      <w:pPr>
        <w:spacing w:after="0" w:line="124" w:lineRule="exact"/>
        <w:rPr>
          <w:sz w:val="20"/>
          <w:szCs w:val="20"/>
          <w:color w:val="auto"/>
        </w:rPr>
      </w:pPr>
    </w:p>
    <w:p>
      <w:pPr>
        <w:ind w:left="880" w:hanging="424"/>
        <w:spacing w:after="0"/>
        <w:tabs>
          <w:tab w:leader="none" w:pos="880"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Management’s Report on Internal Control Over Financial Reporting</w:t>
      </w:r>
    </w:p>
    <w:p>
      <w:pPr>
        <w:spacing w:after="0" w:line="95" w:lineRule="exact"/>
        <w:rPr>
          <w:sz w:val="20"/>
          <w:szCs w:val="20"/>
          <w:color w:val="auto"/>
        </w:rPr>
      </w:pPr>
    </w:p>
    <w:p>
      <w:pPr>
        <w:ind w:left="460" w:right="220"/>
        <w:spacing w:after="0" w:line="253"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such term is defined in Exchange Act Rule 13a-15(f).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 Based on the results of this evaluation, the company’s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concluded that internal control over financial reporting was effective as of December 31, 2008.</w:t>
      </w:r>
    </w:p>
    <w:p>
      <w:pPr>
        <w:spacing w:after="0" w:line="71"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The effectiveness of the company’s internal control over financial reporting as of December 31, 2008, has been audited by PricewaterhouseCoopers LLP, an independent registered public accounting firm, as stated in its report included on page FS-26.</w:t>
      </w:r>
    </w:p>
    <w:p>
      <w:pPr>
        <w:spacing w:after="0" w:line="134" w:lineRule="exact"/>
        <w:rPr>
          <w:sz w:val="20"/>
          <w:szCs w:val="20"/>
          <w:color w:val="auto"/>
        </w:rPr>
      </w:pPr>
    </w:p>
    <w:p>
      <w:pPr>
        <w:ind w:left="880" w:hanging="424"/>
        <w:spacing w:after="0"/>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Changes in Internal Control Over Financial Reporting</w:t>
      </w:r>
    </w:p>
    <w:p>
      <w:pPr>
        <w:spacing w:after="0" w:line="95"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During the quarter ended December 31, 2008, there were no changes in the company’s internal control over financial reporting that have materially affected, or are reasonably likely to materially affect, the company’s internal control over financial reporting.</w:t>
      </w:r>
    </w:p>
    <w:p>
      <w:pPr>
        <w:spacing w:after="0" w:line="13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8" w:right="7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III</w:t>
      </w:r>
    </w:p>
    <w:p>
      <w:pPr>
        <w:spacing w:after="0" w:line="16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245"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Executive Officers of the Registrant at February 26, 2009</w:t>
      </w:r>
    </w:p>
    <w:p>
      <w:pPr>
        <w:spacing w:after="0" w:line="95" w:lineRule="exact"/>
        <w:rPr>
          <w:sz w:val="20"/>
          <w:szCs w:val="20"/>
          <w:color w:val="auto"/>
        </w:rPr>
      </w:pPr>
    </w:p>
    <w:p>
      <w:pPr>
        <w:jc w:val="center"/>
        <w:ind w:right="-419"/>
        <w:spacing w:after="0"/>
        <w:rPr>
          <w:sz w:val="20"/>
          <w:szCs w:val="20"/>
          <w:color w:val="auto"/>
        </w:rPr>
      </w:pPr>
      <w:r>
        <w:rPr>
          <w:rFonts w:ascii="Arial" w:cs="Arial" w:eastAsia="Arial" w:hAnsi="Arial"/>
          <w:sz w:val="11"/>
          <w:szCs w:val="11"/>
          <w:color w:val="auto"/>
        </w:rPr>
        <w:t>The Executive Officers of the Corporation consist of the Chairman of the Board, the Vice Chairman of the Board and such other officers of the Corporation who are members of the Executive Committee.</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1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Age</w:t>
            </w: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40" w:type="dxa"/>
            <w:vAlign w:val="bottom"/>
            <w:tcBorders>
              <w:bottom w:val="single" w:sz="8" w:color="auto"/>
            </w:tcBorders>
          </w:tcPr>
          <w:p>
            <w:pPr>
              <w:ind w:left="920"/>
              <w:spacing w:after="0"/>
              <w:rPr>
                <w:sz w:val="20"/>
                <w:szCs w:val="20"/>
                <w:color w:val="auto"/>
              </w:rPr>
            </w:pPr>
            <w:r>
              <w:rPr>
                <w:rFonts w:ascii="Arial" w:cs="Arial" w:eastAsia="Arial" w:hAnsi="Arial"/>
                <w:sz w:val="10"/>
                <w:szCs w:val="10"/>
                <w:b w:val="1"/>
                <w:bCs w:val="1"/>
                <w:color w:val="auto"/>
              </w:rPr>
              <w:t>Current and Prior Positions (up to five years)</w:t>
            </w:r>
          </w:p>
        </w:tc>
        <w:tc>
          <w:tcPr>
            <w:tcW w:w="100" w:type="dxa"/>
            <w:vAlign w:val="bottom"/>
          </w:tcPr>
          <w:p>
            <w:pPr>
              <w:spacing w:after="0"/>
              <w:rPr>
                <w:sz w:val="10"/>
                <w:szCs w:val="10"/>
                <w:color w:val="auto"/>
              </w:rPr>
            </w:pPr>
          </w:p>
        </w:tc>
        <w:tc>
          <w:tcPr>
            <w:tcW w:w="386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Current Areas of Responsibility</w:t>
            </w:r>
          </w:p>
        </w:tc>
      </w:tr>
      <w:tr>
        <w:trPr>
          <w:trHeight w:val="28"/>
        </w:trPr>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54"/>
        </w:trPr>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D.J. O’Reilly</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Chairman of the Board and Chief Executive Officer (since 2000)</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r>
      <w:tr>
        <w:trPr>
          <w:trHeight w:val="154"/>
        </w:trPr>
        <w:tc>
          <w:tcPr>
            <w:tcW w:w="1620" w:type="dxa"/>
            <w:vAlign w:val="bottom"/>
          </w:tcPr>
          <w:p>
            <w:pPr>
              <w:spacing w:after="0"/>
              <w:rPr>
                <w:sz w:val="20"/>
                <w:szCs w:val="20"/>
                <w:color w:val="auto"/>
              </w:rPr>
            </w:pPr>
            <w:r>
              <w:rPr>
                <w:rFonts w:ascii="Arial" w:cs="Arial" w:eastAsia="Arial" w:hAnsi="Arial"/>
                <w:sz w:val="13"/>
                <w:szCs w:val="13"/>
                <w:color w:val="auto"/>
              </w:rPr>
              <w:t>P.J. Robertson</w:t>
            </w:r>
          </w:p>
        </w:tc>
        <w:tc>
          <w:tcPr>
            <w:tcW w:w="9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Vice Chairman of the Board (since 2002)</w:t>
            </w:r>
          </w:p>
        </w:tc>
        <w:tc>
          <w:tcPr>
            <w:tcW w:w="10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Policy, Government and Public Affairs; Human Resources</w:t>
            </w:r>
          </w:p>
        </w:tc>
      </w:tr>
      <w:tr>
        <w:trPr>
          <w:trHeight w:val="154"/>
        </w:trPr>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J.E. Bethancourt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Executive Vice President (since 2003)</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Technology; Chemicals; Mining; Health, Environment and Safety</w:t>
            </w:r>
          </w:p>
        </w:tc>
      </w:tr>
      <w:tr>
        <w:trPr>
          <w:trHeight w:val="145"/>
        </w:trPr>
        <w:tc>
          <w:tcPr>
            <w:tcW w:w="1620" w:type="dxa"/>
            <w:vAlign w:val="bottom"/>
          </w:tcPr>
          <w:p>
            <w:pPr>
              <w:spacing w:after="0" w:line="145" w:lineRule="exact"/>
              <w:rPr>
                <w:sz w:val="20"/>
                <w:szCs w:val="20"/>
                <w:color w:val="auto"/>
              </w:rPr>
            </w:pPr>
            <w:r>
              <w:rPr>
                <w:rFonts w:ascii="Arial" w:cs="Arial" w:eastAsia="Arial" w:hAnsi="Arial"/>
                <w:sz w:val="13"/>
                <w:szCs w:val="13"/>
                <w:color w:val="auto"/>
              </w:rPr>
              <w:t>G.L. Kirkland</w:t>
            </w:r>
          </w:p>
        </w:tc>
        <w:tc>
          <w:tcPr>
            <w:tcW w:w="920" w:type="dxa"/>
            <w:vAlign w:val="bottom"/>
          </w:tcPr>
          <w:p>
            <w:pPr>
              <w:jc w:val="right"/>
              <w:spacing w:after="0" w:line="145"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3840" w:type="dxa"/>
            <w:vAlign w:val="bottom"/>
          </w:tcPr>
          <w:p>
            <w:pPr>
              <w:spacing w:after="0" w:line="145" w:lineRule="exact"/>
              <w:rPr>
                <w:sz w:val="20"/>
                <w:szCs w:val="20"/>
                <w:color w:val="auto"/>
              </w:rPr>
            </w:pPr>
            <w:r>
              <w:rPr>
                <w:rFonts w:ascii="Arial" w:cs="Arial" w:eastAsia="Arial" w:hAnsi="Arial"/>
                <w:sz w:val="13"/>
                <w:szCs w:val="13"/>
                <w:color w:val="auto"/>
                <w:w w:val="94"/>
              </w:rPr>
              <w:t>Executive Vice President (since 2005) President of Chevron Overseas</w:t>
            </w:r>
          </w:p>
        </w:tc>
        <w:tc>
          <w:tcPr>
            <w:tcW w:w="100" w:type="dxa"/>
            <w:vAlign w:val="bottom"/>
          </w:tcPr>
          <w:p>
            <w:pPr>
              <w:spacing w:after="0"/>
              <w:rPr>
                <w:sz w:val="12"/>
                <w:szCs w:val="12"/>
                <w:color w:val="auto"/>
              </w:rPr>
            </w:pPr>
          </w:p>
        </w:tc>
        <w:tc>
          <w:tcPr>
            <w:tcW w:w="3860" w:type="dxa"/>
            <w:vAlign w:val="bottom"/>
          </w:tcPr>
          <w:p>
            <w:pPr>
              <w:spacing w:after="0" w:line="145" w:lineRule="exact"/>
              <w:rPr>
                <w:sz w:val="20"/>
                <w:szCs w:val="20"/>
                <w:color w:val="auto"/>
              </w:rPr>
            </w:pPr>
            <w:r>
              <w:rPr>
                <w:rFonts w:ascii="Arial" w:cs="Arial" w:eastAsia="Arial" w:hAnsi="Arial"/>
                <w:sz w:val="13"/>
                <w:szCs w:val="13"/>
                <w:color w:val="auto"/>
              </w:rPr>
              <w:t>Worldwide Exploration and Production Activities and Global Gas</w:t>
            </w:r>
          </w:p>
        </w:tc>
      </w:tr>
      <w:tr>
        <w:trPr>
          <w:trHeight w:val="162"/>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Petroleum Inc. (2002 to 2004)</w:t>
            </w:r>
          </w:p>
        </w:tc>
        <w:tc>
          <w:tcPr>
            <w:tcW w:w="10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Activities, including Natural Gas Trading</w:t>
            </w:r>
          </w:p>
        </w:tc>
      </w:tr>
      <w:tr>
        <w:trPr>
          <w:trHeight w:val="145"/>
        </w:trPr>
        <w:tc>
          <w:tcPr>
            <w:tcW w:w="16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J.S. Watson</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Executive Vice President (since 2008)</w:t>
            </w: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95"/>
              </w:rPr>
              <w:t>Business Development, Mergers and Acquisitions, Strategic Planning,</w:t>
            </w: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and President of Chevron</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Project Resources Company, Procurement</w:t>
            </w: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International Exploration and Production Company</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(2005 through 2007)</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and Chief Financial</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63"/>
        </w:trPr>
        <w:tc>
          <w:tcPr>
            <w:tcW w:w="1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Officer (2000 through 2004)</w:t>
            </w:r>
          </w:p>
        </w:tc>
        <w:tc>
          <w:tcPr>
            <w:tcW w:w="1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r>
      <w:tr>
        <w:trPr>
          <w:trHeight w:val="145"/>
        </w:trPr>
        <w:tc>
          <w:tcPr>
            <w:tcW w:w="1620" w:type="dxa"/>
            <w:vAlign w:val="bottom"/>
          </w:tcPr>
          <w:p>
            <w:pPr>
              <w:spacing w:after="0" w:line="145" w:lineRule="exact"/>
              <w:rPr>
                <w:sz w:val="20"/>
                <w:szCs w:val="20"/>
                <w:color w:val="auto"/>
              </w:rPr>
            </w:pPr>
            <w:r>
              <w:rPr>
                <w:rFonts w:ascii="Arial" w:cs="Arial" w:eastAsia="Arial" w:hAnsi="Arial"/>
                <w:sz w:val="13"/>
                <w:szCs w:val="13"/>
                <w:color w:val="auto"/>
              </w:rPr>
              <w:t>M.K. Wirth</w:t>
            </w:r>
          </w:p>
        </w:tc>
        <w:tc>
          <w:tcPr>
            <w:tcW w:w="920" w:type="dxa"/>
            <w:vAlign w:val="bottom"/>
          </w:tcPr>
          <w:p>
            <w:pPr>
              <w:jc w:val="right"/>
              <w:spacing w:after="0" w:line="145"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2"/>
                <w:szCs w:val="12"/>
                <w:color w:val="auto"/>
              </w:rPr>
            </w:pPr>
          </w:p>
        </w:tc>
        <w:tc>
          <w:tcPr>
            <w:tcW w:w="3840" w:type="dxa"/>
            <w:vAlign w:val="bottom"/>
          </w:tcPr>
          <w:p>
            <w:pPr>
              <w:spacing w:after="0" w:line="145" w:lineRule="exact"/>
              <w:rPr>
                <w:sz w:val="20"/>
                <w:szCs w:val="20"/>
                <w:color w:val="auto"/>
              </w:rPr>
            </w:pPr>
            <w:r>
              <w:rPr>
                <w:rFonts w:ascii="Arial" w:cs="Arial" w:eastAsia="Arial" w:hAnsi="Arial"/>
                <w:sz w:val="13"/>
                <w:szCs w:val="13"/>
                <w:color w:val="auto"/>
                <w:w w:val="95"/>
              </w:rPr>
              <w:t>Executive Vice President (since 2006) President of Global Supply and</w:t>
            </w:r>
          </w:p>
        </w:tc>
        <w:tc>
          <w:tcPr>
            <w:tcW w:w="100" w:type="dxa"/>
            <w:vAlign w:val="bottom"/>
          </w:tcPr>
          <w:p>
            <w:pPr>
              <w:spacing w:after="0"/>
              <w:rPr>
                <w:sz w:val="12"/>
                <w:szCs w:val="12"/>
                <w:color w:val="auto"/>
              </w:rPr>
            </w:pPr>
          </w:p>
        </w:tc>
        <w:tc>
          <w:tcPr>
            <w:tcW w:w="3860" w:type="dxa"/>
            <w:vAlign w:val="bottom"/>
          </w:tcPr>
          <w:p>
            <w:pPr>
              <w:spacing w:after="0" w:line="145" w:lineRule="exact"/>
              <w:rPr>
                <w:sz w:val="20"/>
                <w:szCs w:val="20"/>
                <w:color w:val="auto"/>
              </w:rPr>
            </w:pPr>
            <w:r>
              <w:rPr>
                <w:rFonts w:ascii="Arial" w:cs="Arial" w:eastAsia="Arial" w:hAnsi="Arial"/>
                <w:sz w:val="13"/>
                <w:szCs w:val="13"/>
                <w:color w:val="auto"/>
              </w:rPr>
              <w:t>Global Refining, Marketing, Lubricants, and Supply and Trading,</w:t>
            </w:r>
          </w:p>
        </w:tc>
      </w:tr>
      <w:tr>
        <w:trPr>
          <w:trHeight w:val="154"/>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Trading</w:t>
            </w:r>
          </w:p>
        </w:tc>
        <w:tc>
          <w:tcPr>
            <w:tcW w:w="10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excluding Natural Gas Trading</w:t>
            </w:r>
          </w:p>
        </w:tc>
      </w:tr>
      <w:tr>
        <w:trPr>
          <w:trHeight w:val="154"/>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(2004 to 2006)</w:t>
            </w: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54"/>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President of Marketing, Asia, Middle East and Africa Marketing</w:t>
            </w: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62"/>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Business Unit (2001 to 2004)</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45"/>
        </w:trPr>
        <w:tc>
          <w:tcPr>
            <w:tcW w:w="16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P.E. Yarrington</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Vice President and Chief Financial</w:t>
            </w:r>
          </w:p>
        </w:tc>
        <w:tc>
          <w:tcPr>
            <w:tcW w:w="10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Finance</w:t>
            </w: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Officer (since 2009)</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and Treasurer</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(2007 through 2008)</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54"/>
        </w:trPr>
        <w:tc>
          <w:tcPr>
            <w:tcW w:w="1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Policy, Government and</w:t>
            </w:r>
          </w:p>
        </w:tc>
        <w:tc>
          <w:tcPr>
            <w:tcW w:w="100" w:type="dxa"/>
            <w:vAlign w:val="bottom"/>
            <w:shd w:val="clear" w:color="auto" w:fill="CCEEFF"/>
          </w:tcPr>
          <w:p>
            <w:pPr>
              <w:spacing w:after="0"/>
              <w:rPr>
                <w:sz w:val="13"/>
                <w:szCs w:val="13"/>
                <w:color w:val="auto"/>
              </w:rPr>
            </w:pPr>
          </w:p>
        </w:tc>
        <w:tc>
          <w:tcPr>
            <w:tcW w:w="3860" w:type="dxa"/>
            <w:vAlign w:val="bottom"/>
            <w:shd w:val="clear" w:color="auto" w:fill="CCEEFF"/>
          </w:tcPr>
          <w:p>
            <w:pPr>
              <w:spacing w:after="0"/>
              <w:rPr>
                <w:sz w:val="13"/>
                <w:szCs w:val="13"/>
                <w:color w:val="auto"/>
              </w:rPr>
            </w:pPr>
          </w:p>
        </w:tc>
      </w:tr>
      <w:tr>
        <w:trPr>
          <w:trHeight w:val="163"/>
        </w:trPr>
        <w:tc>
          <w:tcPr>
            <w:tcW w:w="1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Public Affairs (2002 to 2007)</w:t>
            </w:r>
          </w:p>
        </w:tc>
        <w:tc>
          <w:tcPr>
            <w:tcW w:w="1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r>
      <w:tr>
        <w:trPr>
          <w:trHeight w:val="145"/>
        </w:trPr>
        <w:tc>
          <w:tcPr>
            <w:tcW w:w="1620" w:type="dxa"/>
            <w:vAlign w:val="bottom"/>
          </w:tcPr>
          <w:p>
            <w:pPr>
              <w:spacing w:after="0" w:line="145" w:lineRule="exact"/>
              <w:rPr>
                <w:sz w:val="20"/>
                <w:szCs w:val="20"/>
                <w:color w:val="auto"/>
              </w:rPr>
            </w:pPr>
            <w:r>
              <w:rPr>
                <w:rFonts w:ascii="Arial" w:cs="Arial" w:eastAsia="Arial" w:hAnsi="Arial"/>
                <w:sz w:val="13"/>
                <w:szCs w:val="13"/>
                <w:color w:val="auto"/>
              </w:rPr>
              <w:t>C.A. James</w:t>
            </w:r>
          </w:p>
        </w:tc>
        <w:tc>
          <w:tcPr>
            <w:tcW w:w="920" w:type="dxa"/>
            <w:vAlign w:val="bottom"/>
          </w:tcPr>
          <w:p>
            <w:pPr>
              <w:jc w:val="right"/>
              <w:spacing w:after="0" w:line="145" w:lineRule="exact"/>
              <w:rPr>
                <w:sz w:val="20"/>
                <w:szCs w:val="20"/>
                <w:color w:val="auto"/>
              </w:rPr>
            </w:pPr>
            <w:r>
              <w:rPr>
                <w:rFonts w:ascii="Arial" w:cs="Arial" w:eastAsia="Arial" w:hAnsi="Arial"/>
                <w:sz w:val="13"/>
                <w:szCs w:val="13"/>
                <w:color w:val="auto"/>
              </w:rPr>
              <w:t>54</w:t>
            </w:r>
          </w:p>
        </w:tc>
        <w:tc>
          <w:tcPr>
            <w:tcW w:w="100" w:type="dxa"/>
            <w:vAlign w:val="bottom"/>
          </w:tcPr>
          <w:p>
            <w:pPr>
              <w:spacing w:after="0"/>
              <w:rPr>
                <w:sz w:val="12"/>
                <w:szCs w:val="12"/>
                <w:color w:val="auto"/>
              </w:rPr>
            </w:pPr>
          </w:p>
        </w:tc>
        <w:tc>
          <w:tcPr>
            <w:tcW w:w="3840" w:type="dxa"/>
            <w:vAlign w:val="bottom"/>
          </w:tcPr>
          <w:p>
            <w:pPr>
              <w:spacing w:after="0" w:line="145" w:lineRule="exact"/>
              <w:rPr>
                <w:sz w:val="20"/>
                <w:szCs w:val="20"/>
                <w:color w:val="auto"/>
              </w:rPr>
            </w:pPr>
            <w:r>
              <w:rPr>
                <w:rFonts w:ascii="Arial" w:cs="Arial" w:eastAsia="Arial" w:hAnsi="Arial"/>
                <w:sz w:val="13"/>
                <w:szCs w:val="13"/>
                <w:color w:val="auto"/>
              </w:rPr>
              <w:t>Vice President and General Counsel</w:t>
            </w:r>
          </w:p>
        </w:tc>
        <w:tc>
          <w:tcPr>
            <w:tcW w:w="100" w:type="dxa"/>
            <w:vAlign w:val="bottom"/>
          </w:tcPr>
          <w:p>
            <w:pPr>
              <w:spacing w:after="0"/>
              <w:rPr>
                <w:sz w:val="12"/>
                <w:szCs w:val="12"/>
                <w:color w:val="auto"/>
              </w:rPr>
            </w:pPr>
          </w:p>
        </w:tc>
        <w:tc>
          <w:tcPr>
            <w:tcW w:w="3860" w:type="dxa"/>
            <w:vAlign w:val="bottom"/>
          </w:tcPr>
          <w:p>
            <w:pPr>
              <w:spacing w:after="0" w:line="145" w:lineRule="exact"/>
              <w:rPr>
                <w:sz w:val="20"/>
                <w:szCs w:val="20"/>
                <w:color w:val="auto"/>
              </w:rPr>
            </w:pPr>
            <w:r>
              <w:rPr>
                <w:rFonts w:ascii="Arial" w:cs="Arial" w:eastAsia="Arial" w:hAnsi="Arial"/>
                <w:sz w:val="13"/>
                <w:szCs w:val="13"/>
                <w:color w:val="auto"/>
              </w:rPr>
              <w:t>Law</w:t>
            </w:r>
          </w:p>
        </w:tc>
      </w:tr>
      <w:tr>
        <w:trPr>
          <w:trHeight w:val="162"/>
        </w:trPr>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(since 2002)</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r>
    </w:tbl>
    <w:p>
      <w:pPr>
        <w:spacing w:after="0" w:line="78" w:lineRule="exact"/>
        <w:rPr>
          <w:sz w:val="20"/>
          <w:szCs w:val="20"/>
          <w:color w:val="auto"/>
        </w:rPr>
      </w:pPr>
    </w:p>
    <w:p>
      <w:pPr>
        <w:ind w:left="460" w:right="100"/>
        <w:spacing w:after="0" w:line="256" w:lineRule="auto"/>
        <w:rPr>
          <w:sz w:val="20"/>
          <w:szCs w:val="20"/>
          <w:color w:val="auto"/>
        </w:rPr>
      </w:pPr>
      <w:r>
        <w:rPr>
          <w:rFonts w:ascii="Arial" w:cs="Arial" w:eastAsia="Arial" w:hAnsi="Arial"/>
          <w:sz w:val="13"/>
          <w:szCs w:val="13"/>
          <w:color w:val="auto"/>
        </w:rPr>
        <w:t>The information required by Item 401(b) and (e) of Regulation S-K and contained under the heading “Election of Directors” in the Notice of the 2009 Annual Meeting and 2009 Proxy Statement, to be filed pursuant to Rule 14a-6(b) under the Securities Exchange Act of 1934 (the “Exchange Act”), in connection with the company’s 2009 Annual Meeting of Stockholders (the “2009 Proxy Statement”), is incorporated by reference into this Annual Report on Form 10-K.</w:t>
      </w:r>
    </w:p>
    <w:p>
      <w:pPr>
        <w:spacing w:after="0" w:line="69"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The information required by Item 405 of Regulation S-K and contained under the heading “Stock Ownership Information — Section 16(a) Beneficial Ownership Reporting Compliance” in the 2009 Proxy Statement is incorporated by reference into this Annual Report on Form 10-K.</w:t>
      </w:r>
    </w:p>
    <w:p>
      <w:pPr>
        <w:spacing w:after="0" w:line="61"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The information required by Item 406 of Regulation S-K and contained under the heading “Board Operations — Business Conduct and Ethics Code” in the 2009 Proxy Statement is incorporated by reference into this Annual Report on Form 10-K.</w:t>
      </w:r>
    </w:p>
    <w:p>
      <w:pPr>
        <w:spacing w:after="0" w:line="61"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The information required by Item 407(d)(4)-(5) of Regulation S-K and contained under the heading “Board Operations — Board Committee Membership and Functions” in the 2009 Proxy Statement is incorporated by reference into this Annual Report on Form 10-K.</w:t>
      </w:r>
    </w:p>
    <w:p>
      <w:pPr>
        <w:spacing w:after="0" w:line="26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There were no changes to the process by which stockholders may recommend nominees to the Board of Directors during the last fiscal year.</w:t>
      </w:r>
    </w:p>
    <w:p>
      <w:pPr>
        <w:spacing w:after="0" w:line="164"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95" w:lineRule="exact"/>
        <w:rPr>
          <w:sz w:val="20"/>
          <w:szCs w:val="20"/>
          <w:color w:val="auto"/>
        </w:rPr>
      </w:pPr>
    </w:p>
    <w:p>
      <w:pPr>
        <w:ind w:left="460" w:right="200"/>
        <w:spacing w:after="0" w:line="267" w:lineRule="auto"/>
        <w:rPr>
          <w:sz w:val="20"/>
          <w:szCs w:val="20"/>
          <w:color w:val="auto"/>
        </w:rPr>
      </w:pPr>
      <w:r>
        <w:rPr>
          <w:rFonts w:ascii="Arial" w:cs="Arial" w:eastAsia="Arial" w:hAnsi="Arial"/>
          <w:sz w:val="13"/>
          <w:szCs w:val="13"/>
          <w:color w:val="auto"/>
        </w:rPr>
        <w:t>The information required by Item 402 of Regulation S-K and contained under the headings “Executive Compensation” and “Directors’ Compensation” in the 2009 Proxy Statement is incorporated by reference into this Annual Report on Form 10-K.</w:t>
      </w:r>
    </w:p>
    <w:p>
      <w:pPr>
        <w:spacing w:after="0" w:line="61" w:lineRule="exact"/>
        <w:rPr>
          <w:sz w:val="20"/>
          <w:szCs w:val="20"/>
          <w:color w:val="auto"/>
        </w:rPr>
      </w:pPr>
    </w:p>
    <w:p>
      <w:pPr>
        <w:ind w:left="460" w:right="280"/>
        <w:spacing w:after="0" w:line="267" w:lineRule="auto"/>
        <w:rPr>
          <w:sz w:val="20"/>
          <w:szCs w:val="20"/>
          <w:color w:val="auto"/>
        </w:rPr>
      </w:pPr>
      <w:r>
        <w:rPr>
          <w:rFonts w:ascii="Arial" w:cs="Arial" w:eastAsia="Arial" w:hAnsi="Arial"/>
          <w:sz w:val="13"/>
          <w:szCs w:val="13"/>
          <w:color w:val="auto"/>
        </w:rPr>
        <w:t>The information required by Item 407(e)(4) of Regulation S-K and contained under the heading “Board Operations — Board Committee Membership and Functions” in the 2009 Proxy Statement is incorporated by reference into this Annual Report on Form 10-K.</w:t>
      </w:r>
    </w:p>
    <w:p>
      <w:pPr>
        <w:spacing w:after="0" w:line="61" w:lineRule="exact"/>
        <w:rPr>
          <w:sz w:val="20"/>
          <w:szCs w:val="20"/>
          <w:color w:val="auto"/>
        </w:rPr>
      </w:pPr>
    </w:p>
    <w:p>
      <w:pPr>
        <w:ind w:left="460" w:right="60"/>
        <w:spacing w:after="0" w:line="253" w:lineRule="auto"/>
        <w:rPr>
          <w:sz w:val="20"/>
          <w:szCs w:val="20"/>
          <w:color w:val="auto"/>
        </w:rPr>
      </w:pPr>
      <w:r>
        <w:rPr>
          <w:rFonts w:ascii="Arial" w:cs="Arial" w:eastAsia="Arial" w:hAnsi="Arial"/>
          <w:sz w:val="13"/>
          <w:szCs w:val="13"/>
          <w:color w:val="auto"/>
        </w:rPr>
        <w:t>The information required by Item 407(e)(5) of Regulation S-K and contained under the heading “Board Operations — Management Compensation Committee Report” in the 2009 Proxy Statement is incorporated herein by reference into this Annual Report on Form 10-K. Pursuant to the rules and regulations of the SEC under the Exchange Act, the information under such caption incorporated by reference from the 2009 Proxy Statement shall not be deemed “filed” for purposes of Section 18 of the Exchange Act nor shall it be deemed incorporated by reference into any filing under the Securities Act of 1933.</w:t>
      </w:r>
    </w:p>
    <w:p>
      <w:pPr>
        <w:spacing w:after="0" w:line="144"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95"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The information required by Item 403 of Regulation S-K and contained under the heading “Stock Ownership Information — Security Ownership of Certain Beneficial Owners and Management” in the 2009 Proxy Statement is incorporated by reference into this Annual Report on Form 10-K.</w:t>
      </w:r>
    </w:p>
    <w:p>
      <w:pPr>
        <w:spacing w:after="0" w:line="61" w:lineRule="exact"/>
        <w:rPr>
          <w:sz w:val="20"/>
          <w:szCs w:val="20"/>
          <w:color w:val="auto"/>
        </w:rPr>
      </w:pPr>
    </w:p>
    <w:p>
      <w:pPr>
        <w:ind w:left="460" w:right="60"/>
        <w:spacing w:after="0" w:line="267" w:lineRule="auto"/>
        <w:rPr>
          <w:sz w:val="20"/>
          <w:szCs w:val="20"/>
          <w:color w:val="auto"/>
        </w:rPr>
      </w:pPr>
      <w:r>
        <w:rPr>
          <w:rFonts w:ascii="Arial" w:cs="Arial" w:eastAsia="Arial" w:hAnsi="Arial"/>
          <w:sz w:val="13"/>
          <w:szCs w:val="13"/>
          <w:color w:val="auto"/>
        </w:rPr>
        <w:t>The information required by Item 201(d) of Regulation S-K and contained under the heading “Equity Compensation Plan Information” in the 2009 Proxy Statement is incorporated by reference into this Annual Report on Form 10-K.</w:t>
      </w:r>
    </w:p>
    <w:p>
      <w:pPr>
        <w:spacing w:after="0" w:line="134"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95"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The information required by Item 404 of Regulation S-K and contained under the heading “Board Operations — Transactions with Related Persons” in the 2009 Proxy Statement is incorporated by reference into this Annual Report on Form 10-K.</w:t>
      </w:r>
    </w:p>
    <w:p>
      <w:pPr>
        <w:spacing w:after="0" w:line="61" w:lineRule="exact"/>
        <w:rPr>
          <w:sz w:val="20"/>
          <w:szCs w:val="20"/>
          <w:color w:val="auto"/>
        </w:rPr>
      </w:pPr>
    </w:p>
    <w:p>
      <w:pPr>
        <w:ind w:left="460" w:right="80"/>
        <w:spacing w:after="0" w:line="267" w:lineRule="auto"/>
        <w:rPr>
          <w:sz w:val="20"/>
          <w:szCs w:val="20"/>
          <w:color w:val="auto"/>
        </w:rPr>
      </w:pPr>
      <w:r>
        <w:rPr>
          <w:rFonts w:ascii="Arial" w:cs="Arial" w:eastAsia="Arial" w:hAnsi="Arial"/>
          <w:sz w:val="13"/>
          <w:szCs w:val="13"/>
          <w:color w:val="auto"/>
        </w:rPr>
        <w:t>The information required by Item 407(a) of Regulation S-K and contained under the heading “Board Operations — Independence of Directors” in the 2009 Proxy Statement is incorporated by reference into this Annual Report on Form 10-K.</w:t>
      </w:r>
    </w:p>
    <w:p>
      <w:pPr>
        <w:spacing w:after="0" w:line="134"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95"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The information required by Item 9(e) of Schedule 14A and contained under the heading “Ratification of Independent Registered Public Accounting Firm” in the 2009 Proxy Statement is incorporated by reference into this Annual Report on Form 10-K.</w:t>
      </w:r>
    </w:p>
    <w:p>
      <w:pPr>
        <w:spacing w:after="0" w:line="263"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40"/>
          </w:cols>
          <w:pgMar w:left="220" w:top="339" w:right="839" w:bottom="1440" w:gutter="0" w:footer="0" w:header="0"/>
        </w:sectPr>
      </w:pPr>
    </w:p>
    <w:bookmarkStart w:id="38" w:name="page39"/>
    <w:bookmarkEnd w:id="38"/>
    <w:p>
      <w:pPr>
        <w:ind w:left="4960"/>
        <w:spacing w:after="0"/>
        <w:rPr>
          <w:sz w:val="20"/>
          <w:szCs w:val="20"/>
          <w:color w:val="auto"/>
        </w:rPr>
      </w:pPr>
      <w:r>
        <w:rPr>
          <w:rFonts w:ascii="Arial" w:cs="Arial" w:eastAsia="Arial" w:hAnsi="Arial"/>
          <w:sz w:val="13"/>
          <w:szCs w:val="13"/>
          <w:b w:val="1"/>
          <w:bCs w:val="1"/>
          <w:color w:val="auto"/>
        </w:rPr>
        <w:t>PART IV</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color w:val="auto"/>
        </w:rPr>
        <w:t>Exhibits, Financial Statement Schedules</w:t>
      </w:r>
    </w:p>
    <w:p>
      <w:pPr>
        <w:spacing w:after="0" w:line="91" w:lineRule="exact"/>
        <w:rPr>
          <w:sz w:val="20"/>
          <w:szCs w:val="20"/>
          <w:color w:val="auto"/>
        </w:rPr>
      </w:pPr>
    </w:p>
    <w:p>
      <w:pPr>
        <w:ind w:left="900" w:hanging="173"/>
        <w:spacing w:after="0"/>
        <w:tabs>
          <w:tab w:leader="none" w:pos="9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documents are filed as part of this report:</w:t>
      </w:r>
    </w:p>
    <w:p>
      <w:pPr>
        <w:spacing w:after="0" w:line="94" w:lineRule="exact"/>
        <w:rPr>
          <w:rFonts w:ascii="Arial" w:cs="Arial" w:eastAsia="Arial" w:hAnsi="Arial"/>
          <w:sz w:val="13"/>
          <w:szCs w:val="13"/>
          <w:b w:val="1"/>
          <w:bCs w:val="1"/>
          <w:color w:val="auto"/>
        </w:rPr>
      </w:pPr>
    </w:p>
    <w:p>
      <w:pPr>
        <w:ind w:left="1180" w:hanging="214"/>
        <w:spacing w:after="0"/>
        <w:tabs>
          <w:tab w:leader="none" w:pos="11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Report of Independent Registered Public Accounting Firm — 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Consolidated Statement of Income for the three years ended December 31, 2008</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Consolidated Statement of Comprehensive Income for the three years ended December 31, 2008</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Consolidated Balance Sheet at December 31, 2008 and 2007</w:t>
      </w:r>
    </w:p>
    <w:p>
      <w:pPr>
        <w:spacing w:after="0" w:line="4" w:lineRule="exact"/>
        <w:rPr>
          <w:sz w:val="20"/>
          <w:szCs w:val="20"/>
          <w:color w:val="auto"/>
        </w:rPr>
      </w:pPr>
    </w:p>
    <w:p>
      <w:pPr>
        <w:ind w:right="2940"/>
        <w:spacing w:after="0" w:line="250" w:lineRule="auto"/>
        <w:rPr>
          <w:sz w:val="20"/>
          <w:szCs w:val="20"/>
          <w:color w:val="auto"/>
        </w:rPr>
      </w:pPr>
      <w:r>
        <w:rPr>
          <w:rFonts w:ascii="Arial" w:cs="Arial" w:eastAsia="Arial" w:hAnsi="Arial"/>
          <w:sz w:val="13"/>
          <w:szCs w:val="13"/>
          <w:u w:val="single" w:color="auto"/>
          <w:color w:val="0000EE"/>
        </w:rPr>
        <w:t>Consolidated Statement of Cash Flows for the three years ended December 31, 2008 Consolidated Statement of Stockholders’ Equity for the three years ended December 31, 2008 Notes to the Consolidated Financial Statements</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(2) Financial Statement Schedules:</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Included on page 38 is Schedule II — Valuation and Qualifying Accounts.</w:t>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(3) Exhibits:</w:t>
      </w:r>
    </w:p>
    <w:p>
      <w:pPr>
        <w:spacing w:after="0" w:line="91" w:lineRule="exact"/>
        <w:rPr>
          <w:sz w:val="20"/>
          <w:szCs w:val="20"/>
          <w:color w:val="auto"/>
        </w:rPr>
      </w:pPr>
    </w:p>
    <w:p>
      <w:pPr>
        <w:jc w:val="right"/>
        <w:ind w:right="1560"/>
        <w:spacing w:after="0"/>
        <w:rPr>
          <w:sz w:val="20"/>
          <w:szCs w:val="20"/>
          <w:color w:val="auto"/>
        </w:rPr>
      </w:pPr>
      <w:r>
        <w:rPr>
          <w:rFonts w:ascii="Arial" w:cs="Arial" w:eastAsia="Arial" w:hAnsi="Arial"/>
          <w:sz w:val="13"/>
          <w:szCs w:val="13"/>
          <w:color w:val="auto"/>
        </w:rPr>
        <w:t>The Exhibit Index on pages E-1 and E-2 lists the exhibits that are filed as part of this report.</w:t>
      </w:r>
    </w:p>
    <w:p>
      <w:pPr>
        <w:spacing w:after="0" w:line="293"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729297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79"/>
        <w:spacing w:after="0"/>
        <w:rPr>
          <w:sz w:val="20"/>
          <w:szCs w:val="20"/>
          <w:color w:val="auto"/>
        </w:rPr>
      </w:pPr>
      <w:r>
        <w:rPr>
          <w:rFonts w:ascii="Arial" w:cs="Arial" w:eastAsia="Arial" w:hAnsi="Arial"/>
          <w:sz w:val="10"/>
          <w:szCs w:val="10"/>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12573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7300" cy="63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FS-26</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FS-27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FS-28</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FS-29</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FS-30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FS-31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FS-32 to FS-59</w:t>
      </w:r>
    </w:p>
    <w:p>
      <w:pPr>
        <w:sectPr>
          <w:pgSz w:w="11900" w:h="16838" w:orient="portrait"/>
          <w:cols w:equalWidth="0" w:num="2">
            <w:col w:w="7740" w:space="720"/>
            <w:col w:w="1319"/>
          </w:cols>
          <w:pgMar w:left="680" w:top="732" w:right="1440"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Millions of Dollars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8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91"/>
              </w:rPr>
              <w:t>Year Ended December 31</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5" w:lineRule="exact"/>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5" w:lineRule="exact"/>
              <w:rPr>
                <w:sz w:val="20"/>
                <w:szCs w:val="20"/>
                <w:color w:val="auto"/>
              </w:rPr>
            </w:pPr>
            <w:r>
              <w:rPr>
                <w:rFonts w:ascii="Arial" w:cs="Arial" w:eastAsia="Arial" w:hAnsi="Arial"/>
                <w:sz w:val="10"/>
                <w:szCs w:val="10"/>
                <w:b w:val="1"/>
                <w:bCs w:val="1"/>
                <w:color w:val="auto"/>
                <w:w w:val="98"/>
              </w:rPr>
              <w:t>2007</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5"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Employee Termination Benefits:</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40" w:type="dxa"/>
            <w:vAlign w:val="bottom"/>
          </w:tcPr>
          <w:p>
            <w:pPr>
              <w:spacing w:after="0"/>
              <w:rPr>
                <w:sz w:val="20"/>
                <w:szCs w:val="20"/>
                <w:color w:val="auto"/>
              </w:rPr>
            </w:pPr>
            <w:r>
              <w:rPr>
                <w:rFonts w:ascii="Arial" w:cs="Arial" w:eastAsia="Arial" w:hAnsi="Arial"/>
                <w:sz w:val="13"/>
                <w:szCs w:val="13"/>
                <w:color w:val="auto"/>
              </w:rPr>
              <w:t>Balance at January 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117</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Additions (deductions) charged (credited) to expense</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9"/>
              <w:spacing w:after="0"/>
              <w:rPr>
                <w:sz w:val="20"/>
                <w:szCs w:val="20"/>
                <w:color w:val="auto"/>
              </w:rPr>
            </w:pPr>
            <w:r>
              <w:rPr>
                <w:rFonts w:ascii="Arial" w:cs="Arial" w:eastAsia="Arial" w:hAnsi="Arial"/>
                <w:sz w:val="13"/>
                <w:szCs w:val="13"/>
                <w:b w:val="1"/>
                <w:bCs w:val="1"/>
                <w:color w:val="auto"/>
              </w:rPr>
              <w:t>(13)</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4"/>
        </w:trPr>
        <w:tc>
          <w:tcPr>
            <w:tcW w:w="8140" w:type="dxa"/>
            <w:vAlign w:val="bottom"/>
          </w:tcPr>
          <w:p>
            <w:pPr>
              <w:spacing w:after="0"/>
              <w:rPr>
                <w:sz w:val="20"/>
                <w:szCs w:val="20"/>
                <w:color w:val="auto"/>
              </w:rPr>
            </w:pPr>
            <w:r>
              <w:rPr>
                <w:rFonts w:ascii="Arial" w:cs="Arial" w:eastAsia="Arial" w:hAnsi="Arial"/>
                <w:sz w:val="13"/>
                <w:szCs w:val="13"/>
                <w:color w:val="auto"/>
              </w:rPr>
              <w:t>Payments</w:t>
            </w:r>
          </w:p>
        </w:tc>
        <w:tc>
          <w:tcPr>
            <w:tcW w:w="120" w:type="dxa"/>
            <w:vAlign w:val="bottom"/>
          </w:tcPr>
          <w:p>
            <w:pPr>
              <w:spacing w:after="0"/>
              <w:rPr>
                <w:sz w:val="13"/>
                <w:szCs w:val="13"/>
                <w:color w:val="auto"/>
              </w:rPr>
            </w:pPr>
          </w:p>
        </w:tc>
        <w:tc>
          <w:tcPr>
            <w:tcW w:w="840" w:type="dxa"/>
            <w:vAlign w:val="bottom"/>
            <w:gridSpan w:val="2"/>
          </w:tcPr>
          <w:p>
            <w:pPr>
              <w:jc w:val="right"/>
              <w:ind w:right="329"/>
              <w:spacing w:after="0"/>
              <w:rPr>
                <w:sz w:val="20"/>
                <w:szCs w:val="20"/>
                <w:color w:val="auto"/>
              </w:rPr>
            </w:pPr>
            <w:r>
              <w:rPr>
                <w:rFonts w:ascii="Arial" w:cs="Arial" w:eastAsia="Arial" w:hAnsi="Arial"/>
                <w:sz w:val="13"/>
                <w:szCs w:val="13"/>
                <w:b w:val="1"/>
                <w:bCs w:val="1"/>
                <w:color w:val="auto"/>
              </w:rPr>
              <w:t>(60)</w:t>
            </w:r>
          </w:p>
        </w:tc>
        <w:tc>
          <w:tcPr>
            <w:tcW w:w="8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4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3"/>
        </w:trPr>
        <w:tc>
          <w:tcPr>
            <w:tcW w:w="8140" w:type="dxa"/>
            <w:vAlign w:val="bottom"/>
          </w:tcPr>
          <w:p>
            <w:pPr>
              <w:spacing w:after="0"/>
              <w:rPr>
                <w:sz w:val="20"/>
                <w:szCs w:val="20"/>
                <w:color w:val="auto"/>
              </w:rPr>
            </w:pPr>
            <w:r>
              <w:rPr>
                <w:rFonts w:ascii="Arial" w:cs="Arial" w:eastAsia="Arial" w:hAnsi="Arial"/>
                <w:sz w:val="13"/>
                <w:szCs w:val="13"/>
                <w:b w:val="1"/>
                <w:bCs w:val="1"/>
                <w:color w:val="auto"/>
              </w:rPr>
              <w:t>Allowance for Doubtful Accounts:</w:t>
            </w: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w:t>
            </w:r>
          </w:p>
        </w:tc>
        <w:tc>
          <w:tcPr>
            <w:tcW w:w="4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54"/>
        </w:trPr>
        <w:tc>
          <w:tcPr>
            <w:tcW w:w="8140" w:type="dxa"/>
            <w:vAlign w:val="bottom"/>
          </w:tcPr>
          <w:p>
            <w:pPr>
              <w:spacing w:after="0"/>
              <w:rPr>
                <w:sz w:val="20"/>
                <w:szCs w:val="20"/>
                <w:color w:val="auto"/>
              </w:rPr>
            </w:pPr>
            <w:r>
              <w:rPr>
                <w:rFonts w:ascii="Arial" w:cs="Arial" w:eastAsia="Arial" w:hAnsi="Arial"/>
                <w:sz w:val="13"/>
                <w:szCs w:val="13"/>
                <w:color w:val="auto"/>
              </w:rPr>
              <w:t>Additions charged to expense</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105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Bad debt write-offs</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9"/>
              <w:spacing w:after="0"/>
              <w:rPr>
                <w:sz w:val="20"/>
                <w:szCs w:val="20"/>
                <w:color w:val="auto"/>
              </w:rPr>
            </w:pPr>
            <w:r>
              <w:rPr>
                <w:rFonts w:ascii="Arial" w:cs="Arial" w:eastAsia="Arial" w:hAnsi="Arial"/>
                <w:sz w:val="13"/>
                <w:szCs w:val="13"/>
                <w:b w:val="1"/>
                <w:bCs w:val="1"/>
                <w:color w:val="auto"/>
              </w:rPr>
              <w:t>(30)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4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275</w:t>
            </w:r>
          </w:p>
        </w:tc>
        <w:tc>
          <w:tcPr>
            <w:tcW w:w="4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9"/>
        </w:trPr>
        <w:tc>
          <w:tcPr>
            <w:tcW w:w="8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Income Tax Valuation Allowance:*</w:t>
            </w: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40" w:type="dxa"/>
            <w:vAlign w:val="bottom"/>
          </w:tcPr>
          <w:p>
            <w:pPr>
              <w:spacing w:after="0"/>
              <w:rPr>
                <w:sz w:val="20"/>
                <w:szCs w:val="20"/>
                <w:color w:val="auto"/>
              </w:rPr>
            </w:pPr>
            <w:r>
              <w:rPr>
                <w:rFonts w:ascii="Arial" w:cs="Arial" w:eastAsia="Arial" w:hAnsi="Arial"/>
                <w:sz w:val="13"/>
                <w:szCs w:val="13"/>
                <w:color w:val="auto"/>
              </w:rPr>
              <w:t>Balance at January 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5,949</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w w:val="98"/>
              </w:rPr>
              <w:t>4,391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3,249</w:t>
            </w:r>
          </w:p>
        </w:tc>
        <w:tc>
          <w:tcPr>
            <w:tcW w:w="0" w:type="dxa"/>
            <w:vAlign w:val="bottom"/>
          </w:tcPr>
          <w:p>
            <w:pPr>
              <w:spacing w:after="0"/>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Additions charged to deferred income tax expense</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2,599</w:t>
            </w:r>
          </w:p>
        </w:tc>
        <w:tc>
          <w:tcPr>
            <w:tcW w:w="4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8"/>
              </w:rPr>
              <w:t>1,894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1,700</w:t>
            </w:r>
          </w:p>
        </w:tc>
        <w:tc>
          <w:tcPr>
            <w:tcW w:w="0" w:type="dxa"/>
            <w:vAlign w:val="bottom"/>
          </w:tcPr>
          <w:p>
            <w:pPr>
              <w:spacing w:after="0"/>
              <w:rPr>
                <w:sz w:val="1"/>
                <w:szCs w:val="1"/>
                <w:color w:val="auto"/>
              </w:rPr>
            </w:pPr>
          </w:p>
        </w:tc>
      </w:tr>
      <w:tr>
        <w:trPr>
          <w:trHeight w:val="154"/>
        </w:trPr>
        <w:tc>
          <w:tcPr>
            <w:tcW w:w="8140" w:type="dxa"/>
            <w:vAlign w:val="bottom"/>
          </w:tcPr>
          <w:p>
            <w:pPr>
              <w:spacing w:after="0"/>
              <w:rPr>
                <w:sz w:val="20"/>
                <w:szCs w:val="20"/>
                <w:color w:val="auto"/>
              </w:rPr>
            </w:pPr>
            <w:r>
              <w:rPr>
                <w:rFonts w:ascii="Arial" w:cs="Arial" w:eastAsia="Arial" w:hAnsi="Arial"/>
                <w:sz w:val="13"/>
                <w:szCs w:val="13"/>
                <w:color w:val="auto"/>
              </w:rPr>
              <w:t>Deductions credited to goodwill</w:t>
            </w:r>
          </w:p>
        </w:tc>
        <w:tc>
          <w:tcPr>
            <w:tcW w:w="120" w:type="dxa"/>
            <w:vAlign w:val="bottom"/>
          </w:tcPr>
          <w:p>
            <w:pPr>
              <w:spacing w:after="0"/>
              <w:rPr>
                <w:sz w:val="13"/>
                <w:szCs w:val="13"/>
                <w:color w:val="auto"/>
              </w:rPr>
            </w:pPr>
          </w:p>
        </w:tc>
        <w:tc>
          <w:tcPr>
            <w:tcW w:w="840" w:type="dxa"/>
            <w:vAlign w:val="bottom"/>
            <w:gridSpan w:val="2"/>
          </w:tcPr>
          <w:p>
            <w:pPr>
              <w:jc w:val="right"/>
              <w:ind w:right="36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4"/>
        </w:trPr>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Deductions credited to deferred income tax expense</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9"/>
              <w:spacing w:after="0"/>
              <w:rPr>
                <w:sz w:val="20"/>
                <w:szCs w:val="20"/>
                <w:color w:val="auto"/>
              </w:rPr>
            </w:pPr>
            <w:r>
              <w:rPr>
                <w:rFonts w:ascii="Arial" w:cs="Arial" w:eastAsia="Arial" w:hAnsi="Arial"/>
                <w:sz w:val="13"/>
                <w:szCs w:val="13"/>
                <w:b w:val="1"/>
                <w:bCs w:val="1"/>
                <w:color w:val="auto"/>
              </w:rPr>
              <w:t>(1,013)</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4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7,535</w:t>
            </w:r>
          </w:p>
        </w:tc>
        <w:tc>
          <w:tcPr>
            <w:tcW w:w="4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w w:val="98"/>
              </w:rPr>
              <w:t>5,949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4,391</w:t>
            </w: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See also Note 16 to the Consolidated Financial Statements beginning on page FS-45.</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3"/>
          <w:szCs w:val="13"/>
          <w:b w:val="1"/>
          <w:bCs w:val="1"/>
          <w:color w:val="auto"/>
        </w:rPr>
        <w:t>SIGNATURES</w:t>
      </w:r>
    </w:p>
    <w:p>
      <w:pPr>
        <w:spacing w:after="0" w:line="56" w:lineRule="exact"/>
        <w:rPr>
          <w:sz w:val="20"/>
          <w:szCs w:val="20"/>
          <w:color w:val="auto"/>
        </w:rPr>
      </w:pPr>
    </w:p>
    <w:p>
      <w:pPr>
        <w:ind w:left="460" w:right="1040"/>
        <w:spacing w:after="0" w:line="267"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on the 26th day of February, 2009.</w:t>
      </w:r>
    </w:p>
    <w:p>
      <w:pPr>
        <w:spacing w:after="0" w:line="61" w:lineRule="exact"/>
        <w:rPr>
          <w:sz w:val="20"/>
          <w:szCs w:val="20"/>
          <w:color w:val="auto"/>
        </w:rPr>
      </w:pPr>
    </w:p>
    <w:p>
      <w:pPr>
        <w:ind w:left="7680"/>
        <w:spacing w:after="0"/>
        <w:rPr>
          <w:sz w:val="20"/>
          <w:szCs w:val="20"/>
          <w:color w:val="auto"/>
        </w:rPr>
      </w:pPr>
      <w:r>
        <w:rPr>
          <w:rFonts w:ascii="Arial" w:cs="Arial" w:eastAsia="Arial" w:hAnsi="Arial"/>
          <w:sz w:val="13"/>
          <w:szCs w:val="13"/>
          <w:color w:val="auto"/>
        </w:rPr>
        <w:t>Chevron Corporation</w:t>
      </w:r>
    </w:p>
    <w:p>
      <w:pPr>
        <w:spacing w:after="0" w:line="168" w:lineRule="exact"/>
        <w:rPr>
          <w:sz w:val="20"/>
          <w:szCs w:val="20"/>
          <w:color w:val="auto"/>
        </w:rPr>
      </w:pPr>
    </w:p>
    <w:p>
      <w:pPr>
        <w:ind w:left="5580"/>
        <w:spacing w:after="0"/>
        <w:tabs>
          <w:tab w:leader="none" w:pos="78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J. O’R</w:t>
      </w:r>
      <w:r>
        <w:rPr>
          <w:rFonts w:ascii="Arial" w:cs="Arial" w:eastAsia="Arial" w:hAnsi="Arial"/>
          <w:sz w:val="8"/>
          <w:szCs w:val="8"/>
          <w:color w:val="auto"/>
        </w:rPr>
        <w:t>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14605</wp:posOffset>
            </wp:positionV>
            <wp:extent cx="358902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89020" cy="6350"/>
                    </a:xfrm>
                    <a:prstGeom prst="rect">
                      <a:avLst/>
                    </a:prstGeom>
                    <a:noFill/>
                  </pic:spPr>
                </pic:pic>
              </a:graphicData>
            </a:graphic>
          </wp:anchor>
        </w:drawing>
      </w:r>
    </w:p>
    <w:p>
      <w:pPr>
        <w:spacing w:after="0" w:line="3" w:lineRule="exact"/>
        <w:rPr>
          <w:sz w:val="20"/>
          <w:szCs w:val="20"/>
          <w:color w:val="auto"/>
        </w:rPr>
      </w:pPr>
    </w:p>
    <w:p>
      <w:pPr>
        <w:jc w:val="center"/>
        <w:ind w:left="5320"/>
        <w:spacing w:after="0"/>
        <w:rPr>
          <w:sz w:val="20"/>
          <w:szCs w:val="20"/>
          <w:color w:val="auto"/>
        </w:rPr>
      </w:pPr>
      <w:r>
        <w:rPr>
          <w:rFonts w:ascii="Arial" w:cs="Arial" w:eastAsia="Arial" w:hAnsi="Arial"/>
          <w:sz w:val="13"/>
          <w:szCs w:val="13"/>
          <w:color w:val="auto"/>
        </w:rPr>
        <w:t>David J. O’Reilly, Chairman of the Board</w:t>
      </w:r>
    </w:p>
    <w:p>
      <w:pPr>
        <w:spacing w:after="0" w:line="13" w:lineRule="exact"/>
        <w:rPr>
          <w:sz w:val="20"/>
          <w:szCs w:val="20"/>
          <w:color w:val="auto"/>
        </w:rPr>
      </w:pPr>
    </w:p>
    <w:p>
      <w:pPr>
        <w:jc w:val="center"/>
        <w:ind w:left="5320"/>
        <w:spacing w:after="0"/>
        <w:rPr>
          <w:sz w:val="20"/>
          <w:szCs w:val="20"/>
          <w:color w:val="auto"/>
        </w:rPr>
      </w:pPr>
      <w:r>
        <w:rPr>
          <w:rFonts w:ascii="Arial" w:cs="Arial" w:eastAsia="Arial" w:hAnsi="Arial"/>
          <w:sz w:val="13"/>
          <w:szCs w:val="13"/>
          <w:color w:val="auto"/>
        </w:rPr>
        <w:t>and Chief Executive Officer</w:t>
      </w:r>
    </w:p>
    <w:p>
      <w:pPr>
        <w:spacing w:after="0" w:line="82" w:lineRule="exact"/>
        <w:rPr>
          <w:sz w:val="20"/>
          <w:szCs w:val="20"/>
          <w:color w:val="auto"/>
        </w:rPr>
      </w:pPr>
    </w:p>
    <w:p>
      <w:pPr>
        <w:ind w:left="460" w:right="640"/>
        <w:spacing w:after="0" w:line="267"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indicated on the 26th day of February, 2009.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020" w:type="dxa"/>
            <w:vAlign w:val="bottom"/>
            <w:gridSpan w:val="9"/>
          </w:tcPr>
          <w:p>
            <w:pPr>
              <w:ind w:left="2280"/>
              <w:spacing w:after="0"/>
              <w:rPr>
                <w:sz w:val="20"/>
                <w:szCs w:val="20"/>
                <w:color w:val="auto"/>
              </w:rPr>
            </w:pPr>
            <w:r>
              <w:rPr>
                <w:rFonts w:ascii="Arial" w:cs="Arial" w:eastAsia="Arial" w:hAnsi="Arial"/>
                <w:sz w:val="13"/>
                <w:szCs w:val="13"/>
                <w:b w:val="1"/>
                <w:bCs w:val="1"/>
                <w:color w:val="auto"/>
              </w:rPr>
              <w:t>Principal Executive Officers</w:t>
            </w: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6"/>
          </w:tcPr>
          <w:p>
            <w:pPr>
              <w:jc w:val="center"/>
              <w:ind w:right="1440"/>
              <w:spacing w:after="0"/>
              <w:rPr>
                <w:sz w:val="20"/>
                <w:szCs w:val="20"/>
                <w:color w:val="auto"/>
              </w:rPr>
            </w:pPr>
            <w:r>
              <w:rPr>
                <w:rFonts w:ascii="Arial" w:cs="Arial" w:eastAsia="Arial" w:hAnsi="Arial"/>
                <w:sz w:val="13"/>
                <w:szCs w:val="13"/>
                <w:b w:val="1"/>
                <w:bCs w:val="1"/>
                <w:color w:val="auto"/>
                <w:w w:val="88"/>
              </w:rPr>
              <w:t>(and Directors)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11"/>
          </w:tcPr>
          <w:p>
            <w:pPr>
              <w:jc w:val="center"/>
              <w:ind w:right="2860"/>
              <w:spacing w:after="0"/>
              <w:rPr>
                <w:sz w:val="20"/>
                <w:szCs w:val="20"/>
                <w:color w:val="auto"/>
              </w:rPr>
            </w:pPr>
            <w:r>
              <w:rPr>
                <w:rFonts w:ascii="Arial" w:cs="Arial" w:eastAsia="Arial" w:hAnsi="Arial"/>
                <w:sz w:val="13"/>
                <w:szCs w:val="13"/>
                <w:b w:val="1"/>
                <w:bCs w:val="1"/>
                <w:color w:val="auto"/>
                <w:w w:val="91"/>
              </w:rPr>
              <w:t>Directors</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gridSpan w:val="6"/>
          </w:tcPr>
          <w:p>
            <w:pPr>
              <w:jc w:val="center"/>
              <w:ind w:right="1440"/>
              <w:spacing w:after="0"/>
              <w:rPr>
                <w:sz w:val="20"/>
                <w:szCs w:val="20"/>
                <w:color w:val="auto"/>
              </w:rPr>
            </w:pPr>
            <w:r>
              <w:rPr>
                <w:rFonts w:ascii="Arial" w:cs="Arial" w:eastAsia="Arial" w:hAnsi="Arial"/>
                <w:sz w:val="13"/>
                <w:szCs w:val="13"/>
                <w:color w:val="auto"/>
                <w:w w:val="98"/>
              </w:rPr>
              <w:t>/s/D</w:t>
            </w:r>
            <w:r>
              <w:rPr>
                <w:rFonts w:ascii="Arial" w:cs="Arial" w:eastAsia="Arial" w:hAnsi="Arial"/>
                <w:sz w:val="8"/>
                <w:szCs w:val="8"/>
                <w:color w:val="auto"/>
                <w:w w:val="98"/>
              </w:rPr>
              <w:t>AVID</w:t>
            </w:r>
            <w:r>
              <w:rPr>
                <w:rFonts w:ascii="Arial" w:cs="Arial" w:eastAsia="Arial" w:hAnsi="Arial"/>
                <w:sz w:val="13"/>
                <w:szCs w:val="13"/>
                <w:color w:val="auto"/>
                <w:w w:val="98"/>
              </w:rPr>
              <w:t xml:space="preserve"> J. O’R</w:t>
            </w:r>
            <w:r>
              <w:rPr>
                <w:rFonts w:ascii="Arial" w:cs="Arial" w:eastAsia="Arial" w:hAnsi="Arial"/>
                <w:sz w:val="8"/>
                <w:szCs w:val="8"/>
                <w:color w:val="auto"/>
                <w:w w:val="98"/>
              </w:rPr>
              <w:t>EILLY</w:t>
            </w:r>
          </w:p>
        </w:tc>
        <w:tc>
          <w:tcPr>
            <w:tcW w:w="2900" w:type="dxa"/>
            <w:vAlign w:val="bottom"/>
          </w:tcPr>
          <w:p>
            <w:pPr>
              <w:spacing w:after="0"/>
              <w:rPr>
                <w:sz w:val="21"/>
                <w:szCs w:val="21"/>
                <w:color w:val="auto"/>
              </w:rPr>
            </w:pPr>
          </w:p>
        </w:tc>
        <w:tc>
          <w:tcPr>
            <w:tcW w:w="3560" w:type="dxa"/>
            <w:vAlign w:val="bottom"/>
            <w:gridSpan w:val="14"/>
          </w:tcPr>
          <w:p>
            <w:pPr>
              <w:jc w:val="center"/>
              <w:ind w:right="2580"/>
              <w:spacing w:after="0"/>
              <w:rPr>
                <w:sz w:val="20"/>
                <w:szCs w:val="20"/>
                <w:color w:val="auto"/>
              </w:rPr>
            </w:pPr>
            <w:r>
              <w:rPr>
                <w:rFonts w:ascii="Arial" w:cs="Arial" w:eastAsia="Arial" w:hAnsi="Arial"/>
                <w:sz w:val="13"/>
                <w:szCs w:val="13"/>
                <w:color w:val="auto"/>
                <w:w w:val="88"/>
              </w:rPr>
              <w:t>S</w:t>
            </w:r>
            <w:r>
              <w:rPr>
                <w:rFonts w:ascii="Arial" w:cs="Arial" w:eastAsia="Arial" w:hAnsi="Arial"/>
                <w:sz w:val="8"/>
                <w:szCs w:val="8"/>
                <w:color w:val="auto"/>
                <w:w w:val="88"/>
              </w:rPr>
              <w:t>AMUEL</w:t>
            </w:r>
            <w:r>
              <w:rPr>
                <w:rFonts w:ascii="Arial" w:cs="Arial" w:eastAsia="Arial" w:hAnsi="Arial"/>
                <w:sz w:val="13"/>
                <w:szCs w:val="13"/>
                <w:color w:val="auto"/>
                <w:w w:val="88"/>
              </w:rPr>
              <w:t xml:space="preserve"> H. A</w:t>
            </w:r>
            <w:r>
              <w:rPr>
                <w:rFonts w:ascii="Arial" w:cs="Arial" w:eastAsia="Arial" w:hAnsi="Arial"/>
                <w:sz w:val="8"/>
                <w:szCs w:val="8"/>
                <w:color w:val="auto"/>
                <w:w w:val="88"/>
              </w:rPr>
              <w:t>RMACOST</w:t>
            </w: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020" w:type="dxa"/>
            <w:vAlign w:val="bottom"/>
            <w:gridSpan w:val="9"/>
          </w:tcPr>
          <w:p>
            <w:pPr>
              <w:jc w:val="center"/>
              <w:ind w:left="1056"/>
              <w:spacing w:after="0"/>
              <w:rPr>
                <w:sz w:val="20"/>
                <w:szCs w:val="20"/>
                <w:color w:val="auto"/>
              </w:rPr>
            </w:pPr>
            <w:r>
              <w:rPr>
                <w:rFonts w:ascii="Arial" w:cs="Arial" w:eastAsia="Arial" w:hAnsi="Arial"/>
                <w:sz w:val="13"/>
                <w:szCs w:val="13"/>
                <w:color w:val="auto"/>
                <w:w w:val="91"/>
              </w:rPr>
              <w:t>David J. O’Reilly, Chairman of the</w:t>
            </w:r>
          </w:p>
        </w:tc>
        <w:tc>
          <w:tcPr>
            <w:tcW w:w="2900" w:type="dxa"/>
            <w:vAlign w:val="bottom"/>
          </w:tcPr>
          <w:p>
            <w:pPr>
              <w:spacing w:after="0"/>
              <w:rPr>
                <w:sz w:val="13"/>
                <w:szCs w:val="13"/>
                <w:color w:val="auto"/>
              </w:rPr>
            </w:pPr>
          </w:p>
        </w:tc>
        <w:tc>
          <w:tcPr>
            <w:tcW w:w="3560" w:type="dxa"/>
            <w:vAlign w:val="bottom"/>
            <w:gridSpan w:val="14"/>
          </w:tcPr>
          <w:p>
            <w:pPr>
              <w:jc w:val="center"/>
              <w:ind w:right="2600"/>
              <w:spacing w:after="0"/>
              <w:rPr>
                <w:sz w:val="20"/>
                <w:szCs w:val="20"/>
                <w:color w:val="auto"/>
              </w:rPr>
            </w:pPr>
            <w:r>
              <w:rPr>
                <w:rFonts w:ascii="Arial" w:cs="Arial" w:eastAsia="Arial" w:hAnsi="Arial"/>
                <w:sz w:val="13"/>
                <w:szCs w:val="13"/>
                <w:color w:val="auto"/>
                <w:w w:val="80"/>
              </w:rPr>
              <w:t>Samuel H. Armacost</w:t>
            </w:r>
          </w:p>
        </w:tc>
        <w:tc>
          <w:tcPr>
            <w:tcW w:w="0" w:type="dxa"/>
            <w:vAlign w:val="bottom"/>
          </w:tcPr>
          <w:p>
            <w:pPr>
              <w:spacing w:after="0"/>
              <w:rPr>
                <w:sz w:val="1"/>
                <w:szCs w:val="1"/>
                <w:color w:val="auto"/>
              </w:rPr>
            </w:pPr>
          </w:p>
        </w:tc>
      </w:tr>
      <w:tr>
        <w:trPr>
          <w:trHeight w:val="162"/>
        </w:trPr>
        <w:tc>
          <w:tcPr>
            <w:tcW w:w="5020" w:type="dxa"/>
            <w:vAlign w:val="bottom"/>
            <w:gridSpan w:val="9"/>
          </w:tcPr>
          <w:p>
            <w:pPr>
              <w:jc w:val="center"/>
              <w:ind w:left="1056"/>
              <w:spacing w:after="0"/>
              <w:rPr>
                <w:sz w:val="20"/>
                <w:szCs w:val="20"/>
                <w:color w:val="auto"/>
              </w:rPr>
            </w:pPr>
            <w:r>
              <w:rPr>
                <w:rFonts w:ascii="Arial" w:cs="Arial" w:eastAsia="Arial" w:hAnsi="Arial"/>
                <w:sz w:val="13"/>
                <w:szCs w:val="13"/>
                <w:color w:val="auto"/>
                <w:w w:val="90"/>
              </w:rPr>
              <w:t>Board and Chief Executive Officer</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95"/>
              </w:rPr>
              <w:t>/s/P</w:t>
            </w:r>
            <w:r>
              <w:rPr>
                <w:rFonts w:ascii="Arial" w:cs="Arial" w:eastAsia="Arial" w:hAnsi="Arial"/>
                <w:sz w:val="8"/>
                <w:szCs w:val="8"/>
                <w:color w:val="auto"/>
                <w:w w:val="95"/>
              </w:rPr>
              <w:t>ETER</w:t>
            </w:r>
            <w:r>
              <w:rPr>
                <w:rFonts w:ascii="Arial" w:cs="Arial" w:eastAsia="Arial" w:hAnsi="Arial"/>
                <w:sz w:val="13"/>
                <w:szCs w:val="13"/>
                <w:color w:val="auto"/>
                <w:w w:val="95"/>
              </w:rPr>
              <w:t xml:space="preserve"> J. R</w:t>
            </w:r>
            <w:r>
              <w:rPr>
                <w:rFonts w:ascii="Arial" w:cs="Arial" w:eastAsia="Arial" w:hAnsi="Arial"/>
                <w:sz w:val="8"/>
                <w:szCs w:val="8"/>
                <w:color w:val="auto"/>
                <w:w w:val="95"/>
              </w:rPr>
              <w:t>OBERTSON</w:t>
            </w:r>
          </w:p>
        </w:tc>
        <w:tc>
          <w:tcPr>
            <w:tcW w:w="1400" w:type="dxa"/>
            <w:vAlign w:val="bottom"/>
            <w:gridSpan w:val="3"/>
          </w:tcPr>
          <w:p>
            <w:pPr>
              <w:spacing w:after="0"/>
              <w:rPr>
                <w:sz w:val="18"/>
                <w:szCs w:val="18"/>
                <w:color w:val="auto"/>
              </w:rPr>
            </w:pPr>
          </w:p>
        </w:tc>
        <w:tc>
          <w:tcPr>
            <w:tcW w:w="2900" w:type="dxa"/>
            <w:vAlign w:val="bottom"/>
          </w:tcPr>
          <w:p>
            <w:pPr>
              <w:spacing w:after="0"/>
              <w:rPr>
                <w:sz w:val="18"/>
                <w:szCs w:val="18"/>
                <w:color w:val="auto"/>
              </w:rPr>
            </w:pPr>
          </w:p>
        </w:tc>
        <w:tc>
          <w:tcPr>
            <w:tcW w:w="84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color w:val="auto"/>
              </w:rPr>
              <w:t>L</w:t>
            </w:r>
            <w:r>
              <w:rPr>
                <w:rFonts w:ascii="Arial" w:cs="Arial" w:eastAsia="Arial" w:hAnsi="Arial"/>
                <w:sz w:val="8"/>
                <w:szCs w:val="8"/>
                <w:color w:val="auto"/>
              </w:rPr>
              <w:t>INNET</w:t>
            </w:r>
            <w:r>
              <w:rPr>
                <w:rFonts w:ascii="Arial" w:cs="Arial" w:eastAsia="Arial" w:hAnsi="Arial"/>
                <w:sz w:val="13"/>
                <w:szCs w:val="13"/>
                <w:color w:val="auto"/>
              </w:rPr>
              <w:t xml:space="preserve"> F. D</w:t>
            </w:r>
            <w:r>
              <w:rPr>
                <w:rFonts w:ascii="Arial" w:cs="Arial" w:eastAsia="Arial" w:hAnsi="Arial"/>
                <w:sz w:val="8"/>
                <w:szCs w:val="8"/>
                <w:color w:val="auto"/>
              </w:rPr>
              <w:t>EILY</w:t>
            </w:r>
            <w:r>
              <w:rPr>
                <w:rFonts w:ascii="Arial" w:cs="Arial" w:eastAsia="Arial" w:hAnsi="Arial"/>
                <w:sz w:val="13"/>
                <w:szCs w:val="13"/>
                <w:color w:val="auto"/>
              </w:rPr>
              <w:t>*</w:t>
            </w:r>
          </w:p>
        </w:tc>
        <w:tc>
          <w:tcPr>
            <w:tcW w:w="27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gridSpan w:val="9"/>
          </w:tcPr>
          <w:p>
            <w:pPr>
              <w:jc w:val="center"/>
              <w:ind w:left="1076"/>
              <w:spacing w:after="0"/>
              <w:rPr>
                <w:sz w:val="20"/>
                <w:szCs w:val="20"/>
                <w:color w:val="auto"/>
              </w:rPr>
            </w:pPr>
            <w:r>
              <w:rPr>
                <w:rFonts w:ascii="Arial" w:cs="Arial" w:eastAsia="Arial" w:hAnsi="Arial"/>
                <w:sz w:val="13"/>
                <w:szCs w:val="13"/>
                <w:color w:val="auto"/>
                <w:w w:val="88"/>
              </w:rPr>
              <w:t>Peter J. Robertson, Vice Chairman of the Board</w:t>
            </w:r>
          </w:p>
        </w:tc>
        <w:tc>
          <w:tcPr>
            <w:tcW w:w="2900" w:type="dxa"/>
            <w:vAlign w:val="bottom"/>
          </w:tcPr>
          <w:p>
            <w:pPr>
              <w:spacing w:after="0"/>
              <w:rPr>
                <w:sz w:val="14"/>
                <w:szCs w:val="14"/>
                <w:color w:val="auto"/>
              </w:rPr>
            </w:pPr>
          </w:p>
        </w:tc>
        <w:tc>
          <w:tcPr>
            <w:tcW w:w="3560" w:type="dxa"/>
            <w:vAlign w:val="bottom"/>
            <w:gridSpan w:val="14"/>
          </w:tcPr>
          <w:p>
            <w:pPr>
              <w:jc w:val="center"/>
              <w:ind w:right="2720"/>
              <w:spacing w:after="0"/>
              <w:rPr>
                <w:sz w:val="20"/>
                <w:szCs w:val="20"/>
                <w:color w:val="auto"/>
              </w:rPr>
            </w:pPr>
            <w:r>
              <w:rPr>
                <w:rFonts w:ascii="Arial" w:cs="Arial" w:eastAsia="Arial" w:hAnsi="Arial"/>
                <w:sz w:val="13"/>
                <w:szCs w:val="13"/>
                <w:color w:val="auto"/>
                <w:w w:val="91"/>
              </w:rPr>
              <w:t>Linnet F. Deily</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60" w:type="dxa"/>
            <w:vAlign w:val="bottom"/>
            <w:gridSpan w:val="14"/>
          </w:tcPr>
          <w:p>
            <w:pPr>
              <w:jc w:val="center"/>
              <w:ind w:right="2640"/>
              <w:spacing w:after="0"/>
              <w:rPr>
                <w:sz w:val="20"/>
                <w:szCs w:val="20"/>
                <w:color w:val="auto"/>
              </w:rPr>
            </w:pPr>
            <w:r>
              <w:rPr>
                <w:rFonts w:ascii="Arial" w:cs="Arial" w:eastAsia="Arial" w:hAnsi="Arial"/>
                <w:sz w:val="13"/>
                <w:szCs w:val="13"/>
                <w:color w:val="auto"/>
                <w:w w:val="92"/>
              </w:rPr>
              <w:t>R</w:t>
            </w:r>
            <w:r>
              <w:rPr>
                <w:rFonts w:ascii="Arial" w:cs="Arial" w:eastAsia="Arial" w:hAnsi="Arial"/>
                <w:sz w:val="8"/>
                <w:szCs w:val="8"/>
                <w:color w:val="auto"/>
                <w:w w:val="92"/>
              </w:rPr>
              <w:t>OBERT</w:t>
            </w:r>
            <w:r>
              <w:rPr>
                <w:rFonts w:ascii="Arial" w:cs="Arial" w:eastAsia="Arial" w:hAnsi="Arial"/>
                <w:sz w:val="13"/>
                <w:szCs w:val="13"/>
                <w:color w:val="auto"/>
                <w:w w:val="92"/>
              </w:rPr>
              <w:t xml:space="preserve"> E. D</w:t>
            </w:r>
            <w:r>
              <w:rPr>
                <w:rFonts w:ascii="Arial" w:cs="Arial" w:eastAsia="Arial" w:hAnsi="Arial"/>
                <w:sz w:val="8"/>
                <w:szCs w:val="8"/>
                <w:color w:val="auto"/>
                <w:w w:val="92"/>
              </w:rPr>
              <w:t>ENHAM</w:t>
            </w:r>
            <w:r>
              <w:rPr>
                <w:rFonts w:ascii="Arial" w:cs="Arial" w:eastAsia="Arial" w:hAnsi="Arial"/>
                <w:sz w:val="13"/>
                <w:szCs w:val="13"/>
                <w:color w:val="auto"/>
                <w:w w:val="92"/>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Borders>
              <w:top w:val="single" w:sz="8" w:color="auto"/>
            </w:tcBorders>
            <w:gridSpan w:val="11"/>
          </w:tcPr>
          <w:p>
            <w:pPr>
              <w:jc w:val="center"/>
              <w:ind w:right="20"/>
              <w:spacing w:after="0"/>
              <w:rPr>
                <w:sz w:val="20"/>
                <w:szCs w:val="20"/>
                <w:color w:val="auto"/>
              </w:rPr>
            </w:pPr>
            <w:r>
              <w:rPr>
                <w:rFonts w:ascii="Arial" w:cs="Arial" w:eastAsia="Arial" w:hAnsi="Arial"/>
                <w:sz w:val="13"/>
                <w:szCs w:val="13"/>
                <w:color w:val="auto"/>
                <w:w w:val="83"/>
              </w:rPr>
              <w:t>Robert E. Denham</w:t>
            </w:r>
          </w:p>
        </w:tc>
        <w:tc>
          <w:tcPr>
            <w:tcW w:w="26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14"/>
          </w:tcPr>
          <w:p>
            <w:pPr>
              <w:jc w:val="center"/>
              <w:ind w:right="2700"/>
              <w:spacing w:after="0"/>
              <w:rPr>
                <w:sz w:val="20"/>
                <w:szCs w:val="20"/>
                <w:color w:val="auto"/>
              </w:rPr>
            </w:pPr>
            <w:r>
              <w:rPr>
                <w:rFonts w:ascii="Arial" w:cs="Arial" w:eastAsia="Arial" w:hAnsi="Arial"/>
                <w:sz w:val="13"/>
                <w:szCs w:val="13"/>
                <w:color w:val="auto"/>
                <w:w w:val="95"/>
              </w:rPr>
              <w:t>R</w:t>
            </w:r>
            <w:r>
              <w:rPr>
                <w:rFonts w:ascii="Arial" w:cs="Arial" w:eastAsia="Arial" w:hAnsi="Arial"/>
                <w:sz w:val="8"/>
                <w:szCs w:val="8"/>
                <w:color w:val="auto"/>
                <w:w w:val="95"/>
              </w:rPr>
              <w:t>OBERT</w:t>
            </w:r>
            <w:r>
              <w:rPr>
                <w:rFonts w:ascii="Arial" w:cs="Arial" w:eastAsia="Arial" w:hAnsi="Arial"/>
                <w:sz w:val="13"/>
                <w:szCs w:val="13"/>
                <w:color w:val="auto"/>
                <w:w w:val="95"/>
              </w:rPr>
              <w:t xml:space="preserve"> J. E</w:t>
            </w:r>
            <w:r>
              <w:rPr>
                <w:rFonts w:ascii="Arial" w:cs="Arial" w:eastAsia="Arial" w:hAnsi="Arial"/>
                <w:sz w:val="8"/>
                <w:szCs w:val="8"/>
                <w:color w:val="auto"/>
                <w:w w:val="95"/>
              </w:rPr>
              <w:t>ATON</w:t>
            </w:r>
            <w:r>
              <w:rPr>
                <w:rFonts w:ascii="Arial" w:cs="Arial" w:eastAsia="Arial" w:hAnsi="Arial"/>
                <w:sz w:val="13"/>
                <w:szCs w:val="13"/>
                <w:color w:val="auto"/>
                <w:w w:val="95"/>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Borders>
              <w:top w:val="single" w:sz="8" w:color="auto"/>
            </w:tcBorders>
            <w:gridSpan w:val="9"/>
          </w:tcPr>
          <w:p>
            <w:pPr>
              <w:jc w:val="center"/>
              <w:ind w:right="40"/>
              <w:spacing w:after="0"/>
              <w:rPr>
                <w:sz w:val="20"/>
                <w:szCs w:val="20"/>
                <w:color w:val="auto"/>
              </w:rPr>
            </w:pPr>
            <w:r>
              <w:rPr>
                <w:rFonts w:ascii="Arial" w:cs="Arial" w:eastAsia="Arial" w:hAnsi="Arial"/>
                <w:sz w:val="13"/>
                <w:szCs w:val="13"/>
                <w:color w:val="auto"/>
                <w:w w:val="88"/>
              </w:rPr>
              <w:t>Robert J. Eaton</w:t>
            </w:r>
          </w:p>
        </w:tc>
        <w:tc>
          <w:tcPr>
            <w:tcW w:w="26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5020" w:type="dxa"/>
            <w:vAlign w:val="bottom"/>
            <w:gridSpan w:val="9"/>
            <w:vMerge w:val="restart"/>
          </w:tcPr>
          <w:p>
            <w:pPr>
              <w:jc w:val="center"/>
              <w:ind w:left="1056"/>
              <w:spacing w:after="0"/>
              <w:rPr>
                <w:sz w:val="20"/>
                <w:szCs w:val="20"/>
                <w:color w:val="auto"/>
              </w:rPr>
            </w:pPr>
            <w:r>
              <w:rPr>
                <w:rFonts w:ascii="Arial" w:cs="Arial" w:eastAsia="Arial" w:hAnsi="Arial"/>
                <w:sz w:val="13"/>
                <w:szCs w:val="13"/>
                <w:b w:val="1"/>
                <w:bCs w:val="1"/>
                <w:color w:val="auto"/>
                <w:w w:val="90"/>
              </w:rPr>
              <w:t>Principal Financial Officer</w:t>
            </w: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AM</w:t>
            </w:r>
            <w:r>
              <w:rPr>
                <w:rFonts w:ascii="Arial" w:cs="Arial" w:eastAsia="Arial" w:hAnsi="Arial"/>
                <w:sz w:val="13"/>
                <w:szCs w:val="13"/>
                <w:color w:val="auto"/>
              </w:rPr>
              <w:t xml:space="preserve"> G</w:t>
            </w:r>
            <w:r>
              <w:rPr>
                <w:rFonts w:ascii="Arial" w:cs="Arial" w:eastAsia="Arial" w:hAnsi="Arial"/>
                <w:sz w:val="8"/>
                <w:szCs w:val="8"/>
                <w:color w:val="auto"/>
              </w:rPr>
              <w:t>INN</w:t>
            </w:r>
            <w:r>
              <w:rPr>
                <w:rFonts w:ascii="Arial" w:cs="Arial" w:eastAsia="Arial" w:hAnsi="Arial"/>
                <w:sz w:val="13"/>
                <w:szCs w:val="13"/>
                <w:color w:val="auto"/>
              </w:rPr>
              <w:t>*</w:t>
            </w:r>
          </w:p>
        </w:tc>
        <w:tc>
          <w:tcPr>
            <w:tcW w:w="28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20" w:type="dxa"/>
            <w:vAlign w:val="bottom"/>
            <w:gridSpan w:val="9"/>
            <w:vMerge w:val="continue"/>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11"/>
          </w:tcPr>
          <w:p>
            <w:pPr>
              <w:jc w:val="center"/>
              <w:ind w:right="2860"/>
              <w:spacing w:after="0"/>
              <w:rPr>
                <w:sz w:val="20"/>
                <w:szCs w:val="20"/>
                <w:color w:val="auto"/>
              </w:rPr>
            </w:pPr>
            <w:r>
              <w:rPr>
                <w:rFonts w:ascii="Arial" w:cs="Arial" w:eastAsia="Arial" w:hAnsi="Arial"/>
                <w:sz w:val="13"/>
                <w:szCs w:val="13"/>
                <w:color w:val="auto"/>
                <w:w w:val="89"/>
              </w:rPr>
              <w:t>Sam Ginn</w:t>
            </w:r>
          </w:p>
        </w:tc>
        <w:tc>
          <w:tcPr>
            <w:tcW w:w="0" w:type="dxa"/>
            <w:vAlign w:val="bottom"/>
          </w:tcPr>
          <w:p>
            <w:pPr>
              <w:spacing w:after="0"/>
              <w:rPr>
                <w:sz w:val="1"/>
                <w:szCs w:val="1"/>
                <w:color w:val="auto"/>
              </w:rPr>
            </w:pPr>
          </w:p>
        </w:tc>
      </w:tr>
      <w:tr>
        <w:trPr>
          <w:trHeight w:val="279"/>
        </w:trPr>
        <w:tc>
          <w:tcPr>
            <w:tcW w:w="5020" w:type="dxa"/>
            <w:vAlign w:val="bottom"/>
            <w:gridSpan w:val="9"/>
          </w:tcPr>
          <w:p>
            <w:pPr>
              <w:jc w:val="center"/>
              <w:ind w:left="1056"/>
              <w:spacing w:after="0"/>
              <w:rPr>
                <w:sz w:val="20"/>
                <w:szCs w:val="20"/>
                <w:color w:val="auto"/>
              </w:rPr>
            </w:pPr>
            <w:r>
              <w:rPr>
                <w:rFonts w:ascii="Arial" w:cs="Arial" w:eastAsia="Arial" w:hAnsi="Arial"/>
                <w:sz w:val="13"/>
                <w:szCs w:val="13"/>
                <w:color w:val="auto"/>
                <w:w w:val="99"/>
              </w:rPr>
              <w:t>/s/P</w:t>
            </w:r>
            <w:r>
              <w:rPr>
                <w:rFonts w:ascii="Arial" w:cs="Arial" w:eastAsia="Arial" w:hAnsi="Arial"/>
                <w:sz w:val="8"/>
                <w:szCs w:val="8"/>
                <w:color w:val="auto"/>
                <w:w w:val="99"/>
              </w:rPr>
              <w:t>ATRICIA</w:t>
            </w:r>
            <w:r>
              <w:rPr>
                <w:rFonts w:ascii="Arial" w:cs="Arial" w:eastAsia="Arial" w:hAnsi="Arial"/>
                <w:sz w:val="13"/>
                <w:szCs w:val="13"/>
                <w:color w:val="auto"/>
                <w:w w:val="99"/>
              </w:rPr>
              <w:t xml:space="preserve"> E. Y</w:t>
            </w:r>
            <w:r>
              <w:rPr>
                <w:rFonts w:ascii="Arial" w:cs="Arial" w:eastAsia="Arial" w:hAnsi="Arial"/>
                <w:sz w:val="8"/>
                <w:szCs w:val="8"/>
                <w:color w:val="auto"/>
                <w:w w:val="99"/>
              </w:rPr>
              <w:t>ARRINGTON</w:t>
            </w:r>
          </w:p>
        </w:tc>
        <w:tc>
          <w:tcPr>
            <w:tcW w:w="6460" w:type="dxa"/>
            <w:vAlign w:val="bottom"/>
            <w:gridSpan w:val="15"/>
          </w:tcPr>
          <w:p>
            <w:pPr>
              <w:jc w:val="center"/>
              <w:ind w:left="116"/>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NRIQUE</w:t>
            </w:r>
            <w:r>
              <w:rPr>
                <w:rFonts w:ascii="Arial" w:cs="Arial" w:eastAsia="Arial" w:hAnsi="Arial"/>
                <w:sz w:val="13"/>
                <w:szCs w:val="13"/>
                <w:color w:val="auto"/>
              </w:rPr>
              <w:t xml:space="preserve"> H</w:t>
            </w:r>
            <w:r>
              <w:rPr>
                <w:rFonts w:ascii="Arial" w:cs="Arial" w:eastAsia="Arial" w:hAnsi="Arial"/>
                <w:sz w:val="8"/>
                <w:szCs w:val="8"/>
                <w:color w:val="auto"/>
              </w:rPr>
              <w:t>ERNANDEZ</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020" w:type="dxa"/>
            <w:vAlign w:val="bottom"/>
            <w:gridSpan w:val="9"/>
          </w:tcPr>
          <w:p>
            <w:pPr>
              <w:jc w:val="center"/>
              <w:ind w:left="1056"/>
              <w:spacing w:after="0"/>
              <w:rPr>
                <w:sz w:val="20"/>
                <w:szCs w:val="20"/>
                <w:color w:val="auto"/>
              </w:rPr>
            </w:pPr>
            <w:r>
              <w:rPr>
                <w:rFonts w:ascii="Arial" w:cs="Arial" w:eastAsia="Arial" w:hAnsi="Arial"/>
                <w:sz w:val="13"/>
                <w:szCs w:val="13"/>
                <w:color w:val="auto"/>
                <w:w w:val="89"/>
              </w:rPr>
              <w:t>Patricia E. Yarrington, Vice President and</w:t>
            </w:r>
          </w:p>
        </w:tc>
        <w:tc>
          <w:tcPr>
            <w:tcW w:w="2900" w:type="dxa"/>
            <w:vAlign w:val="bottom"/>
          </w:tcPr>
          <w:p>
            <w:pPr>
              <w:spacing w:after="0"/>
              <w:rPr>
                <w:sz w:val="13"/>
                <w:szCs w:val="13"/>
                <w:color w:val="auto"/>
              </w:rPr>
            </w:pPr>
          </w:p>
        </w:tc>
        <w:tc>
          <w:tcPr>
            <w:tcW w:w="3560" w:type="dxa"/>
            <w:vAlign w:val="bottom"/>
            <w:gridSpan w:val="14"/>
          </w:tcPr>
          <w:p>
            <w:pPr>
              <w:jc w:val="center"/>
              <w:ind w:right="2560"/>
              <w:spacing w:after="0"/>
              <w:rPr>
                <w:sz w:val="20"/>
                <w:szCs w:val="20"/>
                <w:color w:val="auto"/>
              </w:rPr>
            </w:pPr>
            <w:r>
              <w:rPr>
                <w:rFonts w:ascii="Arial" w:cs="Arial" w:eastAsia="Arial" w:hAnsi="Arial"/>
                <w:sz w:val="13"/>
                <w:szCs w:val="13"/>
                <w:color w:val="auto"/>
                <w:w w:val="74"/>
              </w:rPr>
              <w:t>Enrique Hernandez, Jr.</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600" w:type="dxa"/>
            <w:vAlign w:val="bottom"/>
            <w:gridSpan w:val="8"/>
          </w:tcPr>
          <w:p>
            <w:pPr>
              <w:jc w:val="center"/>
              <w:ind w:right="1300"/>
              <w:spacing w:after="0"/>
              <w:rPr>
                <w:sz w:val="20"/>
                <w:szCs w:val="20"/>
                <w:color w:val="auto"/>
              </w:rPr>
            </w:pPr>
            <w:r>
              <w:rPr>
                <w:rFonts w:ascii="Arial" w:cs="Arial" w:eastAsia="Arial" w:hAnsi="Arial"/>
                <w:sz w:val="13"/>
                <w:szCs w:val="13"/>
                <w:color w:val="auto"/>
                <w:w w:val="92"/>
              </w:rPr>
              <w:t>Chief Financial Officer</w:t>
            </w:r>
          </w:p>
        </w:tc>
        <w:tc>
          <w:tcPr>
            <w:tcW w:w="2900" w:type="dxa"/>
            <w:vAlign w:val="bottom"/>
          </w:tcPr>
          <w:p>
            <w:pPr>
              <w:spacing w:after="0"/>
              <w:rPr>
                <w:sz w:val="14"/>
                <w:szCs w:val="14"/>
                <w:color w:val="auto"/>
              </w:rPr>
            </w:pPr>
          </w:p>
        </w:tc>
        <w:tc>
          <w:tcPr>
            <w:tcW w:w="3560" w:type="dxa"/>
            <w:vAlign w:val="bottom"/>
            <w:gridSpan w:val="14"/>
            <w:vMerge w:val="restart"/>
          </w:tcPr>
          <w:p>
            <w:pPr>
              <w:jc w:val="center"/>
              <w:ind w:right="2600"/>
              <w:spacing w:after="0"/>
              <w:rPr>
                <w:sz w:val="20"/>
                <w:szCs w:val="20"/>
                <w:color w:val="auto"/>
              </w:rPr>
            </w:pPr>
            <w:r>
              <w:rPr>
                <w:rFonts w:ascii="Arial" w:cs="Arial" w:eastAsia="Arial" w:hAnsi="Arial"/>
                <w:sz w:val="13"/>
                <w:szCs w:val="13"/>
                <w:color w:val="auto"/>
                <w:w w:val="89"/>
              </w:rPr>
              <w:t>F</w:t>
            </w:r>
            <w:r>
              <w:rPr>
                <w:rFonts w:ascii="Arial" w:cs="Arial" w:eastAsia="Arial" w:hAnsi="Arial"/>
                <w:sz w:val="8"/>
                <w:szCs w:val="8"/>
                <w:color w:val="auto"/>
                <w:w w:val="89"/>
              </w:rPr>
              <w:t>RANKLYN</w:t>
            </w:r>
            <w:r>
              <w:rPr>
                <w:rFonts w:ascii="Arial" w:cs="Arial" w:eastAsia="Arial" w:hAnsi="Arial"/>
                <w:sz w:val="13"/>
                <w:szCs w:val="13"/>
                <w:color w:val="auto"/>
                <w:w w:val="89"/>
              </w:rPr>
              <w:t xml:space="preserve"> G. J</w:t>
            </w:r>
            <w:r>
              <w:rPr>
                <w:rFonts w:ascii="Arial" w:cs="Arial" w:eastAsia="Arial" w:hAnsi="Arial"/>
                <w:sz w:val="8"/>
                <w:szCs w:val="8"/>
                <w:color w:val="auto"/>
                <w:w w:val="89"/>
              </w:rPr>
              <w:t>ENIFER</w:t>
            </w:r>
            <w:r>
              <w:rPr>
                <w:rFonts w:ascii="Arial" w:cs="Arial" w:eastAsia="Arial" w:hAnsi="Arial"/>
                <w:sz w:val="13"/>
                <w:szCs w:val="13"/>
                <w:color w:val="auto"/>
                <w:w w:val="89"/>
              </w:rPr>
              <w:t>*</w:t>
            </w:r>
          </w:p>
        </w:tc>
        <w:tc>
          <w:tcPr>
            <w:tcW w:w="0" w:type="dxa"/>
            <w:vAlign w:val="bottom"/>
          </w:tcPr>
          <w:p>
            <w:pPr>
              <w:spacing w:after="0"/>
              <w:rPr>
                <w:sz w:val="1"/>
                <w:szCs w:val="1"/>
                <w:color w:val="auto"/>
              </w:rPr>
            </w:pPr>
          </w:p>
        </w:tc>
      </w:tr>
      <w:tr>
        <w:trPr>
          <w:trHeight w:val="125"/>
        </w:trPr>
        <w:tc>
          <w:tcPr>
            <w:tcW w:w="5020" w:type="dxa"/>
            <w:vAlign w:val="bottom"/>
            <w:gridSpan w:val="9"/>
            <w:vMerge w:val="restart"/>
          </w:tcPr>
          <w:p>
            <w:pPr>
              <w:jc w:val="center"/>
              <w:ind w:left="1056"/>
              <w:spacing w:after="0"/>
              <w:rPr>
                <w:sz w:val="20"/>
                <w:szCs w:val="20"/>
                <w:color w:val="auto"/>
              </w:rPr>
            </w:pPr>
            <w:r>
              <w:rPr>
                <w:rFonts w:ascii="Arial" w:cs="Arial" w:eastAsia="Arial" w:hAnsi="Arial"/>
                <w:sz w:val="13"/>
                <w:szCs w:val="13"/>
                <w:b w:val="1"/>
                <w:bCs w:val="1"/>
                <w:color w:val="auto"/>
                <w:w w:val="89"/>
              </w:rPr>
              <w:t>Principal Accounting Officer</w:t>
            </w:r>
          </w:p>
        </w:tc>
        <w:tc>
          <w:tcPr>
            <w:tcW w:w="2900" w:type="dxa"/>
            <w:vAlign w:val="bottom"/>
          </w:tcPr>
          <w:p>
            <w:pPr>
              <w:spacing w:after="0"/>
              <w:rPr>
                <w:sz w:val="10"/>
                <w:szCs w:val="10"/>
                <w:color w:val="auto"/>
              </w:rPr>
            </w:pPr>
          </w:p>
        </w:tc>
        <w:tc>
          <w:tcPr>
            <w:tcW w:w="3560" w:type="dxa"/>
            <w:vAlign w:val="bottom"/>
            <w:gridSpan w:val="1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20" w:type="dxa"/>
            <w:vAlign w:val="bottom"/>
            <w:gridSpan w:val="9"/>
            <w:vMerge w:val="continue"/>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3"/>
                <w:szCs w:val="13"/>
                <w:color w:val="auto"/>
                <w:w w:val="83"/>
              </w:rPr>
              <w:t>Franklyn G. Jenifer</w:t>
            </w:r>
          </w:p>
        </w:tc>
        <w:tc>
          <w:tcPr>
            <w:tcW w:w="25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color w:val="auto"/>
              </w:rPr>
              <w:t>/s/M</w:t>
            </w:r>
            <w:r>
              <w:rPr>
                <w:rFonts w:ascii="Arial" w:cs="Arial" w:eastAsia="Arial" w:hAnsi="Arial"/>
                <w:sz w:val="8"/>
                <w:szCs w:val="8"/>
                <w:color w:val="auto"/>
              </w:rPr>
              <w:t>ARK</w:t>
            </w:r>
            <w:r>
              <w:rPr>
                <w:rFonts w:ascii="Arial" w:cs="Arial" w:eastAsia="Arial" w:hAnsi="Arial"/>
                <w:sz w:val="13"/>
                <w:szCs w:val="13"/>
                <w:color w:val="auto"/>
              </w:rPr>
              <w:t xml:space="preserve"> A. H</w:t>
            </w:r>
            <w:r>
              <w:rPr>
                <w:rFonts w:ascii="Arial" w:cs="Arial" w:eastAsia="Arial" w:hAnsi="Arial"/>
                <w:sz w:val="8"/>
                <w:szCs w:val="8"/>
                <w:color w:val="auto"/>
              </w:rPr>
              <w:t>UMPHREY</w:t>
            </w:r>
          </w:p>
        </w:tc>
        <w:tc>
          <w:tcPr>
            <w:tcW w:w="1380" w:type="dxa"/>
            <w:vAlign w:val="bottom"/>
            <w:gridSpan w:val="2"/>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AM</w:t>
            </w:r>
            <w:r>
              <w:rPr>
                <w:rFonts w:ascii="Arial" w:cs="Arial" w:eastAsia="Arial" w:hAnsi="Arial"/>
                <w:sz w:val="13"/>
                <w:szCs w:val="13"/>
                <w:color w:val="auto"/>
              </w:rPr>
              <w:t xml:space="preserve"> N</w:t>
            </w:r>
            <w:r>
              <w:rPr>
                <w:rFonts w:ascii="Arial" w:cs="Arial" w:eastAsia="Arial" w:hAnsi="Arial"/>
                <w:sz w:val="8"/>
                <w:szCs w:val="8"/>
                <w:color w:val="auto"/>
              </w:rPr>
              <w:t>UNN</w:t>
            </w:r>
            <w:r>
              <w:rPr>
                <w:rFonts w:ascii="Arial" w:cs="Arial" w:eastAsia="Arial" w:hAnsi="Arial"/>
                <w:sz w:val="13"/>
                <w:szCs w:val="13"/>
                <w:color w:val="auto"/>
              </w:rPr>
              <w:t>*</w:t>
            </w:r>
          </w:p>
        </w:tc>
        <w:tc>
          <w:tcPr>
            <w:tcW w:w="2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20" w:type="dxa"/>
            <w:vAlign w:val="bottom"/>
            <w:gridSpan w:val="9"/>
          </w:tcPr>
          <w:p>
            <w:pPr>
              <w:jc w:val="center"/>
              <w:ind w:left="1056"/>
              <w:spacing w:after="0"/>
              <w:rPr>
                <w:sz w:val="20"/>
                <w:szCs w:val="20"/>
                <w:color w:val="auto"/>
              </w:rPr>
            </w:pPr>
            <w:r>
              <w:rPr>
                <w:rFonts w:ascii="Arial" w:cs="Arial" w:eastAsia="Arial" w:hAnsi="Arial"/>
                <w:sz w:val="13"/>
                <w:szCs w:val="13"/>
                <w:color w:val="auto"/>
                <w:w w:val="91"/>
              </w:rPr>
              <w:t>Mark A. Humphrey, Vice President and Comptroller</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11"/>
          </w:tcPr>
          <w:p>
            <w:pPr>
              <w:jc w:val="center"/>
              <w:ind w:right="2860"/>
              <w:spacing w:after="0"/>
              <w:rPr>
                <w:sz w:val="20"/>
                <w:szCs w:val="20"/>
                <w:color w:val="auto"/>
              </w:rPr>
            </w:pPr>
            <w:r>
              <w:rPr>
                <w:rFonts w:ascii="Arial" w:cs="Arial" w:eastAsia="Arial" w:hAnsi="Arial"/>
                <w:sz w:val="13"/>
                <w:szCs w:val="13"/>
                <w:color w:val="auto"/>
                <w:w w:val="91"/>
              </w:rPr>
              <w:t>Sam Nunn</w:t>
            </w: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6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ONALD</w:t>
            </w:r>
            <w:r>
              <w:rPr>
                <w:rFonts w:ascii="Arial" w:cs="Arial" w:eastAsia="Arial" w:hAnsi="Arial"/>
                <w:sz w:val="13"/>
                <w:szCs w:val="13"/>
                <w:color w:val="auto"/>
              </w:rPr>
              <w:t xml:space="preserve"> B. R</w:t>
            </w:r>
            <w:r>
              <w:rPr>
                <w:rFonts w:ascii="Arial" w:cs="Arial" w:eastAsia="Arial" w:hAnsi="Arial"/>
                <w:sz w:val="8"/>
                <w:szCs w:val="8"/>
                <w:color w:val="auto"/>
              </w:rPr>
              <w:t>ICE</w:t>
            </w:r>
            <w:r>
              <w:rPr>
                <w:rFonts w:ascii="Arial" w:cs="Arial" w:eastAsia="Arial" w:hAnsi="Arial"/>
                <w:sz w:val="13"/>
                <w:szCs w:val="13"/>
                <w:color w:val="auto"/>
              </w:rPr>
              <w:t>*</w:t>
            </w:r>
          </w:p>
        </w:tc>
        <w:tc>
          <w:tcPr>
            <w:tcW w:w="27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560" w:type="dxa"/>
            <w:vAlign w:val="bottom"/>
            <w:gridSpan w:val="14"/>
          </w:tcPr>
          <w:p>
            <w:pPr>
              <w:jc w:val="center"/>
              <w:ind w:right="2720"/>
              <w:spacing w:after="0"/>
              <w:rPr>
                <w:sz w:val="20"/>
                <w:szCs w:val="20"/>
                <w:color w:val="auto"/>
              </w:rPr>
            </w:pPr>
            <w:r>
              <w:rPr>
                <w:rFonts w:ascii="Arial" w:cs="Arial" w:eastAsia="Arial" w:hAnsi="Arial"/>
                <w:sz w:val="13"/>
                <w:szCs w:val="13"/>
                <w:color w:val="auto"/>
                <w:w w:val="92"/>
              </w:rPr>
              <w:t>Donald B. Rice</w:t>
            </w: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2600" w:type="dxa"/>
            <w:vAlign w:val="bottom"/>
            <w:gridSpan w:val="8"/>
          </w:tcPr>
          <w:p>
            <w:pPr>
              <w:jc w:val="center"/>
              <w:ind w:right="1300"/>
              <w:spacing w:after="0"/>
              <w:rPr>
                <w:sz w:val="20"/>
                <w:szCs w:val="20"/>
                <w:color w:val="auto"/>
              </w:rPr>
            </w:pPr>
            <w:r>
              <w:rPr>
                <w:rFonts w:ascii="Arial" w:cs="Arial" w:eastAsia="Arial" w:hAnsi="Arial"/>
                <w:sz w:val="13"/>
                <w:szCs w:val="13"/>
                <w:color w:val="auto"/>
              </w:rPr>
              <w:t>*By: /s/L</w:t>
            </w:r>
            <w:r>
              <w:rPr>
                <w:rFonts w:ascii="Arial" w:cs="Arial" w:eastAsia="Arial" w:hAnsi="Arial"/>
                <w:sz w:val="8"/>
                <w:szCs w:val="8"/>
                <w:color w:val="auto"/>
              </w:rPr>
              <w:t>YDIA</w:t>
            </w:r>
            <w:r>
              <w:rPr>
                <w:rFonts w:ascii="Arial" w:cs="Arial" w:eastAsia="Arial" w:hAnsi="Arial"/>
                <w:sz w:val="13"/>
                <w:szCs w:val="13"/>
                <w:color w:val="auto"/>
              </w:rPr>
              <w:t xml:space="preserve"> I. B</w:t>
            </w:r>
            <w:r>
              <w:rPr>
                <w:rFonts w:ascii="Arial" w:cs="Arial" w:eastAsia="Arial" w:hAnsi="Arial"/>
                <w:sz w:val="8"/>
                <w:szCs w:val="8"/>
                <w:color w:val="auto"/>
              </w:rPr>
              <w:t>EEBE</w:t>
            </w:r>
          </w:p>
        </w:tc>
        <w:tc>
          <w:tcPr>
            <w:tcW w:w="2900" w:type="dxa"/>
            <w:vAlign w:val="bottom"/>
          </w:tcPr>
          <w:p>
            <w:pPr>
              <w:spacing w:after="0"/>
              <w:rPr>
                <w:sz w:val="24"/>
                <w:szCs w:val="24"/>
                <w:color w:val="auto"/>
              </w:rPr>
            </w:pPr>
          </w:p>
        </w:tc>
        <w:tc>
          <w:tcPr>
            <w:tcW w:w="3560" w:type="dxa"/>
            <w:vAlign w:val="bottom"/>
            <w:gridSpan w:val="14"/>
          </w:tcPr>
          <w:p>
            <w:pPr>
              <w:jc w:val="center"/>
              <w:ind w:right="2680"/>
              <w:spacing w:after="0"/>
              <w:rPr>
                <w:sz w:val="20"/>
                <w:szCs w:val="20"/>
                <w:color w:val="auto"/>
              </w:rPr>
            </w:pPr>
            <w:r>
              <w:rPr>
                <w:rFonts w:ascii="Arial" w:cs="Arial" w:eastAsia="Arial" w:hAnsi="Arial"/>
                <w:sz w:val="13"/>
                <w:szCs w:val="13"/>
                <w:color w:val="auto"/>
                <w:w w:val="95"/>
              </w:rPr>
              <w:t>K</w:t>
            </w:r>
            <w:r>
              <w:rPr>
                <w:rFonts w:ascii="Arial" w:cs="Arial" w:eastAsia="Arial" w:hAnsi="Arial"/>
                <w:sz w:val="8"/>
                <w:szCs w:val="8"/>
                <w:color w:val="auto"/>
                <w:w w:val="95"/>
              </w:rPr>
              <w:t>EVIN</w:t>
            </w:r>
            <w:r>
              <w:rPr>
                <w:rFonts w:ascii="Arial" w:cs="Arial" w:eastAsia="Arial" w:hAnsi="Arial"/>
                <w:sz w:val="13"/>
                <w:szCs w:val="13"/>
                <w:color w:val="auto"/>
                <w:w w:val="95"/>
              </w:rPr>
              <w:t xml:space="preserve"> W. S</w:t>
            </w:r>
            <w:r>
              <w:rPr>
                <w:rFonts w:ascii="Arial" w:cs="Arial" w:eastAsia="Arial" w:hAnsi="Arial"/>
                <w:sz w:val="8"/>
                <w:szCs w:val="8"/>
                <w:color w:val="auto"/>
                <w:w w:val="95"/>
              </w:rPr>
              <w:t>HARER</w:t>
            </w:r>
            <w:r>
              <w:rPr>
                <w:rFonts w:ascii="Arial" w:cs="Arial" w:eastAsia="Arial" w:hAnsi="Arial"/>
                <w:sz w:val="13"/>
                <w:szCs w:val="13"/>
                <w:color w:val="auto"/>
                <w:w w:val="95"/>
              </w:rPr>
              <w:t>*</w:t>
            </w: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89"/>
              </w:rPr>
              <w:t>Lydia I. Beebe,</w:t>
            </w:r>
          </w:p>
        </w:tc>
        <w:tc>
          <w:tcPr>
            <w:tcW w:w="1380" w:type="dxa"/>
            <w:vAlign w:val="bottom"/>
            <w:gridSpan w:val="2"/>
          </w:tcPr>
          <w:p>
            <w:pPr>
              <w:spacing w:after="0"/>
              <w:rPr>
                <w:sz w:val="13"/>
                <w:szCs w:val="13"/>
                <w:color w:val="auto"/>
              </w:rPr>
            </w:pPr>
          </w:p>
        </w:tc>
        <w:tc>
          <w:tcPr>
            <w:tcW w:w="2900" w:type="dxa"/>
            <w:vAlign w:val="bottom"/>
          </w:tcPr>
          <w:p>
            <w:pPr>
              <w:spacing w:after="0"/>
              <w:rPr>
                <w:sz w:val="13"/>
                <w:szCs w:val="13"/>
                <w:color w:val="auto"/>
              </w:rPr>
            </w:pPr>
          </w:p>
        </w:tc>
        <w:tc>
          <w:tcPr>
            <w:tcW w:w="880" w:type="dxa"/>
            <w:vAlign w:val="bottom"/>
            <w:tcBorders>
              <w:top w:val="single" w:sz="8" w:color="auto"/>
            </w:tcBorders>
            <w:gridSpan w:val="9"/>
          </w:tcPr>
          <w:p>
            <w:pPr>
              <w:jc w:val="center"/>
              <w:ind w:right="40"/>
              <w:spacing w:after="0"/>
              <w:rPr>
                <w:sz w:val="20"/>
                <w:szCs w:val="20"/>
                <w:color w:val="auto"/>
              </w:rPr>
            </w:pPr>
            <w:r>
              <w:rPr>
                <w:rFonts w:ascii="Arial" w:cs="Arial" w:eastAsia="Arial" w:hAnsi="Arial"/>
                <w:sz w:val="13"/>
                <w:szCs w:val="13"/>
                <w:color w:val="auto"/>
                <w:w w:val="88"/>
              </w:rPr>
              <w:t>Kevin W. Sharer</w:t>
            </w:r>
          </w:p>
        </w:tc>
        <w:tc>
          <w:tcPr>
            <w:tcW w:w="26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6"/>
          </w:tcPr>
          <w:p>
            <w:pPr>
              <w:jc w:val="center"/>
              <w:ind w:right="1160"/>
              <w:spacing w:after="0"/>
              <w:rPr>
                <w:sz w:val="20"/>
                <w:szCs w:val="20"/>
                <w:color w:val="auto"/>
              </w:rPr>
            </w:pPr>
            <w:r>
              <w:rPr>
                <w:rFonts w:ascii="Arial" w:cs="Arial" w:eastAsia="Arial" w:hAnsi="Arial"/>
                <w:sz w:val="13"/>
                <w:szCs w:val="13"/>
                <w:color w:val="auto"/>
                <w:w w:val="92"/>
              </w:rPr>
              <w:t>Attorney-in-Fact</w:t>
            </w:r>
          </w:p>
        </w:tc>
        <w:tc>
          <w:tcPr>
            <w:tcW w:w="2900" w:type="dxa"/>
            <w:vAlign w:val="bottom"/>
          </w:tcPr>
          <w:p>
            <w:pPr>
              <w:spacing w:after="0"/>
              <w:rPr>
                <w:sz w:val="14"/>
                <w:szCs w:val="14"/>
                <w:color w:val="auto"/>
              </w:rPr>
            </w:pPr>
          </w:p>
        </w:tc>
        <w:tc>
          <w:tcPr>
            <w:tcW w:w="1040" w:type="dxa"/>
            <w:vAlign w:val="bottom"/>
            <w:gridSpan w:val="13"/>
            <w:vMerge w:val="restart"/>
          </w:tcPr>
          <w:p>
            <w:pPr>
              <w:jc w:val="center"/>
              <w:ind w:right="40"/>
              <w:spacing w:after="0"/>
              <w:rPr>
                <w:sz w:val="20"/>
                <w:szCs w:val="20"/>
                <w:color w:val="auto"/>
              </w:rPr>
            </w:pPr>
            <w:r>
              <w:rPr>
                <w:rFonts w:ascii="Arial" w:cs="Arial" w:eastAsia="Arial" w:hAnsi="Arial"/>
                <w:sz w:val="13"/>
                <w:szCs w:val="13"/>
                <w:color w:val="auto"/>
                <w:w w:val="86"/>
              </w:rPr>
              <w:t>C</w:t>
            </w:r>
            <w:r>
              <w:rPr>
                <w:rFonts w:ascii="Arial" w:cs="Arial" w:eastAsia="Arial" w:hAnsi="Arial"/>
                <w:sz w:val="8"/>
                <w:szCs w:val="8"/>
                <w:color w:val="auto"/>
                <w:w w:val="86"/>
              </w:rPr>
              <w:t>HARLES</w:t>
            </w:r>
            <w:r>
              <w:rPr>
                <w:rFonts w:ascii="Arial" w:cs="Arial" w:eastAsia="Arial" w:hAnsi="Arial"/>
                <w:sz w:val="13"/>
                <w:szCs w:val="13"/>
                <w:color w:val="auto"/>
                <w:w w:val="86"/>
              </w:rPr>
              <w:t xml:space="preserve"> R. S</w:t>
            </w:r>
            <w:r>
              <w:rPr>
                <w:rFonts w:ascii="Arial" w:cs="Arial" w:eastAsia="Arial" w:hAnsi="Arial"/>
                <w:sz w:val="8"/>
                <w:szCs w:val="8"/>
                <w:color w:val="auto"/>
                <w:w w:val="86"/>
              </w:rPr>
              <w:t>HOEMATE</w:t>
            </w:r>
            <w:r>
              <w:rPr>
                <w:rFonts w:ascii="Arial" w:cs="Arial" w:eastAsia="Arial" w:hAnsi="Arial"/>
                <w:sz w:val="13"/>
                <w:szCs w:val="13"/>
                <w:color w:val="auto"/>
                <w:w w:val="86"/>
              </w:rPr>
              <w:t>*</w:t>
            </w:r>
          </w:p>
        </w:tc>
        <w:tc>
          <w:tcPr>
            <w:tcW w:w="2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40" w:type="dxa"/>
            <w:vAlign w:val="bottom"/>
            <w:tcBorders>
              <w:bottom w:val="single" w:sz="8" w:color="auto"/>
            </w:tcBorders>
            <w:gridSpan w:val="13"/>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560" w:type="dxa"/>
            <w:vAlign w:val="bottom"/>
            <w:gridSpan w:val="14"/>
          </w:tcPr>
          <w:p>
            <w:pPr>
              <w:jc w:val="center"/>
              <w:ind w:right="2600"/>
              <w:spacing w:after="0"/>
              <w:rPr>
                <w:sz w:val="20"/>
                <w:szCs w:val="20"/>
                <w:color w:val="auto"/>
              </w:rPr>
            </w:pPr>
            <w:r>
              <w:rPr>
                <w:rFonts w:ascii="Arial" w:cs="Arial" w:eastAsia="Arial" w:hAnsi="Arial"/>
                <w:sz w:val="13"/>
                <w:szCs w:val="13"/>
                <w:color w:val="auto"/>
                <w:w w:val="77"/>
              </w:rPr>
              <w:t>Charles R. Shoemate</w:t>
            </w:r>
          </w:p>
        </w:tc>
        <w:tc>
          <w:tcPr>
            <w:tcW w:w="0" w:type="dxa"/>
            <w:vAlign w:val="bottom"/>
          </w:tcPr>
          <w:p>
            <w:pPr>
              <w:spacing w:after="0"/>
              <w:rPr>
                <w:sz w:val="1"/>
                <w:szCs w:val="1"/>
                <w:color w:val="auto"/>
              </w:rPr>
            </w:pPr>
          </w:p>
        </w:tc>
      </w:tr>
      <w:tr>
        <w:trPr>
          <w:trHeight w:val="327"/>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14"/>
          </w:tcPr>
          <w:p>
            <w:pPr>
              <w:jc w:val="center"/>
              <w:ind w:right="2660"/>
              <w:spacing w:after="0"/>
              <w:rPr>
                <w:sz w:val="20"/>
                <w:szCs w:val="20"/>
                <w:color w:val="auto"/>
              </w:rPr>
            </w:pPr>
            <w:r>
              <w:rPr>
                <w:rFonts w:ascii="Arial" w:cs="Arial" w:eastAsia="Arial" w:hAnsi="Arial"/>
                <w:sz w:val="13"/>
                <w:szCs w:val="13"/>
                <w:color w:val="auto"/>
                <w:w w:val="95"/>
              </w:rPr>
              <w:t>R</w:t>
            </w:r>
            <w:r>
              <w:rPr>
                <w:rFonts w:ascii="Arial" w:cs="Arial" w:eastAsia="Arial" w:hAnsi="Arial"/>
                <w:sz w:val="8"/>
                <w:szCs w:val="8"/>
                <w:color w:val="auto"/>
                <w:w w:val="95"/>
              </w:rPr>
              <w:t>ONALD</w:t>
            </w:r>
            <w:r>
              <w:rPr>
                <w:rFonts w:ascii="Arial" w:cs="Arial" w:eastAsia="Arial" w:hAnsi="Arial"/>
                <w:sz w:val="13"/>
                <w:szCs w:val="13"/>
                <w:color w:val="auto"/>
                <w:w w:val="95"/>
              </w:rPr>
              <w:t xml:space="preserve"> D. S</w:t>
            </w:r>
            <w:r>
              <w:rPr>
                <w:rFonts w:ascii="Arial" w:cs="Arial" w:eastAsia="Arial" w:hAnsi="Arial"/>
                <w:sz w:val="8"/>
                <w:szCs w:val="8"/>
                <w:color w:val="auto"/>
                <w:w w:val="95"/>
              </w:rPr>
              <w:t>UGAR</w:t>
            </w:r>
            <w:r>
              <w:rPr>
                <w:rFonts w:ascii="Arial" w:cs="Arial" w:eastAsia="Arial" w:hAnsi="Arial"/>
                <w:sz w:val="13"/>
                <w:szCs w:val="13"/>
                <w:color w:val="auto"/>
                <w:w w:val="95"/>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00" w:type="dxa"/>
            <w:vAlign w:val="bottom"/>
            <w:tcBorders>
              <w:top w:val="single" w:sz="8" w:color="auto"/>
            </w:tcBorders>
            <w:gridSpan w:val="10"/>
          </w:tcPr>
          <w:p>
            <w:pPr>
              <w:jc w:val="center"/>
              <w:ind w:right="60"/>
              <w:spacing w:after="0"/>
              <w:rPr>
                <w:sz w:val="20"/>
                <w:szCs w:val="20"/>
                <w:color w:val="auto"/>
              </w:rPr>
            </w:pPr>
            <w:r>
              <w:rPr>
                <w:rFonts w:ascii="Arial" w:cs="Arial" w:eastAsia="Arial" w:hAnsi="Arial"/>
                <w:sz w:val="13"/>
                <w:szCs w:val="13"/>
                <w:color w:val="auto"/>
                <w:w w:val="87"/>
              </w:rPr>
              <w:t>Ronald D. Sugar</w:t>
            </w:r>
          </w:p>
        </w:tc>
        <w:tc>
          <w:tcPr>
            <w:tcW w:w="26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gridSpan w:val="14"/>
          </w:tcPr>
          <w:p>
            <w:pPr>
              <w:jc w:val="center"/>
              <w:ind w:right="27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ARL</w:t>
            </w:r>
            <w:r>
              <w:rPr>
                <w:rFonts w:ascii="Arial" w:cs="Arial" w:eastAsia="Arial" w:hAnsi="Arial"/>
                <w:sz w:val="13"/>
                <w:szCs w:val="13"/>
                <w:color w:val="auto"/>
              </w:rPr>
              <w:t xml:space="preserve"> W</w:t>
            </w:r>
            <w:r>
              <w:rPr>
                <w:rFonts w:ascii="Arial" w:cs="Arial" w:eastAsia="Arial" w:hAnsi="Arial"/>
                <w:sz w:val="8"/>
                <w:szCs w:val="8"/>
                <w:color w:val="auto"/>
              </w:rPr>
              <w:t>ARE</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3"/>
                <w:szCs w:val="13"/>
                <w:color w:val="auto"/>
                <w:w w:val="88"/>
              </w:rPr>
              <w:t>Carl Ware</w:t>
            </w:r>
          </w:p>
        </w:tc>
        <w:tc>
          <w:tcPr>
            <w:tcW w:w="28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tcPr>
          <w:p>
            <w:pPr>
              <w:jc w:val="right"/>
              <w:ind w:right="211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29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5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Financial 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77C0"/>
        </w:rPr>
        <w:t>FS-2</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280" w:type="dxa"/>
            <w:vAlign w:val="bottom"/>
            <w:gridSpan w:val="53"/>
          </w:tcPr>
          <w:p>
            <w:pPr>
              <w:spacing w:after="0"/>
              <w:rPr>
                <w:rFonts w:ascii="Arial" w:cs="Arial" w:eastAsia="Arial" w:hAnsi="Arial"/>
                <w:sz w:val="9"/>
                <w:szCs w:val="9"/>
                <w:b w:val="1"/>
                <w:bCs w:val="1"/>
                <w:color w:val="0000EE"/>
              </w:rPr>
            </w:pPr>
            <w:hyperlink w:anchor="page5">
              <w:r>
                <w:rPr>
                  <w:rFonts w:ascii="Arial" w:cs="Arial" w:eastAsia="Arial" w:hAnsi="Arial"/>
                  <w:sz w:val="9"/>
                  <w:szCs w:val="9"/>
                  <w:b w:val="1"/>
                  <w:bCs w:val="1"/>
                  <w:color w:val="0000EE"/>
                </w:rPr>
                <w:t>Management’s Discussion and Analysis of Financial Condition and Results of Operations</w:t>
              </w:r>
            </w:hyperlink>
          </w:p>
        </w:tc>
        <w:tc>
          <w:tcPr>
            <w:tcW w:w="3520" w:type="dxa"/>
            <w:vAlign w:val="bottom"/>
            <w:vMerge w:val="restart"/>
          </w:tcPr>
          <w:p>
            <w:pPr>
              <w:ind w:left="3280"/>
              <w:spacing w:after="0"/>
              <w:rPr>
                <w:sz w:val="20"/>
                <w:szCs w:val="20"/>
                <w:color w:val="auto"/>
              </w:rPr>
            </w:pPr>
            <w:r>
              <w:rPr>
                <w:rFonts w:ascii="Arial" w:cs="Arial" w:eastAsia="Arial" w:hAnsi="Arial"/>
                <w:sz w:val="9"/>
                <w:szCs w:val="9"/>
                <w:b w:val="1"/>
                <w:bCs w:val="1"/>
                <w:color w:val="auto"/>
              </w:rPr>
              <w:t>FS-2</w:t>
            </w:r>
          </w:p>
        </w:tc>
        <w:tc>
          <w:tcPr>
            <w:tcW w:w="0" w:type="dxa"/>
            <w:vAlign w:val="bottom"/>
          </w:tcPr>
          <w:p>
            <w:pPr>
              <w:spacing w:after="0"/>
              <w:rPr>
                <w:sz w:val="1"/>
                <w:szCs w:val="1"/>
                <w:color w:val="auto"/>
              </w:rPr>
            </w:pPr>
          </w:p>
        </w:tc>
      </w:tr>
      <w:tr>
        <w:trPr>
          <w:trHeight w:val="76"/>
        </w:trPr>
        <w:tc>
          <w:tcPr>
            <w:tcW w:w="860" w:type="dxa"/>
            <w:vAlign w:val="bottom"/>
            <w:tcBorders>
              <w:top w:val="single" w:sz="8" w:color="0000EE"/>
              <w:bottom w:val="single" w:sz="8" w:color="0000EE"/>
            </w:tcBorders>
            <w:gridSpan w:val="5"/>
          </w:tcPr>
          <w:p>
            <w:pPr>
              <w:spacing w:after="0" w:line="76" w:lineRule="exact"/>
              <w:rPr>
                <w:rFonts w:ascii="Arial" w:cs="Arial" w:eastAsia="Arial" w:hAnsi="Arial"/>
                <w:sz w:val="8"/>
                <w:szCs w:val="8"/>
                <w:color w:val="0000EE"/>
              </w:rPr>
            </w:pPr>
            <w:hyperlink w:anchor="page5">
              <w:r>
                <w:rPr>
                  <w:rFonts w:ascii="Arial" w:cs="Arial" w:eastAsia="Arial" w:hAnsi="Arial"/>
                  <w:sz w:val="8"/>
                  <w:szCs w:val="8"/>
                  <w:color w:val="0000EE"/>
                </w:rPr>
                <w:t>Key Financial Results</w:t>
              </w:r>
            </w:hyperlink>
          </w:p>
        </w:tc>
        <w:tc>
          <w:tcPr>
            <w:tcW w:w="2940" w:type="dxa"/>
            <w:vAlign w:val="bottom"/>
            <w:tcBorders>
              <w:top w:val="single" w:sz="8" w:color="0000EE"/>
            </w:tcBorders>
            <w:gridSpan w:val="46"/>
          </w:tcPr>
          <w:p>
            <w:pPr>
              <w:spacing w:after="0"/>
              <w:rPr>
                <w:sz w:val="6"/>
                <w:szCs w:val="6"/>
                <w:color w:val="auto"/>
              </w:rPr>
            </w:pPr>
          </w:p>
        </w:tc>
        <w:tc>
          <w:tcPr>
            <w:tcW w:w="2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300" w:type="dxa"/>
            <w:vAlign w:val="bottom"/>
            <w:tcBorders>
              <w:bottom w:val="single" w:sz="8" w:color="0000EE"/>
            </w:tcBorders>
            <w:gridSpan w:val="16"/>
          </w:tcPr>
          <w:p>
            <w:pPr>
              <w:spacing w:after="0" w:line="76" w:lineRule="exact"/>
              <w:rPr>
                <w:rFonts w:ascii="Arial" w:cs="Arial" w:eastAsia="Arial" w:hAnsi="Arial"/>
                <w:sz w:val="8"/>
                <w:szCs w:val="8"/>
                <w:color w:val="0000EE"/>
              </w:rPr>
            </w:pPr>
            <w:hyperlink w:anchor="page5">
              <w:r>
                <w:rPr>
                  <w:rFonts w:ascii="Arial" w:cs="Arial" w:eastAsia="Arial" w:hAnsi="Arial"/>
                  <w:sz w:val="8"/>
                  <w:szCs w:val="8"/>
                  <w:color w:val="0000EE"/>
                </w:rPr>
                <w:t>Income by Major Operating Area</w:t>
              </w:r>
            </w:hyperlink>
          </w:p>
        </w:tc>
        <w:tc>
          <w:tcPr>
            <w:tcW w:w="5980" w:type="dxa"/>
            <w:vAlign w:val="bottom"/>
            <w:gridSpan w:val="37"/>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w:t>
            </w:r>
          </w:p>
        </w:tc>
        <w:tc>
          <w:tcPr>
            <w:tcW w:w="0" w:type="dxa"/>
            <w:vAlign w:val="bottom"/>
          </w:tcPr>
          <w:p>
            <w:pPr>
              <w:spacing w:after="0"/>
              <w:rPr>
                <w:sz w:val="1"/>
                <w:szCs w:val="1"/>
                <w:color w:val="auto"/>
              </w:rPr>
            </w:pPr>
          </w:p>
        </w:tc>
      </w:tr>
      <w:tr>
        <w:trPr>
          <w:trHeight w:val="76"/>
        </w:trPr>
        <w:tc>
          <w:tcPr>
            <w:tcW w:w="7280" w:type="dxa"/>
            <w:vAlign w:val="bottom"/>
            <w:gridSpan w:val="53"/>
          </w:tcPr>
          <w:p>
            <w:pPr>
              <w:spacing w:after="0" w:line="76" w:lineRule="exact"/>
              <w:rPr>
                <w:rFonts w:ascii="Arial" w:cs="Arial" w:eastAsia="Arial" w:hAnsi="Arial"/>
                <w:sz w:val="8"/>
                <w:szCs w:val="8"/>
                <w:color w:val="0000EE"/>
              </w:rPr>
            </w:pPr>
            <w:hyperlink w:anchor="page6">
              <w:r>
                <w:rPr>
                  <w:rFonts w:ascii="Arial" w:cs="Arial" w:eastAsia="Arial" w:hAnsi="Arial"/>
                  <w:sz w:val="8"/>
                  <w:szCs w:val="8"/>
                  <w:color w:val="0000EE"/>
                </w:rPr>
                <w:t>Business Environment and Outlook</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w:t>
            </w:r>
          </w:p>
        </w:tc>
        <w:tc>
          <w:tcPr>
            <w:tcW w:w="0" w:type="dxa"/>
            <w:vAlign w:val="bottom"/>
          </w:tcPr>
          <w:p>
            <w:pPr>
              <w:spacing w:after="0"/>
              <w:rPr>
                <w:sz w:val="1"/>
                <w:szCs w:val="1"/>
                <w:color w:val="auto"/>
              </w:rPr>
            </w:pPr>
          </w:p>
        </w:tc>
      </w:tr>
      <w:tr>
        <w:trPr>
          <w:trHeight w:val="76"/>
        </w:trPr>
        <w:tc>
          <w:tcPr>
            <w:tcW w:w="1420" w:type="dxa"/>
            <w:vAlign w:val="bottom"/>
            <w:tcBorders>
              <w:top w:val="single" w:sz="8" w:color="0000EE"/>
            </w:tcBorders>
            <w:gridSpan w:val="20"/>
          </w:tcPr>
          <w:p>
            <w:pPr>
              <w:spacing w:after="0" w:line="76" w:lineRule="exact"/>
              <w:rPr>
                <w:rFonts w:ascii="Arial" w:cs="Arial" w:eastAsia="Arial" w:hAnsi="Arial"/>
                <w:sz w:val="8"/>
                <w:szCs w:val="8"/>
                <w:color w:val="0000EE"/>
              </w:rPr>
            </w:pPr>
            <w:hyperlink w:anchor="page6">
              <w:r>
                <w:rPr>
                  <w:rFonts w:ascii="Arial" w:cs="Arial" w:eastAsia="Arial" w:hAnsi="Arial"/>
                  <w:sz w:val="8"/>
                  <w:szCs w:val="8"/>
                  <w:color w:val="0000EE"/>
                </w:rPr>
                <w:t>Operating Developments</w:t>
              </w:r>
            </w:hyperlink>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3260" w:type="dxa"/>
            <w:vAlign w:val="bottom"/>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w:t>
            </w:r>
          </w:p>
        </w:tc>
        <w:tc>
          <w:tcPr>
            <w:tcW w:w="0" w:type="dxa"/>
            <w:vAlign w:val="bottom"/>
          </w:tcPr>
          <w:p>
            <w:pPr>
              <w:spacing w:after="0"/>
              <w:rPr>
                <w:sz w:val="1"/>
                <w:szCs w:val="1"/>
                <w:color w:val="auto"/>
              </w:rPr>
            </w:pPr>
          </w:p>
        </w:tc>
      </w:tr>
      <w:tr>
        <w:trPr>
          <w:trHeight w:val="76"/>
        </w:trPr>
        <w:tc>
          <w:tcPr>
            <w:tcW w:w="1000" w:type="dxa"/>
            <w:vAlign w:val="bottom"/>
            <w:tcBorders>
              <w:top w:val="single" w:sz="8" w:color="0000EE"/>
            </w:tcBorders>
            <w:gridSpan w:val="9"/>
          </w:tcPr>
          <w:p>
            <w:pPr>
              <w:spacing w:after="0" w:line="76" w:lineRule="exact"/>
              <w:rPr>
                <w:rFonts w:ascii="Arial" w:cs="Arial" w:eastAsia="Arial" w:hAnsi="Arial"/>
                <w:sz w:val="8"/>
                <w:szCs w:val="8"/>
                <w:color w:val="0000EE"/>
              </w:rPr>
            </w:pPr>
            <w:hyperlink w:anchor="page6">
              <w:r>
                <w:rPr>
                  <w:rFonts w:ascii="Arial" w:cs="Arial" w:eastAsia="Arial" w:hAnsi="Arial"/>
                  <w:sz w:val="8"/>
                  <w:szCs w:val="8"/>
                  <w:color w:val="0000EE"/>
                </w:rPr>
                <w:t>Results of Operations</w:t>
              </w:r>
            </w:hyperlink>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3260" w:type="dxa"/>
            <w:vAlign w:val="bottom"/>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FS-6</w:t>
            </w:r>
          </w:p>
        </w:tc>
        <w:tc>
          <w:tcPr>
            <w:tcW w:w="0" w:type="dxa"/>
            <w:vAlign w:val="bottom"/>
          </w:tcPr>
          <w:p>
            <w:pPr>
              <w:spacing w:after="0"/>
              <w:rPr>
                <w:sz w:val="1"/>
                <w:szCs w:val="1"/>
                <w:color w:val="auto"/>
              </w:rPr>
            </w:pPr>
          </w:p>
        </w:tc>
      </w:tr>
      <w:tr>
        <w:trPr>
          <w:trHeight w:val="76"/>
        </w:trPr>
        <w:tc>
          <w:tcPr>
            <w:tcW w:w="860" w:type="dxa"/>
            <w:vAlign w:val="bottom"/>
            <w:tcBorders>
              <w:top w:val="single" w:sz="8" w:color="0000EE"/>
            </w:tcBorders>
            <w:gridSpan w:val="5"/>
          </w:tcPr>
          <w:p>
            <w:pPr>
              <w:spacing w:after="0" w:line="76" w:lineRule="exact"/>
              <w:rPr>
                <w:rFonts w:ascii="Arial" w:cs="Arial" w:eastAsia="Arial" w:hAnsi="Arial"/>
                <w:sz w:val="8"/>
                <w:szCs w:val="8"/>
                <w:color w:val="0000EE"/>
                <w:w w:val="98"/>
              </w:rPr>
            </w:pPr>
            <w:hyperlink w:anchor="page7">
              <w:r>
                <w:rPr>
                  <w:rFonts w:ascii="Arial" w:cs="Arial" w:eastAsia="Arial" w:hAnsi="Arial"/>
                  <w:sz w:val="8"/>
                  <w:szCs w:val="8"/>
                  <w:color w:val="0000EE"/>
                  <w:w w:val="98"/>
                </w:rPr>
                <w:t>Consolidated Statement</w:t>
              </w:r>
            </w:hyperlink>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300" w:type="dxa"/>
            <w:vAlign w:val="bottom"/>
            <w:gridSpan w:val="45"/>
          </w:tcPr>
          <w:p>
            <w:pPr>
              <w:spacing w:after="0" w:line="76" w:lineRule="exact"/>
              <w:rPr>
                <w:rFonts w:ascii="Arial" w:cs="Arial" w:eastAsia="Arial" w:hAnsi="Arial"/>
                <w:sz w:val="8"/>
                <w:szCs w:val="8"/>
                <w:color w:val="0000EE"/>
              </w:rPr>
            </w:pPr>
            <w:hyperlink w:anchor="page7">
              <w:r>
                <w:rPr>
                  <w:rFonts w:ascii="Arial" w:cs="Arial" w:eastAsia="Arial" w:hAnsi="Arial"/>
                  <w:sz w:val="8"/>
                  <w:szCs w:val="8"/>
                  <w:color w:val="0000EE"/>
                </w:rPr>
                <w:t>of Income</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FS-8</w:t>
            </w:r>
          </w:p>
        </w:tc>
        <w:tc>
          <w:tcPr>
            <w:tcW w:w="0" w:type="dxa"/>
            <w:vAlign w:val="bottom"/>
          </w:tcPr>
          <w:p>
            <w:pPr>
              <w:spacing w:after="0"/>
              <w:rPr>
                <w:sz w:val="1"/>
                <w:szCs w:val="1"/>
                <w:color w:val="auto"/>
              </w:rPr>
            </w:pPr>
          </w:p>
        </w:tc>
      </w:tr>
      <w:tr>
        <w:trPr>
          <w:trHeight w:val="76"/>
        </w:trPr>
        <w:tc>
          <w:tcPr>
            <w:tcW w:w="980" w:type="dxa"/>
            <w:vAlign w:val="bottom"/>
            <w:tcBorders>
              <w:top w:val="single" w:sz="8" w:color="0000EE"/>
              <w:bottom w:val="single" w:sz="8" w:color="0000EE"/>
            </w:tcBorders>
            <w:gridSpan w:val="8"/>
          </w:tcPr>
          <w:p>
            <w:pPr>
              <w:spacing w:after="0" w:line="76" w:lineRule="exact"/>
              <w:rPr>
                <w:rFonts w:ascii="Arial" w:cs="Arial" w:eastAsia="Arial" w:hAnsi="Arial"/>
                <w:sz w:val="8"/>
                <w:szCs w:val="8"/>
                <w:color w:val="0000EE"/>
              </w:rPr>
            </w:pPr>
            <w:hyperlink w:anchor="page8">
              <w:r>
                <w:rPr>
                  <w:rFonts w:ascii="Arial" w:cs="Arial" w:eastAsia="Arial" w:hAnsi="Arial"/>
                  <w:sz w:val="8"/>
                  <w:szCs w:val="8"/>
                  <w:color w:val="0000EE"/>
                </w:rPr>
                <w:t>Selected Operating Data</w:t>
              </w:r>
            </w:hyperlink>
          </w:p>
        </w:tc>
        <w:tc>
          <w:tcPr>
            <w:tcW w:w="400" w:type="dxa"/>
            <w:vAlign w:val="bottom"/>
            <w:tcBorders>
              <w:top w:val="single" w:sz="8" w:color="0000EE"/>
            </w:tcBorders>
            <w:gridSpan w:val="10"/>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3260" w:type="dxa"/>
            <w:vAlign w:val="bottom"/>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FS-10</w:t>
            </w:r>
          </w:p>
        </w:tc>
        <w:tc>
          <w:tcPr>
            <w:tcW w:w="0" w:type="dxa"/>
            <w:vAlign w:val="bottom"/>
          </w:tcPr>
          <w:p>
            <w:pPr>
              <w:spacing w:after="0"/>
              <w:rPr>
                <w:sz w:val="1"/>
                <w:szCs w:val="1"/>
                <w:color w:val="auto"/>
              </w:rPr>
            </w:pPr>
          </w:p>
        </w:tc>
      </w:tr>
      <w:tr>
        <w:trPr>
          <w:trHeight w:val="76"/>
        </w:trPr>
        <w:tc>
          <w:tcPr>
            <w:tcW w:w="7280" w:type="dxa"/>
            <w:vAlign w:val="bottom"/>
            <w:gridSpan w:val="53"/>
          </w:tcPr>
          <w:p>
            <w:pPr>
              <w:spacing w:after="0" w:line="76" w:lineRule="exact"/>
              <w:rPr>
                <w:rFonts w:ascii="Arial" w:cs="Arial" w:eastAsia="Arial" w:hAnsi="Arial"/>
                <w:sz w:val="8"/>
                <w:szCs w:val="8"/>
                <w:color w:val="0000EE"/>
              </w:rPr>
            </w:pPr>
            <w:hyperlink w:anchor="page8">
              <w:r>
                <w:rPr>
                  <w:rFonts w:ascii="Arial" w:cs="Arial" w:eastAsia="Arial" w:hAnsi="Arial"/>
                  <w:sz w:val="8"/>
                  <w:szCs w:val="8"/>
                  <w:color w:val="0000EE"/>
                </w:rPr>
                <w:t>Liquidity and Capital Resources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FS-10</w:t>
            </w:r>
          </w:p>
        </w:tc>
        <w:tc>
          <w:tcPr>
            <w:tcW w:w="0" w:type="dxa"/>
            <w:vAlign w:val="bottom"/>
          </w:tcPr>
          <w:p>
            <w:pPr>
              <w:spacing w:after="0"/>
              <w:rPr>
                <w:sz w:val="1"/>
                <w:szCs w:val="1"/>
                <w:color w:val="auto"/>
              </w:rPr>
            </w:pPr>
          </w:p>
        </w:tc>
      </w:tr>
      <w:tr>
        <w:trPr>
          <w:trHeight w:val="76"/>
        </w:trPr>
        <w:tc>
          <w:tcPr>
            <w:tcW w:w="640" w:type="dxa"/>
            <w:vAlign w:val="bottom"/>
            <w:tcBorders>
              <w:top w:val="single" w:sz="8" w:color="0000EE"/>
              <w:bottom w:val="single" w:sz="8" w:color="0000EE"/>
            </w:tcBorders>
            <w:gridSpan w:val="3"/>
          </w:tcPr>
          <w:p>
            <w:pPr>
              <w:spacing w:after="0" w:line="76" w:lineRule="exact"/>
              <w:rPr>
                <w:rFonts w:ascii="Arial" w:cs="Arial" w:eastAsia="Arial" w:hAnsi="Arial"/>
                <w:sz w:val="8"/>
                <w:szCs w:val="8"/>
                <w:color w:val="0000EE"/>
              </w:rPr>
            </w:pPr>
            <w:hyperlink w:anchor="page8">
              <w:r>
                <w:rPr>
                  <w:rFonts w:ascii="Arial" w:cs="Arial" w:eastAsia="Arial" w:hAnsi="Arial"/>
                  <w:sz w:val="8"/>
                  <w:szCs w:val="8"/>
                  <w:color w:val="0000EE"/>
                </w:rPr>
                <w:t>Financial Ratios</w:t>
              </w:r>
            </w:hyperlink>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FS-12</w:t>
            </w:r>
          </w:p>
        </w:tc>
        <w:tc>
          <w:tcPr>
            <w:tcW w:w="0" w:type="dxa"/>
            <w:vAlign w:val="bottom"/>
          </w:tcPr>
          <w:p>
            <w:pPr>
              <w:spacing w:after="0"/>
              <w:rPr>
                <w:sz w:val="1"/>
                <w:szCs w:val="1"/>
                <w:color w:val="auto"/>
              </w:rPr>
            </w:pPr>
          </w:p>
        </w:tc>
      </w:tr>
      <w:tr>
        <w:trPr>
          <w:trHeight w:val="76"/>
        </w:trPr>
        <w:tc>
          <w:tcPr>
            <w:tcW w:w="640" w:type="dxa"/>
            <w:vAlign w:val="bottom"/>
            <w:gridSpan w:val="3"/>
          </w:tcPr>
          <w:p>
            <w:pPr>
              <w:spacing w:after="0" w:line="76" w:lineRule="exact"/>
              <w:rPr>
                <w:rFonts w:ascii="Arial" w:cs="Arial" w:eastAsia="Arial" w:hAnsi="Arial"/>
                <w:sz w:val="8"/>
                <w:szCs w:val="8"/>
                <w:color w:val="0000EE"/>
              </w:rPr>
            </w:pPr>
            <w:hyperlink w:anchor="page9">
              <w:r>
                <w:rPr>
                  <w:rFonts w:ascii="Arial" w:cs="Arial" w:eastAsia="Arial" w:hAnsi="Arial"/>
                  <w:sz w:val="8"/>
                  <w:szCs w:val="8"/>
                  <w:color w:val="0000EE"/>
                </w:rPr>
                <w:t>Guarantees, Off</w:t>
              </w:r>
            </w:hyperlink>
          </w:p>
        </w:tc>
        <w:tc>
          <w:tcPr>
            <w:tcW w:w="6640" w:type="dxa"/>
            <w:vAlign w:val="bottom"/>
            <w:gridSpan w:val="50"/>
          </w:tcPr>
          <w:p>
            <w:pPr>
              <w:spacing w:after="0" w:line="76" w:lineRule="exact"/>
              <w:rPr>
                <w:rFonts w:ascii="Arial" w:cs="Arial" w:eastAsia="Arial" w:hAnsi="Arial"/>
                <w:sz w:val="8"/>
                <w:szCs w:val="8"/>
                <w:color w:val="0000EE"/>
              </w:rPr>
            </w:pPr>
            <w:hyperlink w:anchor="page9">
              <w:r>
                <w:rPr>
                  <w:rFonts w:ascii="Arial" w:cs="Arial" w:eastAsia="Arial" w:hAnsi="Arial"/>
                  <w:sz w:val="8"/>
                  <w:szCs w:val="8"/>
                  <w:color w:val="0000EE"/>
                </w:rPr>
                <w:t>-Balance-Sheet Arrangements and Contractual Obligations, and Other Contingencies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FS-12</w:t>
            </w:r>
          </w:p>
        </w:tc>
        <w:tc>
          <w:tcPr>
            <w:tcW w:w="0" w:type="dxa"/>
            <w:vAlign w:val="bottom"/>
          </w:tcPr>
          <w:p>
            <w:pPr>
              <w:spacing w:after="0"/>
              <w:rPr>
                <w:sz w:val="1"/>
                <w:szCs w:val="1"/>
                <w:color w:val="auto"/>
              </w:rPr>
            </w:pPr>
          </w:p>
        </w:tc>
      </w:tr>
      <w:tr>
        <w:trPr>
          <w:trHeight w:val="76"/>
        </w:trPr>
        <w:tc>
          <w:tcPr>
            <w:tcW w:w="4020" w:type="dxa"/>
            <w:vAlign w:val="bottom"/>
            <w:tcBorders>
              <w:top w:val="single" w:sz="8" w:color="0000EE"/>
            </w:tcBorders>
            <w:gridSpan w:val="52"/>
          </w:tcPr>
          <w:p>
            <w:pPr>
              <w:spacing w:after="0" w:line="76" w:lineRule="exact"/>
              <w:rPr>
                <w:rFonts w:ascii="Arial" w:cs="Arial" w:eastAsia="Arial" w:hAnsi="Arial"/>
                <w:sz w:val="8"/>
                <w:szCs w:val="8"/>
                <w:color w:val="0000EE"/>
              </w:rPr>
            </w:pPr>
            <w:hyperlink w:anchor="page10">
              <w:r>
                <w:rPr>
                  <w:rFonts w:ascii="Arial" w:cs="Arial" w:eastAsia="Arial" w:hAnsi="Arial"/>
                  <w:sz w:val="8"/>
                  <w:szCs w:val="8"/>
                  <w:color w:val="0000EE"/>
                </w:rPr>
                <w:t>Financial and Derivative Instruments</w:t>
              </w:r>
            </w:hyperlink>
          </w:p>
        </w:tc>
        <w:tc>
          <w:tcPr>
            <w:tcW w:w="3260" w:type="dxa"/>
            <w:vAlign w:val="bottom"/>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FS-13</w:t>
            </w:r>
          </w:p>
        </w:tc>
        <w:tc>
          <w:tcPr>
            <w:tcW w:w="0" w:type="dxa"/>
            <w:vAlign w:val="bottom"/>
          </w:tcPr>
          <w:p>
            <w:pPr>
              <w:spacing w:after="0"/>
              <w:rPr>
                <w:sz w:val="1"/>
                <w:szCs w:val="1"/>
                <w:color w:val="auto"/>
              </w:rPr>
            </w:pPr>
          </w:p>
        </w:tc>
      </w:tr>
      <w:tr>
        <w:trPr>
          <w:trHeight w:val="76"/>
        </w:trPr>
        <w:tc>
          <w:tcPr>
            <w:tcW w:w="1440" w:type="dxa"/>
            <w:vAlign w:val="bottom"/>
            <w:tcBorders>
              <w:top w:val="single" w:sz="8" w:color="0000EE"/>
            </w:tcBorders>
            <w:gridSpan w:val="21"/>
          </w:tcPr>
          <w:p>
            <w:pPr>
              <w:spacing w:after="0" w:line="76" w:lineRule="exact"/>
              <w:rPr>
                <w:rFonts w:ascii="Arial" w:cs="Arial" w:eastAsia="Arial" w:hAnsi="Arial"/>
                <w:sz w:val="8"/>
                <w:szCs w:val="8"/>
                <w:color w:val="0000EE"/>
              </w:rPr>
            </w:pPr>
            <w:hyperlink w:anchor="page10">
              <w:r>
                <w:rPr>
                  <w:rFonts w:ascii="Arial" w:cs="Arial" w:eastAsia="Arial" w:hAnsi="Arial"/>
                  <w:sz w:val="8"/>
                  <w:szCs w:val="8"/>
                  <w:color w:val="0000EE"/>
                </w:rPr>
                <w:t>Transactions With Related Parties</w:t>
              </w:r>
            </w:hyperlink>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FS-15</w:t>
            </w:r>
          </w:p>
        </w:tc>
        <w:tc>
          <w:tcPr>
            <w:tcW w:w="0" w:type="dxa"/>
            <w:vAlign w:val="bottom"/>
          </w:tcPr>
          <w:p>
            <w:pPr>
              <w:spacing w:after="0"/>
              <w:rPr>
                <w:sz w:val="1"/>
                <w:szCs w:val="1"/>
                <w:color w:val="auto"/>
              </w:rPr>
            </w:pPr>
          </w:p>
        </w:tc>
      </w:tr>
      <w:tr>
        <w:trPr>
          <w:trHeight w:val="76"/>
        </w:trPr>
        <w:tc>
          <w:tcPr>
            <w:tcW w:w="1340" w:type="dxa"/>
            <w:vAlign w:val="bottom"/>
            <w:tcBorders>
              <w:top w:val="single" w:sz="8" w:color="0000EE"/>
            </w:tcBorders>
            <w:gridSpan w:val="17"/>
          </w:tcPr>
          <w:p>
            <w:pPr>
              <w:spacing w:after="0" w:line="76" w:lineRule="exact"/>
              <w:rPr>
                <w:rFonts w:ascii="Arial" w:cs="Arial" w:eastAsia="Arial" w:hAnsi="Arial"/>
                <w:sz w:val="8"/>
                <w:szCs w:val="8"/>
                <w:color w:val="0000EE"/>
              </w:rPr>
            </w:pPr>
            <w:hyperlink w:anchor="page11">
              <w:r>
                <w:rPr>
                  <w:rFonts w:ascii="Arial" w:cs="Arial" w:eastAsia="Arial" w:hAnsi="Arial"/>
                  <w:sz w:val="8"/>
                  <w:szCs w:val="8"/>
                  <w:color w:val="0000EE"/>
                </w:rPr>
                <w:t>Litigation and Other Contingencies</w:t>
              </w:r>
            </w:hyperlink>
          </w:p>
        </w:tc>
        <w:tc>
          <w:tcPr>
            <w:tcW w:w="60" w:type="dxa"/>
            <w:vAlign w:val="bottom"/>
            <w:gridSpan w:val="2"/>
          </w:tcPr>
          <w:p>
            <w:pPr>
              <w:spacing w:after="0"/>
              <w:rPr>
                <w:sz w:val="6"/>
                <w:szCs w:val="6"/>
                <w:color w:val="auto"/>
              </w:rPr>
            </w:pP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FS-15</w:t>
            </w:r>
          </w:p>
        </w:tc>
        <w:tc>
          <w:tcPr>
            <w:tcW w:w="0" w:type="dxa"/>
            <w:vAlign w:val="bottom"/>
          </w:tcPr>
          <w:p>
            <w:pPr>
              <w:spacing w:after="0"/>
              <w:rPr>
                <w:sz w:val="1"/>
                <w:szCs w:val="1"/>
                <w:color w:val="auto"/>
              </w:rPr>
            </w:pPr>
          </w:p>
        </w:tc>
      </w:tr>
      <w:tr>
        <w:trPr>
          <w:trHeight w:val="76"/>
        </w:trPr>
        <w:tc>
          <w:tcPr>
            <w:tcW w:w="900" w:type="dxa"/>
            <w:vAlign w:val="bottom"/>
            <w:tcBorders>
              <w:top w:val="single" w:sz="8" w:color="0000EE"/>
              <w:bottom w:val="single" w:sz="8" w:color="0000EE"/>
            </w:tcBorders>
            <w:gridSpan w:val="6"/>
          </w:tcPr>
          <w:p>
            <w:pPr>
              <w:spacing w:after="0" w:line="76" w:lineRule="exact"/>
              <w:rPr>
                <w:rFonts w:ascii="Arial" w:cs="Arial" w:eastAsia="Arial" w:hAnsi="Arial"/>
                <w:sz w:val="8"/>
                <w:szCs w:val="8"/>
                <w:color w:val="0000EE"/>
              </w:rPr>
            </w:pPr>
            <w:hyperlink w:anchor="page11">
              <w:r>
                <w:rPr>
                  <w:rFonts w:ascii="Arial" w:cs="Arial" w:eastAsia="Arial" w:hAnsi="Arial"/>
                  <w:sz w:val="8"/>
                  <w:szCs w:val="8"/>
                  <w:color w:val="0000EE"/>
                </w:rPr>
                <w:t>Environmental Matters</w:t>
              </w:r>
            </w:hyperlink>
          </w:p>
        </w:tc>
        <w:tc>
          <w:tcPr>
            <w:tcW w:w="480" w:type="dxa"/>
            <w:vAlign w:val="bottom"/>
            <w:tcBorders>
              <w:top w:val="single" w:sz="8" w:color="0000EE"/>
            </w:tcBorders>
            <w:gridSpan w:val="12"/>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FS-17</w:t>
            </w:r>
          </w:p>
        </w:tc>
        <w:tc>
          <w:tcPr>
            <w:tcW w:w="0" w:type="dxa"/>
            <w:vAlign w:val="bottom"/>
          </w:tcPr>
          <w:p>
            <w:pPr>
              <w:spacing w:after="0"/>
              <w:rPr>
                <w:sz w:val="1"/>
                <w:szCs w:val="1"/>
                <w:color w:val="auto"/>
              </w:rPr>
            </w:pPr>
          </w:p>
        </w:tc>
      </w:tr>
      <w:tr>
        <w:trPr>
          <w:trHeight w:val="76"/>
        </w:trPr>
        <w:tc>
          <w:tcPr>
            <w:tcW w:w="7280" w:type="dxa"/>
            <w:vAlign w:val="bottom"/>
            <w:gridSpan w:val="53"/>
          </w:tcPr>
          <w:p>
            <w:pPr>
              <w:spacing w:after="0" w:line="76" w:lineRule="exact"/>
              <w:rPr>
                <w:rFonts w:ascii="Arial" w:cs="Arial" w:eastAsia="Arial" w:hAnsi="Arial"/>
                <w:sz w:val="8"/>
                <w:szCs w:val="8"/>
                <w:color w:val="0000EE"/>
              </w:rPr>
            </w:pPr>
            <w:hyperlink w:anchor="page25">
              <w:r>
                <w:rPr>
                  <w:rFonts w:ascii="Arial" w:cs="Arial" w:eastAsia="Arial" w:hAnsi="Arial"/>
                  <w:sz w:val="8"/>
                  <w:szCs w:val="8"/>
                  <w:color w:val="0000EE"/>
                </w:rPr>
                <w:t>Critical Accounting Estimates and Assumptions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FS-18</w:t>
            </w:r>
          </w:p>
        </w:tc>
        <w:tc>
          <w:tcPr>
            <w:tcW w:w="0" w:type="dxa"/>
            <w:vAlign w:val="bottom"/>
          </w:tcPr>
          <w:p>
            <w:pPr>
              <w:spacing w:after="0"/>
              <w:rPr>
                <w:sz w:val="1"/>
                <w:szCs w:val="1"/>
                <w:color w:val="auto"/>
              </w:rPr>
            </w:pPr>
          </w:p>
        </w:tc>
      </w:tr>
      <w:tr>
        <w:trPr>
          <w:trHeight w:val="76"/>
        </w:trPr>
        <w:tc>
          <w:tcPr>
            <w:tcW w:w="1880" w:type="dxa"/>
            <w:vAlign w:val="bottom"/>
            <w:tcBorders>
              <w:top w:val="single" w:sz="8" w:color="0000EE"/>
            </w:tcBorders>
            <w:gridSpan w:val="30"/>
          </w:tcPr>
          <w:p>
            <w:pPr>
              <w:spacing w:after="0" w:line="76" w:lineRule="exact"/>
              <w:rPr>
                <w:rFonts w:ascii="Arial" w:cs="Arial" w:eastAsia="Arial" w:hAnsi="Arial"/>
                <w:sz w:val="8"/>
                <w:szCs w:val="8"/>
                <w:color w:val="0000EE"/>
              </w:rPr>
            </w:pPr>
            <w:hyperlink w:anchor="page26">
              <w:r>
                <w:rPr>
                  <w:rFonts w:ascii="Arial" w:cs="Arial" w:eastAsia="Arial" w:hAnsi="Arial"/>
                  <w:sz w:val="8"/>
                  <w:szCs w:val="8"/>
                  <w:color w:val="0000EE"/>
                </w:rPr>
                <w:t>New Accounting Standards</w:t>
              </w:r>
            </w:hyperlink>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FS-21</w:t>
            </w:r>
          </w:p>
        </w:tc>
        <w:tc>
          <w:tcPr>
            <w:tcW w:w="0" w:type="dxa"/>
            <w:vAlign w:val="bottom"/>
          </w:tcPr>
          <w:p>
            <w:pPr>
              <w:spacing w:after="0"/>
              <w:rPr>
                <w:sz w:val="1"/>
                <w:szCs w:val="1"/>
                <w:color w:val="auto"/>
              </w:rPr>
            </w:pPr>
          </w:p>
        </w:tc>
      </w:tr>
      <w:tr>
        <w:trPr>
          <w:trHeight w:val="76"/>
        </w:trPr>
        <w:tc>
          <w:tcPr>
            <w:tcW w:w="1080" w:type="dxa"/>
            <w:vAlign w:val="bottom"/>
            <w:tcBorders>
              <w:top w:val="single" w:sz="8" w:color="0000EE"/>
            </w:tcBorders>
            <w:gridSpan w:val="11"/>
          </w:tcPr>
          <w:p>
            <w:pPr>
              <w:spacing w:after="0" w:line="76" w:lineRule="exact"/>
              <w:rPr>
                <w:rFonts w:ascii="Arial" w:cs="Arial" w:eastAsia="Arial" w:hAnsi="Arial"/>
                <w:sz w:val="8"/>
                <w:szCs w:val="8"/>
                <w:color w:val="0000EE"/>
              </w:rPr>
            </w:pPr>
            <w:hyperlink w:anchor="page26">
              <w:r>
                <w:rPr>
                  <w:rFonts w:ascii="Arial" w:cs="Arial" w:eastAsia="Arial" w:hAnsi="Arial"/>
                  <w:sz w:val="8"/>
                  <w:szCs w:val="8"/>
                  <w:color w:val="0000EE"/>
                </w:rPr>
                <w:t>Quarterly Results and Stock</w:t>
              </w:r>
            </w:hyperlink>
          </w:p>
        </w:tc>
        <w:tc>
          <w:tcPr>
            <w:tcW w:w="40" w:type="dxa"/>
            <w:vAlign w:val="bottom"/>
          </w:tcPr>
          <w:p>
            <w:pPr>
              <w:spacing w:after="0"/>
              <w:rPr>
                <w:sz w:val="6"/>
                <w:szCs w:val="6"/>
                <w:color w:val="auto"/>
              </w:rPr>
            </w:pPr>
          </w:p>
        </w:tc>
        <w:tc>
          <w:tcPr>
            <w:tcW w:w="6160" w:type="dxa"/>
            <w:vAlign w:val="bottom"/>
            <w:gridSpan w:val="41"/>
          </w:tcPr>
          <w:p>
            <w:pPr>
              <w:ind w:left="20"/>
              <w:spacing w:after="0" w:line="76" w:lineRule="exact"/>
              <w:rPr>
                <w:rFonts w:ascii="Arial" w:cs="Arial" w:eastAsia="Arial" w:hAnsi="Arial"/>
                <w:sz w:val="8"/>
                <w:szCs w:val="8"/>
                <w:color w:val="0000EE"/>
              </w:rPr>
            </w:pPr>
            <w:hyperlink w:anchor="page26">
              <w:r>
                <w:rPr>
                  <w:rFonts w:ascii="Arial" w:cs="Arial" w:eastAsia="Arial" w:hAnsi="Arial"/>
                  <w:sz w:val="8"/>
                  <w:szCs w:val="8"/>
                  <w:color w:val="0000EE"/>
                </w:rPr>
                <w:t>Market Data</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FS-24</w:t>
            </w:r>
          </w:p>
        </w:tc>
        <w:tc>
          <w:tcPr>
            <w:tcW w:w="0" w:type="dxa"/>
            <w:vAlign w:val="bottom"/>
          </w:tcPr>
          <w:p>
            <w:pPr>
              <w:spacing w:after="0"/>
              <w:rPr>
                <w:sz w:val="1"/>
                <w:szCs w:val="1"/>
                <w:color w:val="auto"/>
              </w:rPr>
            </w:pPr>
          </w:p>
        </w:tc>
      </w:tr>
      <w:tr>
        <w:trPr>
          <w:trHeight w:val="43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20"/>
                <w:szCs w:val="20"/>
                <w:b w:val="1"/>
                <w:bCs w:val="1"/>
                <w:color w:val="0077C0"/>
              </w:rPr>
              <w:t>FS-25</w:t>
            </w: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280" w:type="dxa"/>
            <w:vAlign w:val="bottom"/>
            <w:gridSpan w:val="53"/>
          </w:tcPr>
          <w:p>
            <w:pPr>
              <w:spacing w:after="0"/>
              <w:rPr>
                <w:sz w:val="20"/>
                <w:szCs w:val="20"/>
                <w:color w:val="auto"/>
              </w:rPr>
            </w:pPr>
            <w:r>
              <w:rPr>
                <w:rFonts w:ascii="Arial" w:cs="Arial" w:eastAsia="Arial" w:hAnsi="Arial"/>
                <w:sz w:val="9"/>
                <w:szCs w:val="9"/>
                <w:b w:val="1"/>
                <w:bCs w:val="1"/>
                <w:color w:val="auto"/>
              </w:rPr>
              <w:t>Consolidated Financial Statements</w:t>
            </w:r>
          </w:p>
        </w:tc>
        <w:tc>
          <w:tcPr>
            <w:tcW w:w="3520" w:type="dxa"/>
            <w:vAlign w:val="bottom"/>
            <w:vMerge w:val="restart"/>
          </w:tcPr>
          <w:p>
            <w:pPr>
              <w:ind w:left="3280"/>
              <w:spacing w:after="0"/>
              <w:rPr>
                <w:sz w:val="20"/>
                <w:szCs w:val="20"/>
                <w:color w:val="auto"/>
              </w:rPr>
            </w:pPr>
            <w:r>
              <w:rPr>
                <w:rFonts w:ascii="Arial" w:cs="Arial" w:eastAsia="Arial" w:hAnsi="Arial"/>
                <w:sz w:val="9"/>
                <w:szCs w:val="9"/>
                <w:b w:val="1"/>
                <w:bCs w:val="1"/>
                <w:color w:val="auto"/>
                <w:w w:val="89"/>
              </w:rPr>
              <w:t>FS-25</w:t>
            </w:r>
          </w:p>
        </w:tc>
        <w:tc>
          <w:tcPr>
            <w:tcW w:w="0" w:type="dxa"/>
            <w:vAlign w:val="bottom"/>
          </w:tcPr>
          <w:p>
            <w:pPr>
              <w:spacing w:after="0"/>
              <w:rPr>
                <w:sz w:val="1"/>
                <w:szCs w:val="1"/>
                <w:color w:val="auto"/>
              </w:rPr>
            </w:pPr>
          </w:p>
        </w:tc>
      </w:tr>
      <w:tr>
        <w:trPr>
          <w:trHeight w:val="91"/>
        </w:trPr>
        <w:tc>
          <w:tcPr>
            <w:tcW w:w="7280" w:type="dxa"/>
            <w:vAlign w:val="bottom"/>
            <w:gridSpan w:val="53"/>
          </w:tcPr>
          <w:p>
            <w:pPr>
              <w:spacing w:after="0" w:line="91" w:lineRule="exact"/>
              <w:rPr>
                <w:rFonts w:ascii="Arial" w:cs="Arial" w:eastAsia="Arial" w:hAnsi="Arial"/>
                <w:sz w:val="9"/>
                <w:szCs w:val="9"/>
                <w:color w:val="0000EE"/>
              </w:rPr>
            </w:pPr>
            <w:hyperlink w:anchor="page27">
              <w:r>
                <w:rPr>
                  <w:rFonts w:ascii="Arial" w:cs="Arial" w:eastAsia="Arial" w:hAnsi="Arial"/>
                  <w:sz w:val="9"/>
                  <w:szCs w:val="9"/>
                  <w:color w:val="0000EE"/>
                </w:rPr>
                <w:t>Report of Management</w:t>
              </w:r>
            </w:hyperlink>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920" w:type="dxa"/>
            <w:vAlign w:val="bottom"/>
            <w:tcBorders>
              <w:top w:val="single" w:sz="8" w:color="0000EE"/>
            </w:tcBorders>
            <w:gridSpan w:val="7"/>
          </w:tcPr>
          <w:p>
            <w:pPr>
              <w:spacing w:after="0" w:line="76" w:lineRule="exact"/>
              <w:rPr>
                <w:rFonts w:ascii="Arial" w:cs="Arial" w:eastAsia="Arial" w:hAnsi="Arial"/>
                <w:sz w:val="8"/>
                <w:szCs w:val="8"/>
                <w:color w:val="0000EE"/>
              </w:rPr>
            </w:pPr>
            <w:hyperlink w:anchor="page28">
              <w:r>
                <w:rPr>
                  <w:rFonts w:ascii="Arial" w:cs="Arial" w:eastAsia="Arial" w:hAnsi="Arial"/>
                  <w:sz w:val="8"/>
                  <w:szCs w:val="8"/>
                  <w:color w:val="0000EE"/>
                </w:rPr>
                <w:t>Report of Independent</w:t>
              </w:r>
            </w:hyperlink>
          </w:p>
        </w:tc>
        <w:tc>
          <w:tcPr>
            <w:tcW w:w="6360" w:type="dxa"/>
            <w:vAlign w:val="bottom"/>
            <w:gridSpan w:val="46"/>
          </w:tcPr>
          <w:p>
            <w:pPr>
              <w:spacing w:after="0" w:line="76" w:lineRule="exact"/>
              <w:rPr>
                <w:rFonts w:ascii="Arial" w:cs="Arial" w:eastAsia="Arial" w:hAnsi="Arial"/>
                <w:sz w:val="8"/>
                <w:szCs w:val="8"/>
                <w:color w:val="0000EE"/>
              </w:rPr>
            </w:pPr>
            <w:hyperlink w:anchor="page28">
              <w:r>
                <w:rPr>
                  <w:rFonts w:ascii="Arial" w:cs="Arial" w:eastAsia="Arial" w:hAnsi="Arial"/>
                  <w:sz w:val="8"/>
                  <w:szCs w:val="8"/>
                  <w:color w:val="0000EE"/>
                </w:rPr>
                <w:t>Registered Public Accounting Firm</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FS-26</w:t>
            </w:r>
          </w:p>
        </w:tc>
        <w:tc>
          <w:tcPr>
            <w:tcW w:w="0" w:type="dxa"/>
            <w:vAlign w:val="bottom"/>
          </w:tcPr>
          <w:p>
            <w:pPr>
              <w:spacing w:after="0"/>
              <w:rPr>
                <w:sz w:val="1"/>
                <w:szCs w:val="1"/>
                <w:color w:val="auto"/>
              </w:rPr>
            </w:pPr>
          </w:p>
        </w:tc>
      </w:tr>
      <w:tr>
        <w:trPr>
          <w:trHeight w:val="76"/>
        </w:trPr>
        <w:tc>
          <w:tcPr>
            <w:tcW w:w="1400" w:type="dxa"/>
            <w:vAlign w:val="bottom"/>
            <w:tcBorders>
              <w:top w:val="single" w:sz="8" w:color="0000EE"/>
              <w:bottom w:val="single" w:sz="8" w:color="0000EE"/>
            </w:tcBorders>
            <w:gridSpan w:val="19"/>
          </w:tcPr>
          <w:p>
            <w:pPr>
              <w:spacing w:after="0" w:line="76" w:lineRule="exact"/>
              <w:rPr>
                <w:rFonts w:ascii="Arial" w:cs="Arial" w:eastAsia="Arial" w:hAnsi="Arial"/>
                <w:sz w:val="8"/>
                <w:szCs w:val="8"/>
                <w:color w:val="0000EE"/>
              </w:rPr>
            </w:pPr>
            <w:hyperlink w:anchor="page29">
              <w:r>
                <w:rPr>
                  <w:rFonts w:ascii="Arial" w:cs="Arial" w:eastAsia="Arial" w:hAnsi="Arial"/>
                  <w:sz w:val="8"/>
                  <w:szCs w:val="8"/>
                  <w:color w:val="0000EE"/>
                </w:rPr>
                <w:t>Consolidated Statement of Income</w:t>
              </w:r>
            </w:hyperlink>
          </w:p>
        </w:tc>
        <w:tc>
          <w:tcPr>
            <w:tcW w:w="880" w:type="dxa"/>
            <w:vAlign w:val="bottom"/>
            <w:tcBorders>
              <w:top w:val="single" w:sz="8" w:color="0000EE"/>
            </w:tcBorders>
            <w:gridSpan w:val="21"/>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FS-27</w:t>
            </w:r>
          </w:p>
        </w:tc>
        <w:tc>
          <w:tcPr>
            <w:tcW w:w="0" w:type="dxa"/>
            <w:vAlign w:val="bottom"/>
          </w:tcPr>
          <w:p>
            <w:pPr>
              <w:spacing w:after="0"/>
              <w:rPr>
                <w:sz w:val="1"/>
                <w:szCs w:val="1"/>
                <w:color w:val="auto"/>
              </w:rPr>
            </w:pPr>
          </w:p>
        </w:tc>
      </w:tr>
      <w:tr>
        <w:trPr>
          <w:trHeight w:val="76"/>
        </w:trPr>
        <w:tc>
          <w:tcPr>
            <w:tcW w:w="7280" w:type="dxa"/>
            <w:vAlign w:val="bottom"/>
            <w:gridSpan w:val="53"/>
          </w:tcPr>
          <w:p>
            <w:pPr>
              <w:spacing w:after="0" w:line="76" w:lineRule="exact"/>
              <w:rPr>
                <w:rFonts w:ascii="Arial" w:cs="Arial" w:eastAsia="Arial" w:hAnsi="Arial"/>
                <w:sz w:val="8"/>
                <w:szCs w:val="8"/>
                <w:color w:val="0000EE"/>
              </w:rPr>
            </w:pPr>
            <w:hyperlink w:anchor="page30">
              <w:r>
                <w:rPr>
                  <w:rFonts w:ascii="Arial" w:cs="Arial" w:eastAsia="Arial" w:hAnsi="Arial"/>
                  <w:sz w:val="8"/>
                  <w:szCs w:val="8"/>
                  <w:color w:val="0000EE"/>
                </w:rPr>
                <w:t>Consolidated Statement of Comprehensive Income</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FS-28</w:t>
            </w:r>
          </w:p>
        </w:tc>
        <w:tc>
          <w:tcPr>
            <w:tcW w:w="0" w:type="dxa"/>
            <w:vAlign w:val="bottom"/>
          </w:tcPr>
          <w:p>
            <w:pPr>
              <w:spacing w:after="0"/>
              <w:rPr>
                <w:sz w:val="1"/>
                <w:szCs w:val="1"/>
                <w:color w:val="auto"/>
              </w:rPr>
            </w:pPr>
          </w:p>
        </w:tc>
      </w:tr>
      <w:tr>
        <w:trPr>
          <w:trHeight w:val="76"/>
        </w:trPr>
        <w:tc>
          <w:tcPr>
            <w:tcW w:w="2020" w:type="dxa"/>
            <w:vAlign w:val="bottom"/>
            <w:tcBorders>
              <w:top w:val="single" w:sz="8" w:color="0000EE"/>
            </w:tcBorders>
            <w:gridSpan w:val="35"/>
          </w:tcPr>
          <w:p>
            <w:pPr>
              <w:spacing w:after="0" w:line="76" w:lineRule="exact"/>
              <w:rPr>
                <w:rFonts w:ascii="Arial" w:cs="Arial" w:eastAsia="Arial" w:hAnsi="Arial"/>
                <w:sz w:val="8"/>
                <w:szCs w:val="8"/>
                <w:color w:val="0000EE"/>
              </w:rPr>
            </w:pPr>
            <w:hyperlink w:anchor="page30">
              <w:r>
                <w:rPr>
                  <w:rFonts w:ascii="Arial" w:cs="Arial" w:eastAsia="Arial" w:hAnsi="Arial"/>
                  <w:sz w:val="8"/>
                  <w:szCs w:val="8"/>
                  <w:color w:val="0000EE"/>
                </w:rPr>
                <w:t>Consolidated Balance Sheet</w:t>
              </w:r>
            </w:hyperlink>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FS-29</w:t>
            </w:r>
          </w:p>
        </w:tc>
        <w:tc>
          <w:tcPr>
            <w:tcW w:w="0" w:type="dxa"/>
            <w:vAlign w:val="bottom"/>
          </w:tcPr>
          <w:p>
            <w:pPr>
              <w:spacing w:after="0"/>
              <w:rPr>
                <w:sz w:val="1"/>
                <w:szCs w:val="1"/>
                <w:color w:val="auto"/>
              </w:rPr>
            </w:pPr>
          </w:p>
        </w:tc>
      </w:tr>
      <w:tr>
        <w:trPr>
          <w:trHeight w:val="76"/>
        </w:trPr>
        <w:tc>
          <w:tcPr>
            <w:tcW w:w="1120" w:type="dxa"/>
            <w:vAlign w:val="bottom"/>
            <w:tcBorders>
              <w:top w:val="single" w:sz="8" w:color="0000EE"/>
            </w:tcBorders>
            <w:gridSpan w:val="12"/>
          </w:tcPr>
          <w:p>
            <w:pPr>
              <w:spacing w:after="0" w:line="76" w:lineRule="exact"/>
              <w:rPr>
                <w:rFonts w:ascii="Arial" w:cs="Arial" w:eastAsia="Arial" w:hAnsi="Arial"/>
                <w:sz w:val="8"/>
                <w:szCs w:val="8"/>
                <w:color w:val="0000EE"/>
              </w:rPr>
            </w:pPr>
            <w:hyperlink w:anchor="page30">
              <w:r>
                <w:rPr>
                  <w:rFonts w:ascii="Arial" w:cs="Arial" w:eastAsia="Arial" w:hAnsi="Arial"/>
                  <w:sz w:val="8"/>
                  <w:szCs w:val="8"/>
                  <w:color w:val="0000EE"/>
                </w:rPr>
                <w:t>Consolidated Statement of</w:t>
              </w:r>
            </w:hyperlink>
          </w:p>
        </w:tc>
        <w:tc>
          <w:tcPr>
            <w:tcW w:w="6160" w:type="dxa"/>
            <w:vAlign w:val="bottom"/>
            <w:gridSpan w:val="41"/>
          </w:tcPr>
          <w:p>
            <w:pPr>
              <w:spacing w:after="0" w:line="76" w:lineRule="exact"/>
              <w:rPr>
                <w:rFonts w:ascii="Arial" w:cs="Arial" w:eastAsia="Arial" w:hAnsi="Arial"/>
                <w:sz w:val="8"/>
                <w:szCs w:val="8"/>
                <w:color w:val="0000EE"/>
              </w:rPr>
            </w:pPr>
            <w:hyperlink w:anchor="page30">
              <w:r>
                <w:rPr>
                  <w:rFonts w:ascii="Arial" w:cs="Arial" w:eastAsia="Arial" w:hAnsi="Arial"/>
                  <w:sz w:val="8"/>
                  <w:szCs w:val="8"/>
                  <w:color w:val="0000EE"/>
                </w:rPr>
                <w:t>Cash Flows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FS-30</w:t>
            </w:r>
          </w:p>
        </w:tc>
        <w:tc>
          <w:tcPr>
            <w:tcW w:w="0" w:type="dxa"/>
            <w:vAlign w:val="bottom"/>
          </w:tcPr>
          <w:p>
            <w:pPr>
              <w:spacing w:after="0"/>
              <w:rPr>
                <w:sz w:val="1"/>
                <w:szCs w:val="1"/>
                <w:color w:val="auto"/>
              </w:rPr>
            </w:pPr>
          </w:p>
        </w:tc>
      </w:tr>
      <w:tr>
        <w:trPr>
          <w:trHeight w:val="76"/>
        </w:trPr>
        <w:tc>
          <w:tcPr>
            <w:tcW w:w="1540" w:type="dxa"/>
            <w:vAlign w:val="bottom"/>
            <w:tcBorders>
              <w:top w:val="single" w:sz="8" w:color="0000EE"/>
            </w:tcBorders>
            <w:gridSpan w:val="24"/>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Consolidated Statement of Stockholders’</w:t>
              </w:r>
            </w:hyperlink>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5640" w:type="dxa"/>
            <w:vAlign w:val="bottom"/>
            <w:gridSpan w:val="26"/>
          </w:tcPr>
          <w:p>
            <w:pPr>
              <w:jc w:val="right"/>
              <w:ind w:right="5380"/>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Equity</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FS-31</w:t>
            </w:r>
          </w:p>
        </w:tc>
        <w:tc>
          <w:tcPr>
            <w:tcW w:w="0" w:type="dxa"/>
            <w:vAlign w:val="bottom"/>
          </w:tcPr>
          <w:p>
            <w:pPr>
              <w:spacing w:after="0"/>
              <w:rPr>
                <w:sz w:val="1"/>
                <w:szCs w:val="1"/>
                <w:color w:val="auto"/>
              </w:rPr>
            </w:pPr>
          </w:p>
        </w:tc>
      </w:tr>
      <w:tr>
        <w:trPr>
          <w:trHeight w:val="43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20"/>
                <w:szCs w:val="20"/>
                <w:b w:val="1"/>
                <w:bCs w:val="1"/>
                <w:color w:val="0077C0"/>
              </w:rPr>
              <w:t>FS-32</w:t>
            </w: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40" w:type="dxa"/>
            <w:vAlign w:val="bottom"/>
            <w:tcBorders>
              <w:bottom w:val="single" w:sz="8" w:color="0000EE"/>
            </w:tcBorders>
            <w:gridSpan w:val="36"/>
          </w:tcPr>
          <w:p>
            <w:pPr>
              <w:spacing w:after="0"/>
              <w:rPr>
                <w:rFonts w:ascii="Arial" w:cs="Arial" w:eastAsia="Arial" w:hAnsi="Arial"/>
                <w:sz w:val="9"/>
                <w:szCs w:val="9"/>
                <w:b w:val="1"/>
                <w:bCs w:val="1"/>
                <w:color w:val="0000EE"/>
                <w:w w:val="98"/>
              </w:rPr>
            </w:pPr>
            <w:hyperlink w:anchor="page31">
              <w:r>
                <w:rPr>
                  <w:rFonts w:ascii="Arial" w:cs="Arial" w:eastAsia="Arial" w:hAnsi="Arial"/>
                  <w:sz w:val="9"/>
                  <w:szCs w:val="9"/>
                  <w:b w:val="1"/>
                  <w:bCs w:val="1"/>
                  <w:color w:val="0000EE"/>
                  <w:w w:val="98"/>
                </w:rPr>
                <w:t>Notes to the Consolidated Financial Statements</w:t>
              </w:r>
            </w:hyperlink>
          </w:p>
        </w:tc>
        <w:tc>
          <w:tcPr>
            <w:tcW w:w="5240" w:type="dxa"/>
            <w:vAlign w:val="bottom"/>
            <w:gridSpan w:val="17"/>
          </w:tcPr>
          <w:p>
            <w:pPr>
              <w:spacing w:after="0"/>
              <w:rPr>
                <w:sz w:val="24"/>
                <w:szCs w:val="24"/>
                <w:color w:val="auto"/>
              </w:rPr>
            </w:pPr>
          </w:p>
        </w:tc>
        <w:tc>
          <w:tcPr>
            <w:tcW w:w="3520" w:type="dxa"/>
            <w:vAlign w:val="bottom"/>
            <w:vMerge w:val="restart"/>
          </w:tcPr>
          <w:p>
            <w:pPr>
              <w:ind w:left="3280"/>
              <w:spacing w:after="0"/>
              <w:rPr>
                <w:sz w:val="20"/>
                <w:szCs w:val="20"/>
                <w:color w:val="auto"/>
              </w:rPr>
            </w:pPr>
            <w:r>
              <w:rPr>
                <w:rFonts w:ascii="Arial" w:cs="Arial" w:eastAsia="Arial" w:hAnsi="Arial"/>
                <w:sz w:val="9"/>
                <w:szCs w:val="9"/>
                <w:b w:val="1"/>
                <w:bCs w:val="1"/>
                <w:color w:val="auto"/>
                <w:w w:val="89"/>
              </w:rPr>
              <w:t>FS-32</w:t>
            </w:r>
          </w:p>
        </w:tc>
        <w:tc>
          <w:tcPr>
            <w:tcW w:w="0" w:type="dxa"/>
            <w:vAlign w:val="bottom"/>
          </w:tcPr>
          <w:p>
            <w:pPr>
              <w:spacing w:after="0"/>
              <w:rPr>
                <w:sz w:val="1"/>
                <w:szCs w:val="1"/>
                <w:color w:val="auto"/>
              </w:rPr>
            </w:pPr>
          </w:p>
        </w:tc>
      </w:tr>
      <w:tr>
        <w:trPr>
          <w:trHeight w:val="76"/>
        </w:trPr>
        <w:tc>
          <w:tcPr>
            <w:tcW w:w="640" w:type="dxa"/>
            <w:vAlign w:val="bottom"/>
            <w:gridSpan w:val="3"/>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Note 1</w:t>
              </w:r>
            </w:hyperlink>
          </w:p>
        </w:tc>
        <w:tc>
          <w:tcPr>
            <w:tcW w:w="160" w:type="dxa"/>
            <w:vAlign w:val="bottom"/>
          </w:tcPr>
          <w:p>
            <w:pPr>
              <w:spacing w:after="0"/>
              <w:rPr>
                <w:sz w:val="6"/>
                <w:szCs w:val="6"/>
                <w:color w:val="auto"/>
              </w:rPr>
            </w:pPr>
          </w:p>
        </w:tc>
        <w:tc>
          <w:tcPr>
            <w:tcW w:w="6480" w:type="dxa"/>
            <w:vAlign w:val="bottom"/>
            <w:gridSpan w:val="49"/>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Summary of Significant Accounting Policies</w:t>
              </w:r>
            </w:hyperlink>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Note 2</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20" w:type="dxa"/>
            <w:vAlign w:val="bottom"/>
            <w:tcBorders>
              <w:top w:val="single" w:sz="8" w:color="0000EE"/>
            </w:tcBorders>
            <w:gridSpan w:val="40"/>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Information Relating to the Consolidated</w:t>
              </w:r>
            </w:hyperlink>
          </w:p>
        </w:tc>
        <w:tc>
          <w:tcPr>
            <w:tcW w:w="4760" w:type="dxa"/>
            <w:vAlign w:val="bottom"/>
            <w:gridSpan w:val="9"/>
          </w:tcPr>
          <w:p>
            <w:pPr>
              <w:spacing w:after="0" w:line="76" w:lineRule="exact"/>
              <w:rPr>
                <w:rFonts w:ascii="Arial" w:cs="Arial" w:eastAsia="Arial" w:hAnsi="Arial"/>
                <w:sz w:val="8"/>
                <w:szCs w:val="8"/>
                <w:color w:val="0000EE"/>
              </w:rPr>
            </w:pPr>
            <w:hyperlink w:anchor="page31">
              <w:r>
                <w:rPr>
                  <w:rFonts w:ascii="Arial" w:cs="Arial" w:eastAsia="Arial" w:hAnsi="Arial"/>
                  <w:sz w:val="8"/>
                  <w:szCs w:val="8"/>
                  <w:color w:val="0000EE"/>
                </w:rPr>
                <w:t>Statement of Cash Flows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FS-34</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2">
              <w:r>
                <w:rPr>
                  <w:rFonts w:ascii="Arial" w:cs="Arial" w:eastAsia="Arial" w:hAnsi="Arial"/>
                  <w:sz w:val="8"/>
                  <w:szCs w:val="8"/>
                  <w:color w:val="0000EE"/>
                </w:rPr>
                <w:t>Note 3</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40" w:type="dxa"/>
            <w:vAlign w:val="bottom"/>
            <w:tcBorders>
              <w:top w:val="single" w:sz="8" w:color="0000EE"/>
            </w:tcBorders>
            <w:gridSpan w:val="46"/>
          </w:tcPr>
          <w:p>
            <w:pPr>
              <w:spacing w:after="0" w:line="76" w:lineRule="exact"/>
              <w:rPr>
                <w:rFonts w:ascii="Arial" w:cs="Arial" w:eastAsia="Arial" w:hAnsi="Arial"/>
                <w:sz w:val="8"/>
                <w:szCs w:val="8"/>
                <w:color w:val="0000EE"/>
              </w:rPr>
            </w:pPr>
            <w:hyperlink w:anchor="page32">
              <w:r>
                <w:rPr>
                  <w:rFonts w:ascii="Arial" w:cs="Arial" w:eastAsia="Arial" w:hAnsi="Arial"/>
                  <w:sz w:val="8"/>
                  <w:szCs w:val="8"/>
                  <w:color w:val="0000EE"/>
                </w:rPr>
                <w:t>Stockholders’ Equity</w:t>
              </w:r>
            </w:hyperlink>
          </w:p>
        </w:tc>
        <w:tc>
          <w:tcPr>
            <w:tcW w:w="3840" w:type="dxa"/>
            <w:vAlign w:val="bottom"/>
            <w:gridSpan w:val="3"/>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FS-35</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Note 4</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top w:val="single" w:sz="8" w:color="0000EE"/>
            </w:tcBorders>
            <w:gridSpan w:val="22"/>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Summarized Financial</w:t>
              </w:r>
            </w:hyperlink>
          </w:p>
        </w:tc>
        <w:tc>
          <w:tcPr>
            <w:tcW w:w="20" w:type="dxa"/>
            <w:vAlign w:val="bottom"/>
          </w:tcPr>
          <w:p>
            <w:pPr>
              <w:spacing w:after="0"/>
              <w:rPr>
                <w:sz w:val="6"/>
                <w:szCs w:val="6"/>
                <w:color w:val="auto"/>
              </w:rPr>
            </w:pPr>
          </w:p>
        </w:tc>
        <w:tc>
          <w:tcPr>
            <w:tcW w:w="5640" w:type="dxa"/>
            <w:vAlign w:val="bottom"/>
            <w:gridSpan w:val="26"/>
          </w:tcPr>
          <w:p>
            <w:pPr>
              <w:ind w:left="80"/>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Data - Chevron U.S.A. Inc.</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FS-35</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Note 5</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80" w:type="dxa"/>
            <w:vAlign w:val="bottom"/>
            <w:tcBorders>
              <w:top w:val="single" w:sz="8" w:color="0000EE"/>
            </w:tcBorders>
            <w:gridSpan w:val="43"/>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Summarized Financial Data - Chevron Transport</w:t>
              </w:r>
            </w:hyperlink>
          </w:p>
        </w:tc>
        <w:tc>
          <w:tcPr>
            <w:tcW w:w="4500" w:type="dxa"/>
            <w:vAlign w:val="bottom"/>
            <w:gridSpan w:val="6"/>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Corporation Ltd.</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FS-36</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Note 6</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0" w:type="dxa"/>
            <w:vAlign w:val="bottom"/>
            <w:tcBorders>
              <w:top w:val="single" w:sz="8" w:color="0000EE"/>
            </w:tcBorders>
            <w:gridSpan w:val="45"/>
          </w:tcPr>
          <w:p>
            <w:pPr>
              <w:spacing w:after="0" w:line="76" w:lineRule="exact"/>
              <w:rPr>
                <w:rFonts w:ascii="Arial" w:cs="Arial" w:eastAsia="Arial" w:hAnsi="Arial"/>
                <w:sz w:val="8"/>
                <w:szCs w:val="8"/>
                <w:color w:val="0000EE"/>
              </w:rPr>
            </w:pPr>
            <w:hyperlink w:anchor="page33">
              <w:r>
                <w:rPr>
                  <w:rFonts w:ascii="Arial" w:cs="Arial" w:eastAsia="Arial" w:hAnsi="Arial"/>
                  <w:sz w:val="8"/>
                  <w:szCs w:val="8"/>
                  <w:color w:val="0000EE"/>
                </w:rPr>
                <w:t>Summarized Financial Data - Tengizchevroil LLP</w:t>
              </w:r>
            </w:hyperlink>
          </w:p>
        </w:tc>
        <w:tc>
          <w:tcPr>
            <w:tcW w:w="3880" w:type="dxa"/>
            <w:vAlign w:val="bottom"/>
            <w:gridSpan w:val="4"/>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FS-36</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4">
              <w:r>
                <w:rPr>
                  <w:rFonts w:ascii="Arial" w:cs="Arial" w:eastAsia="Arial" w:hAnsi="Arial"/>
                  <w:sz w:val="8"/>
                  <w:szCs w:val="8"/>
                  <w:color w:val="0000EE"/>
                </w:rPr>
                <w:t>Note 7</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40" w:type="dxa"/>
            <w:vAlign w:val="bottom"/>
            <w:tcBorders>
              <w:top w:val="single" w:sz="8" w:color="0000EE"/>
            </w:tcBorders>
            <w:gridSpan w:val="42"/>
          </w:tcPr>
          <w:p>
            <w:pPr>
              <w:spacing w:after="0" w:line="76" w:lineRule="exact"/>
              <w:rPr>
                <w:rFonts w:ascii="Arial" w:cs="Arial" w:eastAsia="Arial" w:hAnsi="Arial"/>
                <w:sz w:val="8"/>
                <w:szCs w:val="8"/>
                <w:color w:val="0000EE"/>
              </w:rPr>
            </w:pPr>
            <w:hyperlink w:anchor="page34">
              <w:r>
                <w:rPr>
                  <w:rFonts w:ascii="Arial" w:cs="Arial" w:eastAsia="Arial" w:hAnsi="Arial"/>
                  <w:sz w:val="8"/>
                  <w:szCs w:val="8"/>
                  <w:color w:val="0000EE"/>
                </w:rPr>
                <w:t>Financial and Derivative Instruments</w:t>
              </w:r>
            </w:hyperlink>
          </w:p>
        </w:tc>
        <w:tc>
          <w:tcPr>
            <w:tcW w:w="200" w:type="dxa"/>
            <w:vAlign w:val="bottom"/>
            <w:gridSpan w:val="2"/>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FS-36</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8</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Borders>
              <w:top w:val="single" w:sz="8" w:color="0000EE"/>
            </w:tcBorders>
            <w:gridSpan w:val="35"/>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Fair Value Measurements</w:t>
              </w:r>
            </w:hyperlink>
          </w:p>
        </w:tc>
        <w:tc>
          <w:tcPr>
            <w:tcW w:w="1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FS-37</w:t>
            </w:r>
          </w:p>
        </w:tc>
        <w:tc>
          <w:tcPr>
            <w:tcW w:w="0" w:type="dxa"/>
            <w:vAlign w:val="bottom"/>
          </w:tcPr>
          <w:p>
            <w:pPr>
              <w:spacing w:after="0"/>
              <w:rPr>
                <w:sz w:val="1"/>
                <w:szCs w:val="1"/>
                <w:color w:val="auto"/>
              </w:rPr>
            </w:pPr>
          </w:p>
        </w:tc>
      </w:tr>
      <w:tr>
        <w:trPr>
          <w:trHeight w:val="76"/>
        </w:trPr>
        <w:tc>
          <w:tcPr>
            <w:tcW w:w="260" w:type="dxa"/>
            <w:vAlign w:val="bottom"/>
            <w:tcBorders>
              <w:top w:val="single" w:sz="8" w:color="0000EE"/>
            </w:tcBorders>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9</w:t>
              </w:r>
            </w:hyperlink>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top w:val="single" w:sz="8" w:color="0000EE"/>
            </w:tcBorders>
            <w:gridSpan w:val="25"/>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Operating Segments and</w:t>
              </w:r>
            </w:hyperlink>
          </w:p>
        </w:tc>
        <w:tc>
          <w:tcPr>
            <w:tcW w:w="5460" w:type="dxa"/>
            <w:vAlign w:val="bottom"/>
            <w:gridSpan w:val="24"/>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Geographic Data</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FS-38</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360" w:type="dxa"/>
            <w:vAlign w:val="bottom"/>
            <w:gridSpan w:val="3"/>
            <w:vMerge w:val="restart"/>
          </w:tcPr>
          <w:p>
            <w:pPr>
              <w:spacing w:after="0" w:line="20" w:lineRule="exact"/>
              <w:rPr>
                <w:sz w:val="1"/>
                <w:szCs w:val="1"/>
                <w:color w:val="auto"/>
              </w:rPr>
            </w:pPr>
          </w:p>
        </w:tc>
        <w:tc>
          <w:tcPr>
            <w:tcW w:w="4340" w:type="dxa"/>
            <w:vAlign w:val="bottom"/>
            <w:gridSpan w:val="5"/>
            <w:vMerge w:val="restart"/>
          </w:tcPr>
          <w:p>
            <w:pPr>
              <w:spacing w:after="0" w:line="20" w:lineRule="exact"/>
              <w:rPr>
                <w:sz w:val="1"/>
                <w:szCs w:val="1"/>
                <w:color w:val="auto"/>
              </w:rPr>
            </w:pPr>
          </w:p>
        </w:tc>
        <w:tc>
          <w:tcPr>
            <w:tcW w:w="3520" w:type="dxa"/>
            <w:vAlign w:val="bottom"/>
            <w:vMerge w:val="restart"/>
          </w:tcPr>
          <w:p>
            <w:pPr>
              <w:ind w:left="3280"/>
              <w:spacing w:after="0" w:line="96" w:lineRule="exact"/>
              <w:rPr>
                <w:sz w:val="20"/>
                <w:szCs w:val="20"/>
                <w:color w:val="auto"/>
              </w:rPr>
            </w:pPr>
            <w:r>
              <w:rPr>
                <w:rFonts w:ascii="Arial" w:cs="Arial" w:eastAsia="Arial" w:hAnsi="Arial"/>
                <w:sz w:val="9"/>
                <w:szCs w:val="9"/>
                <w:b w:val="1"/>
                <w:bCs w:val="1"/>
                <w:color w:val="auto"/>
                <w:w w:val="89"/>
              </w:rPr>
              <w:t>FS-40</w:t>
            </w:r>
          </w:p>
        </w:tc>
        <w:tc>
          <w:tcPr>
            <w:tcW w:w="0" w:type="dxa"/>
            <w:vAlign w:val="bottom"/>
          </w:tcPr>
          <w:p>
            <w:pPr>
              <w:spacing w:after="0" w:line="20" w:lineRule="exact"/>
              <w:rPr>
                <w:sz w:val="1"/>
                <w:szCs w:val="1"/>
                <w:color w:val="auto"/>
              </w:rPr>
            </w:pPr>
          </w:p>
        </w:tc>
      </w:tr>
      <w:tr>
        <w:trPr>
          <w:trHeight w:val="76"/>
        </w:trPr>
        <w:tc>
          <w:tcPr>
            <w:tcW w:w="640" w:type="dxa"/>
            <w:vAlign w:val="bottom"/>
            <w:gridSpan w:val="3"/>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10</w:t>
              </w:r>
            </w:hyperlink>
          </w:p>
        </w:tc>
        <w:tc>
          <w:tcPr>
            <w:tcW w:w="160" w:type="dxa"/>
            <w:vAlign w:val="bottom"/>
          </w:tcPr>
          <w:p>
            <w:pPr>
              <w:spacing w:after="0"/>
              <w:rPr>
                <w:sz w:val="6"/>
                <w:szCs w:val="6"/>
                <w:color w:val="auto"/>
              </w:rPr>
            </w:pPr>
          </w:p>
        </w:tc>
        <w:tc>
          <w:tcPr>
            <w:tcW w:w="1700" w:type="dxa"/>
            <w:vAlign w:val="bottom"/>
            <w:gridSpan w:val="39"/>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Lease Commitments</w:t>
              </w:r>
            </w:hyperlink>
          </w:p>
        </w:tc>
        <w:tc>
          <w:tcPr>
            <w:tcW w:w="80" w:type="dxa"/>
            <w:vAlign w:val="bottom"/>
            <w:gridSpan w:val="2"/>
            <w:vMerge w:val="continue"/>
          </w:tcPr>
          <w:p>
            <w:pPr>
              <w:spacing w:after="0"/>
              <w:rPr>
                <w:sz w:val="6"/>
                <w:szCs w:val="6"/>
                <w:color w:val="auto"/>
              </w:rPr>
            </w:pPr>
          </w:p>
        </w:tc>
        <w:tc>
          <w:tcPr>
            <w:tcW w:w="360" w:type="dxa"/>
            <w:vAlign w:val="bottom"/>
            <w:gridSpan w:val="3"/>
            <w:vMerge w:val="continue"/>
          </w:tcPr>
          <w:p>
            <w:pPr>
              <w:spacing w:after="0"/>
              <w:rPr>
                <w:sz w:val="6"/>
                <w:szCs w:val="6"/>
                <w:color w:val="auto"/>
              </w:rPr>
            </w:pPr>
          </w:p>
        </w:tc>
        <w:tc>
          <w:tcPr>
            <w:tcW w:w="4340" w:type="dxa"/>
            <w:vAlign w:val="bottom"/>
            <w:gridSpan w:val="5"/>
            <w:vMerge w:val="continue"/>
          </w:tcPr>
          <w:p>
            <w:pPr>
              <w:spacing w:after="0"/>
              <w:rPr>
                <w:sz w:val="6"/>
                <w:szCs w:val="6"/>
                <w:color w:val="auto"/>
              </w:rPr>
            </w:pPr>
          </w:p>
        </w:tc>
        <w:tc>
          <w:tcPr>
            <w:tcW w:w="3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11</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Borders>
              <w:top w:val="single" w:sz="8" w:color="0000EE"/>
            </w:tcBorders>
            <w:gridSpan w:val="23"/>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Restructuring and</w:t>
              </w:r>
            </w:hyperlink>
          </w:p>
        </w:tc>
        <w:tc>
          <w:tcPr>
            <w:tcW w:w="5640" w:type="dxa"/>
            <w:vAlign w:val="bottom"/>
            <w:gridSpan w:val="26"/>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Reorganization Costs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FS-41</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bottom w:val="single" w:sz="8" w:color="0000EE"/>
            </w:tcBorders>
            <w:gridSpan w:val="2"/>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12</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Borders>
              <w:top w:val="single" w:sz="8" w:color="0000EE"/>
              <w:bottom w:val="single" w:sz="8" w:color="0000EE"/>
            </w:tcBorders>
            <w:gridSpan w:val="27"/>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Investments and Advances</w:t>
              </w:r>
            </w:hyperlink>
          </w:p>
        </w:tc>
        <w:tc>
          <w:tcPr>
            <w:tcW w:w="540" w:type="dxa"/>
            <w:vAlign w:val="bottom"/>
            <w:tcBorders>
              <w:top w:val="single" w:sz="8" w:color="0000EE"/>
            </w:tcBorders>
            <w:gridSpan w:val="11"/>
          </w:tcPr>
          <w:p>
            <w:pPr>
              <w:spacing w:after="0"/>
              <w:rPr>
                <w:sz w:val="6"/>
                <w:szCs w:val="6"/>
                <w:color w:val="auto"/>
              </w:rPr>
            </w:pPr>
          </w:p>
        </w:tc>
        <w:tc>
          <w:tcPr>
            <w:tcW w:w="140" w:type="dxa"/>
            <w:vAlign w:val="bottom"/>
            <w:gridSpan w:val="3"/>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FS-41</w:t>
            </w:r>
          </w:p>
        </w:tc>
        <w:tc>
          <w:tcPr>
            <w:tcW w:w="0" w:type="dxa"/>
            <w:vAlign w:val="bottom"/>
          </w:tcPr>
          <w:p>
            <w:pPr>
              <w:spacing w:after="0"/>
              <w:rPr>
                <w:sz w:val="1"/>
                <w:szCs w:val="1"/>
                <w:color w:val="auto"/>
              </w:rPr>
            </w:pPr>
          </w:p>
        </w:tc>
      </w:tr>
      <w:tr>
        <w:trPr>
          <w:trHeight w:val="76"/>
        </w:trPr>
        <w:tc>
          <w:tcPr>
            <w:tcW w:w="320" w:type="dxa"/>
            <w:vAlign w:val="bottom"/>
            <w:gridSpan w:val="2"/>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Note 13</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80" w:type="dxa"/>
            <w:vAlign w:val="bottom"/>
            <w:gridSpan w:val="49"/>
          </w:tcPr>
          <w:p>
            <w:pPr>
              <w:spacing w:after="0" w:line="76" w:lineRule="exact"/>
              <w:rPr>
                <w:rFonts w:ascii="Arial" w:cs="Arial" w:eastAsia="Arial" w:hAnsi="Arial"/>
                <w:sz w:val="8"/>
                <w:szCs w:val="8"/>
                <w:color w:val="0000EE"/>
              </w:rPr>
            </w:pPr>
            <w:hyperlink w:anchor="page35">
              <w:r>
                <w:rPr>
                  <w:rFonts w:ascii="Arial" w:cs="Arial" w:eastAsia="Arial" w:hAnsi="Arial"/>
                  <w:sz w:val="8"/>
                  <w:szCs w:val="8"/>
                  <w:color w:val="0000EE"/>
                </w:rPr>
                <w:t>Properties, Plant and Equipment</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FS-43</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bottom w:val="single" w:sz="8" w:color="0000EE"/>
            </w:tcBorders>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14</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top w:val="single" w:sz="8" w:color="0000EE"/>
              <w:bottom w:val="single" w:sz="8" w:color="0000EE"/>
            </w:tcBorders>
            <w:gridSpan w:val="33"/>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Accounting for Buy/Sell Contracts</w:t>
              </w:r>
            </w:hyperlink>
          </w:p>
        </w:tc>
        <w:tc>
          <w:tcPr>
            <w:tcW w:w="40" w:type="dxa"/>
            <w:vAlign w:val="bottom"/>
            <w:tcBorders>
              <w:bottom w:val="single" w:sz="8" w:color="0000EE"/>
            </w:tcBorders>
          </w:tcPr>
          <w:p>
            <w:pPr>
              <w:spacing w:after="0"/>
              <w:rPr>
                <w:sz w:val="6"/>
                <w:szCs w:val="6"/>
                <w:color w:val="auto"/>
              </w:rPr>
            </w:pPr>
          </w:p>
        </w:tc>
        <w:tc>
          <w:tcPr>
            <w:tcW w:w="24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gridSpan w:val="3"/>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FS-43</w:t>
            </w:r>
          </w:p>
        </w:tc>
        <w:tc>
          <w:tcPr>
            <w:tcW w:w="0" w:type="dxa"/>
            <w:vAlign w:val="bottom"/>
          </w:tcPr>
          <w:p>
            <w:pPr>
              <w:spacing w:after="0"/>
              <w:rPr>
                <w:sz w:val="1"/>
                <w:szCs w:val="1"/>
                <w:color w:val="auto"/>
              </w:rPr>
            </w:pPr>
          </w:p>
        </w:tc>
      </w:tr>
      <w:tr>
        <w:trPr>
          <w:trHeight w:val="76"/>
        </w:trPr>
        <w:tc>
          <w:tcPr>
            <w:tcW w:w="320" w:type="dxa"/>
            <w:vAlign w:val="bottom"/>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15</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34"/>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Litigation</w:t>
              </w:r>
            </w:hyperlink>
          </w:p>
        </w:tc>
        <w:tc>
          <w:tcPr>
            <w:tcW w:w="24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gridSpan w:val="3"/>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FS-44</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bottom w:val="single" w:sz="8" w:color="0000EE"/>
            </w:tcBorders>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16</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top w:val="single" w:sz="8" w:color="0000EE"/>
              <w:bottom w:val="single" w:sz="8" w:color="0000EE"/>
            </w:tcBorders>
            <w:gridSpan w:val="6"/>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Taxes</w:t>
              </w:r>
            </w:hyperlink>
          </w:p>
        </w:tc>
        <w:tc>
          <w:tcPr>
            <w:tcW w:w="120" w:type="dxa"/>
            <w:vAlign w:val="bottom"/>
            <w:tcBorders>
              <w:top w:val="single" w:sz="8" w:color="0000EE"/>
            </w:tcBorders>
            <w:gridSpan w:val="3"/>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gridSpan w:val="8"/>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80" w:type="dxa"/>
            <w:vAlign w:val="bottom"/>
            <w:gridSpan w:val="3"/>
          </w:tcPr>
          <w:p>
            <w:pPr>
              <w:spacing w:after="0"/>
              <w:rPr>
                <w:sz w:val="6"/>
                <w:szCs w:val="6"/>
                <w:color w:val="auto"/>
              </w:rPr>
            </w:pPr>
          </w:p>
        </w:tc>
        <w:tc>
          <w:tcPr>
            <w:tcW w:w="14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420" w:type="dxa"/>
            <w:vAlign w:val="bottom"/>
            <w:gridSpan w:val="7"/>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gridSpan w:val="3"/>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FS-45</w:t>
            </w:r>
          </w:p>
        </w:tc>
        <w:tc>
          <w:tcPr>
            <w:tcW w:w="0" w:type="dxa"/>
            <w:vAlign w:val="bottom"/>
          </w:tcPr>
          <w:p>
            <w:pPr>
              <w:spacing w:after="0"/>
              <w:rPr>
                <w:sz w:val="1"/>
                <w:szCs w:val="1"/>
                <w:color w:val="auto"/>
              </w:rPr>
            </w:pPr>
          </w:p>
        </w:tc>
      </w:tr>
      <w:tr>
        <w:trPr>
          <w:trHeight w:val="76"/>
        </w:trPr>
        <w:tc>
          <w:tcPr>
            <w:tcW w:w="320" w:type="dxa"/>
            <w:vAlign w:val="bottom"/>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17</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80" w:type="dxa"/>
            <w:vAlign w:val="bottom"/>
            <w:gridSpan w:val="49"/>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Short-Term Debt</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FS-47</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18</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0000EE"/>
            </w:tcBorders>
            <w:gridSpan w:val="19"/>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Long-Term Debt</w:t>
              </w:r>
            </w:hyperlink>
          </w:p>
        </w:tc>
        <w:tc>
          <w:tcPr>
            <w:tcW w:w="100" w:type="dxa"/>
            <w:vAlign w:val="bottom"/>
            <w:gridSpan w:val="2"/>
          </w:tcPr>
          <w:p>
            <w:pPr>
              <w:spacing w:after="0"/>
              <w:rPr>
                <w:sz w:val="6"/>
                <w:szCs w:val="6"/>
                <w:color w:val="auto"/>
              </w:rPr>
            </w:pPr>
          </w:p>
        </w:tc>
        <w:tc>
          <w:tcPr>
            <w:tcW w:w="180" w:type="dxa"/>
            <w:vAlign w:val="bottom"/>
            <w:gridSpan w:val="3"/>
          </w:tcPr>
          <w:p>
            <w:pPr>
              <w:spacing w:after="0"/>
              <w:rPr>
                <w:sz w:val="6"/>
                <w:szCs w:val="6"/>
                <w:color w:val="auto"/>
              </w:rPr>
            </w:pPr>
          </w:p>
        </w:tc>
        <w:tc>
          <w:tcPr>
            <w:tcW w:w="14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420" w:type="dxa"/>
            <w:vAlign w:val="bottom"/>
            <w:gridSpan w:val="7"/>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gridSpan w:val="3"/>
          </w:tcPr>
          <w:p>
            <w:pPr>
              <w:spacing w:after="0"/>
              <w:rPr>
                <w:sz w:val="6"/>
                <w:szCs w:val="6"/>
                <w:color w:val="auto"/>
              </w:rPr>
            </w:pPr>
          </w:p>
        </w:tc>
        <w:tc>
          <w:tcPr>
            <w:tcW w:w="360" w:type="dxa"/>
            <w:vAlign w:val="bottom"/>
            <w:gridSpan w:val="3"/>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FS-47</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Note 19</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top w:val="single" w:sz="8" w:color="0000EE"/>
            </w:tcBorders>
            <w:gridSpan w:val="18"/>
          </w:tcPr>
          <w:p>
            <w:pPr>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New Accounting</w:t>
              </w:r>
            </w:hyperlink>
          </w:p>
        </w:tc>
        <w:tc>
          <w:tcPr>
            <w:tcW w:w="5820" w:type="dxa"/>
            <w:vAlign w:val="bottom"/>
            <w:gridSpan w:val="31"/>
          </w:tcPr>
          <w:p>
            <w:pPr>
              <w:jc w:val="right"/>
              <w:ind w:right="5400"/>
              <w:spacing w:after="0" w:line="76" w:lineRule="exact"/>
              <w:rPr>
                <w:rFonts w:ascii="Arial" w:cs="Arial" w:eastAsia="Arial" w:hAnsi="Arial"/>
                <w:sz w:val="8"/>
                <w:szCs w:val="8"/>
                <w:color w:val="0000EE"/>
              </w:rPr>
            </w:pPr>
            <w:hyperlink w:anchor="page36">
              <w:r>
                <w:rPr>
                  <w:rFonts w:ascii="Arial" w:cs="Arial" w:eastAsia="Arial" w:hAnsi="Arial"/>
                  <w:sz w:val="8"/>
                  <w:szCs w:val="8"/>
                  <w:color w:val="0000EE"/>
                </w:rPr>
                <w:t>Standards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FS-48</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bottom w:val="single" w:sz="8" w:color="0000EE"/>
            </w:tcBorders>
            <w:gridSpan w:val="2"/>
          </w:tcPr>
          <w:p>
            <w:pPr>
              <w:spacing w:after="0" w:line="76" w:lineRule="exact"/>
              <w:rPr>
                <w:rFonts w:ascii="Arial" w:cs="Arial" w:eastAsia="Arial" w:hAnsi="Arial"/>
                <w:sz w:val="8"/>
                <w:szCs w:val="8"/>
                <w:color w:val="0000EE"/>
              </w:rPr>
            </w:pPr>
            <w:hyperlink w:anchor="page37">
              <w:r>
                <w:rPr>
                  <w:rFonts w:ascii="Arial" w:cs="Arial" w:eastAsia="Arial" w:hAnsi="Arial"/>
                  <w:sz w:val="8"/>
                  <w:szCs w:val="8"/>
                  <w:color w:val="0000EE"/>
                </w:rPr>
                <w:t>Note 20</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Borders>
              <w:top w:val="single" w:sz="8" w:color="0000EE"/>
              <w:bottom w:val="single" w:sz="8" w:color="0000EE"/>
            </w:tcBorders>
            <w:gridSpan w:val="28"/>
          </w:tcPr>
          <w:p>
            <w:pPr>
              <w:spacing w:after="0" w:line="76" w:lineRule="exact"/>
              <w:rPr>
                <w:rFonts w:ascii="Arial" w:cs="Arial" w:eastAsia="Arial" w:hAnsi="Arial"/>
                <w:sz w:val="8"/>
                <w:szCs w:val="8"/>
                <w:color w:val="0000EE"/>
              </w:rPr>
            </w:pPr>
            <w:hyperlink w:anchor="page37">
              <w:r>
                <w:rPr>
                  <w:rFonts w:ascii="Arial" w:cs="Arial" w:eastAsia="Arial" w:hAnsi="Arial"/>
                  <w:sz w:val="8"/>
                  <w:szCs w:val="8"/>
                  <w:color w:val="0000EE"/>
                </w:rPr>
                <w:t>Accounting for Suspended</w:t>
              </w:r>
            </w:hyperlink>
          </w:p>
        </w:tc>
        <w:tc>
          <w:tcPr>
            <w:tcW w:w="660" w:type="dxa"/>
            <w:vAlign w:val="bottom"/>
            <w:tcBorders>
              <w:bottom w:val="single" w:sz="8" w:color="0000EE"/>
            </w:tcBorders>
            <w:gridSpan w:val="13"/>
          </w:tcPr>
          <w:p>
            <w:pPr>
              <w:spacing w:after="0" w:line="76" w:lineRule="exact"/>
              <w:rPr>
                <w:rFonts w:ascii="Arial" w:cs="Arial" w:eastAsia="Arial" w:hAnsi="Arial"/>
                <w:sz w:val="8"/>
                <w:szCs w:val="8"/>
                <w:color w:val="0000EE"/>
              </w:rPr>
            </w:pPr>
            <w:hyperlink w:anchor="page37">
              <w:r>
                <w:rPr>
                  <w:rFonts w:ascii="Arial" w:cs="Arial" w:eastAsia="Arial" w:hAnsi="Arial"/>
                  <w:sz w:val="8"/>
                  <w:szCs w:val="8"/>
                  <w:color w:val="0000EE"/>
                </w:rPr>
                <w:t>Exploratory Wells</w:t>
              </w:r>
            </w:hyperlink>
          </w:p>
        </w:tc>
        <w:tc>
          <w:tcPr>
            <w:tcW w:w="4700" w:type="dxa"/>
            <w:vAlign w:val="bottom"/>
            <w:gridSpan w:val="8"/>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FS-48</w:t>
            </w:r>
          </w:p>
        </w:tc>
        <w:tc>
          <w:tcPr>
            <w:tcW w:w="0" w:type="dxa"/>
            <w:vAlign w:val="bottom"/>
          </w:tcPr>
          <w:p>
            <w:pPr>
              <w:spacing w:after="0"/>
              <w:rPr>
                <w:sz w:val="1"/>
                <w:szCs w:val="1"/>
                <w:color w:val="auto"/>
              </w:rPr>
            </w:pPr>
          </w:p>
        </w:tc>
      </w:tr>
      <w:tr>
        <w:trPr>
          <w:trHeight w:val="76"/>
        </w:trPr>
        <w:tc>
          <w:tcPr>
            <w:tcW w:w="320" w:type="dxa"/>
            <w:vAlign w:val="bottom"/>
            <w:gridSpan w:val="2"/>
          </w:tcPr>
          <w:p>
            <w:pPr>
              <w:spacing w:after="0" w:line="76" w:lineRule="exact"/>
              <w:rPr>
                <w:rFonts w:ascii="Arial" w:cs="Arial" w:eastAsia="Arial" w:hAnsi="Arial"/>
                <w:sz w:val="8"/>
                <w:szCs w:val="8"/>
                <w:color w:val="0000EE"/>
              </w:rPr>
            </w:pPr>
            <w:hyperlink w:anchor="page37">
              <w:r>
                <w:rPr>
                  <w:rFonts w:ascii="Arial" w:cs="Arial" w:eastAsia="Arial" w:hAnsi="Arial"/>
                  <w:sz w:val="8"/>
                  <w:szCs w:val="8"/>
                  <w:color w:val="0000EE"/>
                </w:rPr>
                <w:t>Note 21</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80" w:type="dxa"/>
            <w:vAlign w:val="bottom"/>
            <w:gridSpan w:val="49"/>
          </w:tcPr>
          <w:p>
            <w:pPr>
              <w:spacing w:after="0" w:line="76" w:lineRule="exact"/>
              <w:rPr>
                <w:rFonts w:ascii="Arial" w:cs="Arial" w:eastAsia="Arial" w:hAnsi="Arial"/>
                <w:sz w:val="8"/>
                <w:szCs w:val="8"/>
                <w:color w:val="0000EE"/>
              </w:rPr>
            </w:pPr>
            <w:hyperlink w:anchor="page37">
              <w:r>
                <w:rPr>
                  <w:rFonts w:ascii="Arial" w:cs="Arial" w:eastAsia="Arial" w:hAnsi="Arial"/>
                  <w:sz w:val="8"/>
                  <w:szCs w:val="8"/>
                  <w:color w:val="0000EE"/>
                </w:rPr>
                <w:t>Stock Options and Other Share-Based Compensation</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FS-49</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bottom w:val="single" w:sz="8" w:color="0000EE"/>
            </w:tcBorders>
            <w:gridSpan w:val="2"/>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Note 22</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Borders>
              <w:top w:val="single" w:sz="8" w:color="0000EE"/>
              <w:bottom w:val="single" w:sz="8" w:color="0000EE"/>
            </w:tcBorders>
            <w:gridSpan w:val="24"/>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Employee Benefit Plans</w:t>
              </w:r>
            </w:hyperlink>
          </w:p>
        </w:tc>
        <w:tc>
          <w:tcPr>
            <w:tcW w:w="1180" w:type="dxa"/>
            <w:vAlign w:val="bottom"/>
            <w:tcBorders>
              <w:top w:val="single" w:sz="8" w:color="0000EE"/>
            </w:tcBorders>
            <w:gridSpan w:val="20"/>
          </w:tcPr>
          <w:p>
            <w:pPr>
              <w:spacing w:after="0"/>
              <w:rPr>
                <w:sz w:val="6"/>
                <w:szCs w:val="6"/>
                <w:color w:val="auto"/>
              </w:rPr>
            </w:pPr>
          </w:p>
        </w:tc>
        <w:tc>
          <w:tcPr>
            <w:tcW w:w="4340" w:type="dxa"/>
            <w:vAlign w:val="bottom"/>
            <w:gridSpan w:val="5"/>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FS-51</w:t>
            </w:r>
          </w:p>
        </w:tc>
        <w:tc>
          <w:tcPr>
            <w:tcW w:w="0" w:type="dxa"/>
            <w:vAlign w:val="bottom"/>
          </w:tcPr>
          <w:p>
            <w:pPr>
              <w:spacing w:after="0"/>
              <w:rPr>
                <w:sz w:val="1"/>
                <w:szCs w:val="1"/>
                <w:color w:val="auto"/>
              </w:rPr>
            </w:pPr>
          </w:p>
        </w:tc>
      </w:tr>
      <w:tr>
        <w:trPr>
          <w:trHeight w:val="76"/>
        </w:trPr>
        <w:tc>
          <w:tcPr>
            <w:tcW w:w="320" w:type="dxa"/>
            <w:vAlign w:val="bottom"/>
            <w:gridSpan w:val="2"/>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Note 23</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80" w:type="dxa"/>
            <w:vAlign w:val="bottom"/>
            <w:gridSpan w:val="49"/>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Other Contingencies and Commitments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FS-56</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Note 24</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Borders>
              <w:top w:val="single" w:sz="8" w:color="0000EE"/>
            </w:tcBorders>
            <w:gridSpan w:val="37"/>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Asset Retirement Obligations</w:t>
              </w:r>
            </w:hyperlink>
          </w:p>
        </w:tc>
        <w:tc>
          <w:tcPr>
            <w:tcW w:w="60" w:type="dxa"/>
            <w:vAlign w:val="bottom"/>
          </w:tcPr>
          <w:p>
            <w:pPr>
              <w:spacing w:after="0"/>
              <w:rPr>
                <w:sz w:val="6"/>
                <w:szCs w:val="6"/>
                <w:color w:val="auto"/>
              </w:rPr>
            </w:pPr>
          </w:p>
        </w:tc>
        <w:tc>
          <w:tcPr>
            <w:tcW w:w="4840" w:type="dxa"/>
            <w:vAlign w:val="bottom"/>
            <w:gridSpan w:val="11"/>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FS-58</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Note 25</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Borders>
              <w:top w:val="single" w:sz="8" w:color="0000EE"/>
            </w:tcBorders>
            <w:gridSpan w:val="30"/>
          </w:tcPr>
          <w:p>
            <w:pPr>
              <w:spacing w:after="0" w:line="76" w:lineRule="exact"/>
              <w:rPr>
                <w:rFonts w:ascii="Arial" w:cs="Arial" w:eastAsia="Arial" w:hAnsi="Arial"/>
                <w:sz w:val="8"/>
                <w:szCs w:val="8"/>
                <w:color w:val="0000EE"/>
              </w:rPr>
            </w:pPr>
            <w:hyperlink w:anchor="page38">
              <w:r>
                <w:rPr>
                  <w:rFonts w:ascii="Arial" w:cs="Arial" w:eastAsia="Arial" w:hAnsi="Arial"/>
                  <w:sz w:val="8"/>
                  <w:szCs w:val="8"/>
                  <w:color w:val="0000EE"/>
                </w:rPr>
                <w:t>Other Financial Information</w:t>
              </w:r>
            </w:hyperlink>
          </w:p>
        </w:tc>
        <w:tc>
          <w:tcPr>
            <w:tcW w:w="480" w:type="dxa"/>
            <w:vAlign w:val="bottom"/>
            <w:gridSpan w:val="8"/>
          </w:tcPr>
          <w:p>
            <w:pPr>
              <w:spacing w:after="0"/>
              <w:rPr>
                <w:sz w:val="6"/>
                <w:szCs w:val="6"/>
                <w:color w:val="auto"/>
              </w:rPr>
            </w:pPr>
          </w:p>
        </w:tc>
        <w:tc>
          <w:tcPr>
            <w:tcW w:w="4840" w:type="dxa"/>
            <w:vAlign w:val="bottom"/>
            <w:gridSpan w:val="11"/>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FS-59</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9">
              <w:r>
                <w:rPr>
                  <w:rFonts w:ascii="Arial" w:cs="Arial" w:eastAsia="Arial" w:hAnsi="Arial"/>
                  <w:sz w:val="8"/>
                  <w:szCs w:val="8"/>
                  <w:color w:val="0000EE"/>
                </w:rPr>
                <w:t>Note 26</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Borders>
              <w:top w:val="single" w:sz="8" w:color="0000EE"/>
            </w:tcBorders>
            <w:gridSpan w:val="27"/>
          </w:tcPr>
          <w:p>
            <w:pPr>
              <w:spacing w:after="0" w:line="76" w:lineRule="exact"/>
              <w:rPr>
                <w:rFonts w:ascii="Arial" w:cs="Arial" w:eastAsia="Arial" w:hAnsi="Arial"/>
                <w:sz w:val="8"/>
                <w:szCs w:val="8"/>
                <w:color w:val="0000EE"/>
              </w:rPr>
            </w:pPr>
            <w:hyperlink w:anchor="page39">
              <w:r>
                <w:rPr>
                  <w:rFonts w:ascii="Arial" w:cs="Arial" w:eastAsia="Arial" w:hAnsi="Arial"/>
                  <w:sz w:val="8"/>
                  <w:szCs w:val="8"/>
                  <w:color w:val="0000EE"/>
                </w:rPr>
                <w:t>Assets Held for Sale</w:t>
              </w:r>
            </w:hyperlink>
          </w:p>
        </w:tc>
        <w:tc>
          <w:tcPr>
            <w:tcW w:w="540" w:type="dxa"/>
            <w:vAlign w:val="bottom"/>
            <w:gridSpan w:val="11"/>
          </w:tcPr>
          <w:p>
            <w:pPr>
              <w:spacing w:after="0"/>
              <w:rPr>
                <w:sz w:val="6"/>
                <w:szCs w:val="6"/>
                <w:color w:val="auto"/>
              </w:rPr>
            </w:pPr>
          </w:p>
        </w:tc>
        <w:tc>
          <w:tcPr>
            <w:tcW w:w="4840" w:type="dxa"/>
            <w:vAlign w:val="bottom"/>
            <w:gridSpan w:val="11"/>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FS-59</w:t>
            </w:r>
          </w:p>
        </w:tc>
        <w:tc>
          <w:tcPr>
            <w:tcW w:w="0" w:type="dxa"/>
            <w:vAlign w:val="bottom"/>
          </w:tcPr>
          <w:p>
            <w:pPr>
              <w:spacing w:after="0"/>
              <w:rPr>
                <w:sz w:val="1"/>
                <w:szCs w:val="1"/>
                <w:color w:val="auto"/>
              </w:rPr>
            </w:pPr>
          </w:p>
        </w:tc>
      </w:tr>
      <w:tr>
        <w:trPr>
          <w:trHeight w:val="76"/>
        </w:trPr>
        <w:tc>
          <w:tcPr>
            <w:tcW w:w="32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39">
              <w:r>
                <w:rPr>
                  <w:rFonts w:ascii="Arial" w:cs="Arial" w:eastAsia="Arial" w:hAnsi="Arial"/>
                  <w:sz w:val="8"/>
                  <w:szCs w:val="8"/>
                  <w:color w:val="0000EE"/>
                </w:rPr>
                <w:t>Note 27</w:t>
              </w:r>
            </w:hyperlink>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top w:val="single" w:sz="8" w:color="0000EE"/>
            </w:tcBorders>
            <w:gridSpan w:val="22"/>
          </w:tcPr>
          <w:p>
            <w:pPr>
              <w:spacing w:after="0" w:line="76" w:lineRule="exact"/>
              <w:rPr>
                <w:rFonts w:ascii="Arial" w:cs="Arial" w:eastAsia="Arial" w:hAnsi="Arial"/>
                <w:sz w:val="8"/>
                <w:szCs w:val="8"/>
                <w:color w:val="0000EE"/>
              </w:rPr>
            </w:pPr>
            <w:hyperlink w:anchor="page39">
              <w:r>
                <w:rPr>
                  <w:rFonts w:ascii="Arial" w:cs="Arial" w:eastAsia="Arial" w:hAnsi="Arial"/>
                  <w:sz w:val="8"/>
                  <w:szCs w:val="8"/>
                  <w:color w:val="0000EE"/>
                </w:rPr>
                <w:t>Earnings Per Share</w:t>
              </w:r>
            </w:hyperlink>
          </w:p>
        </w:tc>
        <w:tc>
          <w:tcPr>
            <w:tcW w:w="820" w:type="dxa"/>
            <w:vAlign w:val="bottom"/>
            <w:gridSpan w:val="16"/>
          </w:tcPr>
          <w:p>
            <w:pPr>
              <w:spacing w:after="0"/>
              <w:rPr>
                <w:sz w:val="6"/>
                <w:szCs w:val="6"/>
                <w:color w:val="auto"/>
              </w:rPr>
            </w:pPr>
          </w:p>
        </w:tc>
        <w:tc>
          <w:tcPr>
            <w:tcW w:w="4840" w:type="dxa"/>
            <w:vAlign w:val="bottom"/>
            <w:gridSpan w:val="11"/>
          </w:tcPr>
          <w:p>
            <w:pPr>
              <w:spacing w:after="0"/>
              <w:rPr>
                <w:sz w:val="6"/>
                <w:szCs w:val="6"/>
                <w:color w:val="auto"/>
              </w:rPr>
            </w:pPr>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FS-59</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10"/>
            <w:shd w:val="clear" w:color="auto" w:fill="0000EE"/>
          </w:tcPr>
          <w:p>
            <w:pPr>
              <w:spacing w:after="0" w:line="20" w:lineRule="exact"/>
              <w:rPr>
                <w:sz w:val="1"/>
                <w:szCs w:val="1"/>
                <w:color w:val="auto"/>
              </w:rPr>
            </w:pPr>
          </w:p>
        </w:tc>
        <w:tc>
          <w:tcPr>
            <w:tcW w:w="400" w:type="dxa"/>
            <w:vAlign w:val="bottom"/>
            <w:gridSpan w:val="11"/>
            <w:shd w:val="clear" w:color="auto" w:fill="0000EE"/>
          </w:tcPr>
          <w:p>
            <w:pPr>
              <w:spacing w:after="0" w:line="20" w:lineRule="exact"/>
              <w:rPr>
                <w:sz w:val="1"/>
                <w:szCs w:val="1"/>
                <w:color w:val="auto"/>
              </w:rPr>
            </w:pPr>
          </w:p>
        </w:tc>
        <w:tc>
          <w:tcPr>
            <w:tcW w:w="860" w:type="dxa"/>
            <w:vAlign w:val="bottom"/>
            <w:gridSpan w:val="17"/>
          </w:tcPr>
          <w:p>
            <w:pPr>
              <w:spacing w:after="0" w:line="20" w:lineRule="exact"/>
              <w:rPr>
                <w:sz w:val="1"/>
                <w:szCs w:val="1"/>
                <w:color w:val="auto"/>
              </w:rPr>
            </w:pPr>
          </w:p>
        </w:tc>
        <w:tc>
          <w:tcPr>
            <w:tcW w:w="4840" w:type="dxa"/>
            <w:vAlign w:val="bottom"/>
            <w:gridSpan w:val="11"/>
          </w:tcPr>
          <w:p>
            <w:pPr>
              <w:spacing w:after="0" w:line="20" w:lineRule="exact"/>
              <w:rPr>
                <w:sz w:val="1"/>
                <w:szCs w:val="1"/>
                <w:color w:val="auto"/>
              </w:rPr>
            </w:pPr>
          </w:p>
        </w:tc>
        <w:tc>
          <w:tcPr>
            <w:tcW w:w="3520" w:type="dxa"/>
            <w:vAlign w:val="bottom"/>
            <w:vMerge w:val="restart"/>
          </w:tcPr>
          <w:p>
            <w:pPr>
              <w:ind w:left="3280"/>
              <w:spacing w:after="0"/>
              <w:rPr>
                <w:sz w:val="20"/>
                <w:szCs w:val="20"/>
                <w:color w:val="auto"/>
              </w:rPr>
            </w:pPr>
            <w:r>
              <w:rPr>
                <w:rFonts w:ascii="Arial" w:cs="Arial" w:eastAsia="Arial" w:hAnsi="Arial"/>
                <w:sz w:val="9"/>
                <w:szCs w:val="9"/>
                <w:b w:val="1"/>
                <w:bCs w:val="1"/>
                <w:color w:val="auto"/>
                <w:w w:val="89"/>
              </w:rPr>
              <w:t>FS-61</w:t>
            </w:r>
          </w:p>
        </w:tc>
        <w:tc>
          <w:tcPr>
            <w:tcW w:w="0" w:type="dxa"/>
            <w:vAlign w:val="bottom"/>
          </w:tcPr>
          <w:p>
            <w:pPr>
              <w:spacing w:after="0" w:line="20" w:lineRule="exact"/>
              <w:rPr>
                <w:sz w:val="1"/>
                <w:szCs w:val="1"/>
                <w:color w:val="auto"/>
              </w:rPr>
            </w:pPr>
          </w:p>
        </w:tc>
      </w:tr>
      <w:tr>
        <w:trPr>
          <w:trHeight w:val="172"/>
        </w:trPr>
        <w:tc>
          <w:tcPr>
            <w:tcW w:w="7280" w:type="dxa"/>
            <w:vAlign w:val="bottom"/>
            <w:gridSpan w:val="53"/>
          </w:tcPr>
          <w:p>
            <w:pPr>
              <w:spacing w:after="0"/>
              <w:rPr>
                <w:rFonts w:ascii="Arial" w:cs="Arial" w:eastAsia="Arial" w:hAnsi="Arial"/>
                <w:sz w:val="9"/>
                <w:szCs w:val="9"/>
                <w:color w:val="0000EE"/>
              </w:rPr>
            </w:pPr>
            <w:hyperlink w:anchor="page40">
              <w:r>
                <w:rPr>
                  <w:rFonts w:ascii="Arial" w:cs="Arial" w:eastAsia="Arial" w:hAnsi="Arial"/>
                  <w:sz w:val="9"/>
                  <w:szCs w:val="9"/>
                  <w:color w:val="0000EE"/>
                </w:rPr>
                <w:t>Five-Year Financial Summary</w:t>
              </w:r>
            </w:hyperlink>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180" w:type="dxa"/>
            <w:vAlign w:val="bottom"/>
            <w:tcBorders>
              <w:top w:val="single" w:sz="8" w:color="0000EE"/>
            </w:tcBorders>
            <w:gridSpan w:val="14"/>
          </w:tcPr>
          <w:p>
            <w:pPr>
              <w:spacing w:after="0" w:line="76" w:lineRule="exact"/>
              <w:rPr>
                <w:rFonts w:ascii="Arial" w:cs="Arial" w:eastAsia="Arial" w:hAnsi="Arial"/>
                <w:sz w:val="8"/>
                <w:szCs w:val="8"/>
                <w:color w:val="0000EE"/>
              </w:rPr>
            </w:pPr>
            <w:hyperlink w:anchor="page41">
              <w:r>
                <w:rPr>
                  <w:rFonts w:ascii="Arial" w:cs="Arial" w:eastAsia="Arial" w:hAnsi="Arial"/>
                  <w:sz w:val="8"/>
                  <w:szCs w:val="8"/>
                  <w:color w:val="0000EE"/>
                </w:rPr>
                <w:t>Supplemental Information on</w:t>
              </w:r>
            </w:hyperlink>
          </w:p>
        </w:tc>
        <w:tc>
          <w:tcPr>
            <w:tcW w:w="6100" w:type="dxa"/>
            <w:vAlign w:val="bottom"/>
            <w:gridSpan w:val="39"/>
          </w:tcPr>
          <w:p>
            <w:pPr>
              <w:spacing w:after="0" w:line="76" w:lineRule="exact"/>
              <w:rPr>
                <w:rFonts w:ascii="Arial" w:cs="Arial" w:eastAsia="Arial" w:hAnsi="Arial"/>
                <w:sz w:val="8"/>
                <w:szCs w:val="8"/>
                <w:color w:val="0000EE"/>
              </w:rPr>
            </w:pPr>
            <w:hyperlink w:anchor="page41">
              <w:r>
                <w:rPr>
                  <w:rFonts w:ascii="Arial" w:cs="Arial" w:eastAsia="Arial" w:hAnsi="Arial"/>
                  <w:sz w:val="8"/>
                  <w:szCs w:val="8"/>
                  <w:color w:val="0000EE"/>
                </w:rPr>
                <w:t>Oil and Gas Producing Activities</w:t>
              </w:r>
            </w:hyperlink>
          </w:p>
        </w:tc>
        <w:tc>
          <w:tcPr>
            <w:tcW w:w="3520" w:type="dxa"/>
            <w:vAlign w:val="bottom"/>
          </w:tcPr>
          <w:p>
            <w:pPr>
              <w:ind w:left="3280"/>
              <w:spacing w:after="0" w:line="76" w:lineRule="exact"/>
              <w:rPr>
                <w:sz w:val="20"/>
                <w:szCs w:val="20"/>
                <w:color w:val="auto"/>
              </w:rPr>
            </w:pPr>
            <w:r>
              <w:rPr>
                <w:rFonts w:ascii="Arial" w:cs="Arial" w:eastAsia="Arial" w:hAnsi="Arial"/>
                <w:sz w:val="8"/>
                <w:szCs w:val="8"/>
                <w:b w:val="1"/>
                <w:bCs w:val="1"/>
                <w:color w:val="auto"/>
              </w:rPr>
              <w:t>FS-62</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00"/>
          </w:cols>
          <w:pgMar w:left="220" w:top="699" w:right="87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518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5990" cy="5187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0"/>
          <w:szCs w:val="10"/>
          <w:b w:val="1"/>
          <w:bCs w:val="1"/>
          <w:color w:val="auto"/>
        </w:rPr>
        <w:t>Financial Condition and Results of Operations</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Key Financial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 except per-share amounts</w:t>
            </w:r>
          </w:p>
        </w:tc>
        <w:tc>
          <w:tcPr>
            <w:tcW w:w="5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2007</w:t>
            </w:r>
          </w:p>
        </w:tc>
        <w:tc>
          <w:tcPr>
            <w:tcW w:w="26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80" w:type="dxa"/>
            <w:vAlign w:val="bottom"/>
          </w:tcPr>
          <w:p>
            <w:pPr>
              <w:spacing w:after="0" w:line="83" w:lineRule="exact"/>
              <w:rPr>
                <w:sz w:val="20"/>
                <w:szCs w:val="20"/>
                <w:color w:val="auto"/>
              </w:rPr>
            </w:pPr>
            <w:r>
              <w:rPr>
                <w:rFonts w:ascii="Arial" w:cs="Arial" w:eastAsia="Arial" w:hAnsi="Arial"/>
                <w:sz w:val="9"/>
                <w:szCs w:val="9"/>
                <w:color w:val="auto"/>
              </w:rPr>
              <w:t>Net Income</w:t>
            </w:r>
          </w:p>
        </w:tc>
        <w:tc>
          <w:tcPr>
            <w:tcW w:w="560" w:type="dxa"/>
            <w:vAlign w:val="bottom"/>
          </w:tcPr>
          <w:p>
            <w:pPr>
              <w:jc w:val="right"/>
              <w:ind w:right="110"/>
              <w:spacing w:after="0" w:line="83" w:lineRule="exact"/>
              <w:rPr>
                <w:sz w:val="20"/>
                <w:szCs w:val="20"/>
                <w:color w:val="auto"/>
              </w:rPr>
            </w:pPr>
            <w:r>
              <w:rPr>
                <w:rFonts w:ascii="Arial" w:cs="Arial" w:eastAsia="Arial" w:hAnsi="Arial"/>
                <w:sz w:val="9"/>
                <w:szCs w:val="9"/>
                <w:b w:val="1"/>
                <w:bCs w:val="1"/>
                <w:color w:val="auto"/>
              </w:rPr>
              <w:t>$</w:t>
            </w:r>
          </w:p>
        </w:tc>
        <w:tc>
          <w:tcPr>
            <w:tcW w:w="660" w:type="dxa"/>
            <w:vAlign w:val="bottom"/>
            <w:tcBorders>
              <w:right w:val="single" w:sz="8" w:color="0077C0"/>
            </w:tcBorders>
          </w:tcPr>
          <w:p>
            <w:pPr>
              <w:jc w:val="right"/>
              <w:ind w:right="229"/>
              <w:spacing w:after="0" w:line="83" w:lineRule="exact"/>
              <w:rPr>
                <w:sz w:val="20"/>
                <w:szCs w:val="20"/>
                <w:color w:val="auto"/>
              </w:rPr>
            </w:pPr>
            <w:r>
              <w:rPr>
                <w:rFonts w:ascii="Arial" w:cs="Arial" w:eastAsia="Arial" w:hAnsi="Arial"/>
                <w:sz w:val="9"/>
                <w:szCs w:val="9"/>
                <w:b w:val="1"/>
                <w:bCs w:val="1"/>
                <w:color w:val="auto"/>
              </w:rPr>
              <w:t>23,931</w:t>
            </w:r>
          </w:p>
        </w:tc>
        <w:tc>
          <w:tcPr>
            <w:tcW w:w="360" w:type="dxa"/>
            <w:vAlign w:val="bottom"/>
            <w:gridSpan w:val="2"/>
          </w:tcPr>
          <w:p>
            <w:pPr>
              <w:jc w:val="right"/>
              <w:ind w:right="109"/>
              <w:spacing w:after="0" w:line="83"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129"/>
              <w:spacing w:after="0" w:line="83" w:lineRule="exact"/>
              <w:rPr>
                <w:sz w:val="20"/>
                <w:szCs w:val="20"/>
                <w:color w:val="auto"/>
              </w:rPr>
            </w:pPr>
            <w:r>
              <w:rPr>
                <w:rFonts w:ascii="Arial" w:cs="Arial" w:eastAsia="Arial" w:hAnsi="Arial"/>
                <w:sz w:val="9"/>
                <w:szCs w:val="9"/>
                <w:color w:val="auto"/>
              </w:rPr>
              <w:t>18,688</w:t>
            </w:r>
          </w:p>
        </w:tc>
        <w:tc>
          <w:tcPr>
            <w:tcW w:w="260" w:type="dxa"/>
            <w:vAlign w:val="bottom"/>
          </w:tcPr>
          <w:p>
            <w:pPr>
              <w:jc w:val="right"/>
              <w:ind w:right="90"/>
              <w:spacing w:after="0" w:line="83" w:lineRule="exact"/>
              <w:rPr>
                <w:sz w:val="20"/>
                <w:szCs w:val="20"/>
                <w:color w:val="auto"/>
              </w:rPr>
            </w:pPr>
            <w:r>
              <w:rPr>
                <w:rFonts w:ascii="Arial" w:cs="Arial" w:eastAsia="Arial" w:hAnsi="Arial"/>
                <w:sz w:val="9"/>
                <w:szCs w:val="9"/>
                <w:color w:val="auto"/>
              </w:rPr>
              <w:t>$</w:t>
            </w:r>
          </w:p>
        </w:tc>
        <w:tc>
          <w:tcPr>
            <w:tcW w:w="420" w:type="dxa"/>
            <w:vAlign w:val="bottom"/>
          </w:tcPr>
          <w:p>
            <w:pPr>
              <w:jc w:val="right"/>
              <w:spacing w:after="0" w:line="83" w:lineRule="exact"/>
              <w:rPr>
                <w:sz w:val="20"/>
                <w:szCs w:val="20"/>
                <w:color w:val="auto"/>
              </w:rPr>
            </w:pPr>
            <w:r>
              <w:rPr>
                <w:rFonts w:ascii="Arial" w:cs="Arial" w:eastAsia="Arial" w:hAnsi="Arial"/>
                <w:sz w:val="9"/>
                <w:szCs w:val="9"/>
                <w:color w:val="auto"/>
              </w:rPr>
              <w:t>17,138</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80" w:type="dxa"/>
            <w:vAlign w:val="bottom"/>
          </w:tcPr>
          <w:p>
            <w:pPr>
              <w:spacing w:after="0" w:line="106" w:lineRule="exact"/>
              <w:rPr>
                <w:sz w:val="20"/>
                <w:szCs w:val="20"/>
                <w:color w:val="auto"/>
              </w:rPr>
            </w:pPr>
            <w:r>
              <w:rPr>
                <w:rFonts w:ascii="Arial" w:cs="Arial" w:eastAsia="Arial" w:hAnsi="Arial"/>
                <w:sz w:val="10"/>
                <w:szCs w:val="10"/>
                <w:color w:val="auto"/>
              </w:rPr>
              <w:t>Per Share Amounts:</w:t>
            </w:r>
          </w:p>
        </w:tc>
        <w:tc>
          <w:tcPr>
            <w:tcW w:w="56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vMerge w:val="restart"/>
          </w:tcPr>
          <w:p>
            <w:pPr>
              <w:jc w:val="right"/>
              <w:ind w:right="229"/>
              <w:spacing w:after="0"/>
              <w:rPr>
                <w:sz w:val="20"/>
                <w:szCs w:val="20"/>
                <w:color w:val="auto"/>
              </w:rPr>
            </w:pPr>
            <w:r>
              <w:rPr>
                <w:rFonts w:ascii="Arial" w:cs="Arial" w:eastAsia="Arial" w:hAnsi="Arial"/>
                <w:sz w:val="10"/>
                <w:szCs w:val="10"/>
                <w:b w:val="1"/>
                <w:bCs w:val="1"/>
                <w:color w:val="auto"/>
              </w:rPr>
              <w:t>11.74</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80" w:type="dxa"/>
            <w:vAlign w:val="bottom"/>
          </w:tcPr>
          <w:p>
            <w:pPr>
              <w:ind w:left="100"/>
              <w:spacing w:after="0" w:line="104" w:lineRule="exact"/>
              <w:rPr>
                <w:sz w:val="20"/>
                <w:szCs w:val="20"/>
                <w:color w:val="auto"/>
              </w:rPr>
            </w:pPr>
            <w:r>
              <w:rPr>
                <w:rFonts w:ascii="Arial" w:cs="Arial" w:eastAsia="Arial" w:hAnsi="Arial"/>
                <w:sz w:val="10"/>
                <w:szCs w:val="10"/>
                <w:color w:val="auto"/>
              </w:rPr>
              <w:t>Net Income – Basic</w:t>
            </w:r>
          </w:p>
        </w:tc>
        <w:tc>
          <w:tcPr>
            <w:tcW w:w="560" w:type="dxa"/>
            <w:vAlign w:val="bottom"/>
            <w:vMerge w:val="continue"/>
          </w:tcPr>
          <w:p>
            <w:pPr>
              <w:spacing w:after="0"/>
              <w:rPr>
                <w:sz w:val="9"/>
                <w:szCs w:val="9"/>
                <w:color w:val="auto"/>
              </w:rPr>
            </w:pPr>
          </w:p>
        </w:tc>
        <w:tc>
          <w:tcPr>
            <w:tcW w:w="660" w:type="dxa"/>
            <w:vAlign w:val="bottom"/>
            <w:tcBorders>
              <w:right w:val="single" w:sz="8" w:color="0077C0"/>
            </w:tcBorders>
            <w:vMerge w:val="continue"/>
          </w:tcPr>
          <w:p>
            <w:pPr>
              <w:spacing w:after="0"/>
              <w:rPr>
                <w:sz w:val="9"/>
                <w:szCs w:val="9"/>
                <w:color w:val="auto"/>
              </w:rPr>
            </w:pPr>
          </w:p>
        </w:tc>
        <w:tc>
          <w:tcPr>
            <w:tcW w:w="360" w:type="dxa"/>
            <w:vAlign w:val="bottom"/>
            <w:gridSpan w:val="2"/>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8.83</w:t>
            </w:r>
          </w:p>
        </w:tc>
        <w:tc>
          <w:tcPr>
            <w:tcW w:w="260" w:type="dxa"/>
            <w:vAlign w:val="bottom"/>
          </w:tcPr>
          <w:p>
            <w:pPr>
              <w:jc w:val="right"/>
              <w:ind w:right="90"/>
              <w:spacing w:after="0" w:line="104"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4" w:lineRule="exact"/>
              <w:rPr>
                <w:sz w:val="20"/>
                <w:szCs w:val="20"/>
                <w:color w:val="auto"/>
              </w:rPr>
            </w:pPr>
            <w:r>
              <w:rPr>
                <w:rFonts w:ascii="Arial" w:cs="Arial" w:eastAsia="Arial" w:hAnsi="Arial"/>
                <w:sz w:val="10"/>
                <w:szCs w:val="10"/>
                <w:color w:val="auto"/>
              </w:rPr>
              <w:t>7.84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580" w:type="dxa"/>
            <w:vAlign w:val="bottom"/>
          </w:tcPr>
          <w:p>
            <w:pPr>
              <w:ind w:left="600"/>
              <w:spacing w:after="0" w:line="106" w:lineRule="exact"/>
              <w:rPr>
                <w:sz w:val="20"/>
                <w:szCs w:val="20"/>
                <w:color w:val="auto"/>
              </w:rPr>
            </w:pPr>
            <w:r>
              <w:rPr>
                <w:rFonts w:ascii="Arial" w:cs="Arial" w:eastAsia="Arial" w:hAnsi="Arial"/>
                <w:sz w:val="10"/>
                <w:szCs w:val="10"/>
                <w:color w:val="auto"/>
              </w:rPr>
              <w:t>– Diluted</w:t>
            </w:r>
          </w:p>
        </w:tc>
        <w:tc>
          <w:tcPr>
            <w:tcW w:w="560" w:type="dxa"/>
            <w:vAlign w:val="bottom"/>
          </w:tcPr>
          <w:p>
            <w:pPr>
              <w:jc w:val="right"/>
              <w:ind w:right="110"/>
              <w:spacing w:after="0" w:line="106" w:lineRule="exact"/>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tcPr>
          <w:p>
            <w:pPr>
              <w:jc w:val="right"/>
              <w:ind w:right="229"/>
              <w:spacing w:after="0" w:line="106" w:lineRule="exact"/>
              <w:rPr>
                <w:sz w:val="20"/>
                <w:szCs w:val="20"/>
                <w:color w:val="auto"/>
              </w:rPr>
            </w:pPr>
            <w:r>
              <w:rPr>
                <w:rFonts w:ascii="Arial" w:cs="Arial" w:eastAsia="Arial" w:hAnsi="Arial"/>
                <w:sz w:val="10"/>
                <w:szCs w:val="10"/>
                <w:b w:val="1"/>
                <w:bCs w:val="1"/>
                <w:color w:val="auto"/>
              </w:rPr>
              <w:t>11.67</w:t>
            </w:r>
          </w:p>
        </w:tc>
        <w:tc>
          <w:tcPr>
            <w:tcW w:w="360" w:type="dxa"/>
            <w:vAlign w:val="bottom"/>
            <w:gridSpan w:val="2"/>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8.77</w:t>
            </w:r>
          </w:p>
        </w:tc>
        <w:tc>
          <w:tcPr>
            <w:tcW w:w="26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7.80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Arial" w:cs="Arial" w:eastAsia="Arial" w:hAnsi="Arial"/>
                <w:sz w:val="10"/>
                <w:szCs w:val="10"/>
                <w:color w:val="auto"/>
              </w:rPr>
              <w:t>Dividends</w:t>
            </w:r>
          </w:p>
        </w:tc>
        <w:tc>
          <w:tcPr>
            <w:tcW w:w="560" w:type="dxa"/>
            <w:vAlign w:val="bottom"/>
          </w:tcPr>
          <w:p>
            <w:pPr>
              <w:jc w:val="right"/>
              <w:ind w:right="110"/>
              <w:spacing w:after="0" w:line="108" w:lineRule="exact"/>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tcPr>
          <w:p>
            <w:pPr>
              <w:jc w:val="right"/>
              <w:ind w:right="229"/>
              <w:spacing w:after="0" w:line="108" w:lineRule="exact"/>
              <w:rPr>
                <w:sz w:val="20"/>
                <w:szCs w:val="20"/>
                <w:color w:val="auto"/>
              </w:rPr>
            </w:pPr>
            <w:r>
              <w:rPr>
                <w:rFonts w:ascii="Arial" w:cs="Arial" w:eastAsia="Arial" w:hAnsi="Arial"/>
                <w:sz w:val="10"/>
                <w:szCs w:val="10"/>
                <w:b w:val="1"/>
                <w:bCs w:val="1"/>
                <w:color w:val="auto"/>
              </w:rPr>
              <w:t>2.53</w:t>
            </w:r>
          </w:p>
        </w:tc>
        <w:tc>
          <w:tcPr>
            <w:tcW w:w="360" w:type="dxa"/>
            <w:vAlign w:val="bottom"/>
            <w:gridSpan w:val="2"/>
          </w:tcPr>
          <w:p>
            <w:pPr>
              <w:jc w:val="right"/>
              <w:ind w:right="109"/>
              <w:spacing w:after="0" w:line="108"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129"/>
              <w:spacing w:after="0" w:line="108" w:lineRule="exact"/>
              <w:rPr>
                <w:sz w:val="20"/>
                <w:szCs w:val="20"/>
                <w:color w:val="auto"/>
              </w:rPr>
            </w:pPr>
            <w:r>
              <w:rPr>
                <w:rFonts w:ascii="Arial" w:cs="Arial" w:eastAsia="Arial" w:hAnsi="Arial"/>
                <w:sz w:val="10"/>
                <w:szCs w:val="10"/>
                <w:color w:val="auto"/>
              </w:rPr>
              <w:t>2.26</w:t>
            </w:r>
          </w:p>
        </w:tc>
        <w:tc>
          <w:tcPr>
            <w:tcW w:w="260" w:type="dxa"/>
            <w:vAlign w:val="bottom"/>
          </w:tcPr>
          <w:p>
            <w:pPr>
              <w:jc w:val="right"/>
              <w:ind w:right="90"/>
              <w:spacing w:after="0" w:line="108"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2.01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580" w:type="dxa"/>
            <w:vAlign w:val="bottom"/>
          </w:tcPr>
          <w:p>
            <w:pPr>
              <w:spacing w:after="0" w:line="106" w:lineRule="exact"/>
              <w:rPr>
                <w:sz w:val="20"/>
                <w:szCs w:val="20"/>
                <w:color w:val="auto"/>
              </w:rPr>
            </w:pPr>
            <w:r>
              <w:rPr>
                <w:rFonts w:ascii="Arial" w:cs="Arial" w:eastAsia="Arial" w:hAnsi="Arial"/>
                <w:sz w:val="10"/>
                <w:szCs w:val="10"/>
                <w:color w:val="auto"/>
              </w:rPr>
              <w:t>Sales and Other</w:t>
            </w:r>
          </w:p>
        </w:tc>
        <w:tc>
          <w:tcPr>
            <w:tcW w:w="56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vMerge w:val="restart"/>
          </w:tcPr>
          <w:p>
            <w:pPr>
              <w:jc w:val="right"/>
              <w:ind w:right="229"/>
              <w:spacing w:after="0"/>
              <w:rPr>
                <w:sz w:val="20"/>
                <w:szCs w:val="20"/>
                <w:color w:val="auto"/>
              </w:rPr>
            </w:pPr>
            <w:r>
              <w:rPr>
                <w:rFonts w:ascii="Arial" w:cs="Arial" w:eastAsia="Arial" w:hAnsi="Arial"/>
                <w:sz w:val="10"/>
                <w:szCs w:val="10"/>
                <w:b w:val="1"/>
                <w:bCs w:val="1"/>
                <w:color w:val="auto"/>
                <w:w w:val="99"/>
              </w:rPr>
              <w:t>264,958</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580" w:type="dxa"/>
            <w:vAlign w:val="bottom"/>
          </w:tcPr>
          <w:p>
            <w:pPr>
              <w:ind w:left="100"/>
              <w:spacing w:after="0" w:line="106" w:lineRule="exact"/>
              <w:rPr>
                <w:sz w:val="20"/>
                <w:szCs w:val="20"/>
                <w:color w:val="auto"/>
              </w:rPr>
            </w:pPr>
            <w:r>
              <w:rPr>
                <w:rFonts w:ascii="Arial" w:cs="Arial" w:eastAsia="Arial" w:hAnsi="Arial"/>
                <w:sz w:val="10"/>
                <w:szCs w:val="10"/>
                <w:color w:val="auto"/>
              </w:rPr>
              <w:t>Operating Revenues</w:t>
            </w:r>
          </w:p>
        </w:tc>
        <w:tc>
          <w:tcPr>
            <w:tcW w:w="560" w:type="dxa"/>
            <w:vAlign w:val="bottom"/>
            <w:vMerge w:val="continue"/>
          </w:tcPr>
          <w:p>
            <w:pPr>
              <w:spacing w:after="0"/>
              <w:rPr>
                <w:sz w:val="9"/>
                <w:szCs w:val="9"/>
                <w:color w:val="auto"/>
              </w:rPr>
            </w:pPr>
          </w:p>
        </w:tc>
        <w:tc>
          <w:tcPr>
            <w:tcW w:w="660" w:type="dxa"/>
            <w:vAlign w:val="bottom"/>
            <w:tcBorders>
              <w:right w:val="single" w:sz="8" w:color="0077C0"/>
            </w:tcBorders>
            <w:vMerge w:val="continue"/>
          </w:tcPr>
          <w:p>
            <w:pPr>
              <w:spacing w:after="0"/>
              <w:rPr>
                <w:sz w:val="9"/>
                <w:szCs w:val="9"/>
                <w:color w:val="auto"/>
              </w:rPr>
            </w:pPr>
          </w:p>
        </w:tc>
        <w:tc>
          <w:tcPr>
            <w:tcW w:w="360" w:type="dxa"/>
            <w:vAlign w:val="bottom"/>
            <w:gridSpan w:val="2"/>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214,091</w:t>
            </w:r>
          </w:p>
        </w:tc>
        <w:tc>
          <w:tcPr>
            <w:tcW w:w="26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204,892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580" w:type="dxa"/>
            <w:vAlign w:val="bottom"/>
          </w:tcPr>
          <w:p>
            <w:pPr>
              <w:spacing w:after="0" w:line="106" w:lineRule="exact"/>
              <w:rPr>
                <w:sz w:val="20"/>
                <w:szCs w:val="20"/>
                <w:color w:val="auto"/>
              </w:rPr>
            </w:pPr>
            <w:r>
              <w:rPr>
                <w:rFonts w:ascii="Arial" w:cs="Arial" w:eastAsia="Arial" w:hAnsi="Arial"/>
                <w:sz w:val="10"/>
                <w:szCs w:val="10"/>
                <w:color w:val="auto"/>
              </w:rPr>
              <w:t>Return on:</w:t>
            </w:r>
          </w:p>
        </w:tc>
        <w:tc>
          <w:tcPr>
            <w:tcW w:w="560" w:type="dxa"/>
            <w:vAlign w:val="bottom"/>
          </w:tcPr>
          <w:p>
            <w:pPr>
              <w:spacing w:after="0"/>
              <w:rPr>
                <w:sz w:val="9"/>
                <w:szCs w:val="9"/>
                <w:color w:val="auto"/>
              </w:rPr>
            </w:pPr>
          </w:p>
        </w:tc>
        <w:tc>
          <w:tcPr>
            <w:tcW w:w="6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26.6%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80" w:type="dxa"/>
            <w:vAlign w:val="bottom"/>
          </w:tcPr>
          <w:p>
            <w:pPr>
              <w:ind w:left="100"/>
              <w:spacing w:after="0" w:line="104" w:lineRule="exact"/>
              <w:rPr>
                <w:sz w:val="20"/>
                <w:szCs w:val="20"/>
                <w:color w:val="auto"/>
              </w:rPr>
            </w:pPr>
            <w:r>
              <w:rPr>
                <w:rFonts w:ascii="Arial" w:cs="Arial" w:eastAsia="Arial" w:hAnsi="Arial"/>
                <w:sz w:val="10"/>
                <w:szCs w:val="10"/>
                <w:color w:val="auto"/>
              </w:rPr>
              <w:t>Average Capital Employed</w:t>
            </w:r>
          </w:p>
        </w:tc>
        <w:tc>
          <w:tcPr>
            <w:tcW w:w="560" w:type="dxa"/>
            <w:vAlign w:val="bottom"/>
          </w:tcPr>
          <w:p>
            <w:pPr>
              <w:spacing w:after="0"/>
              <w:rPr>
                <w:sz w:val="9"/>
                <w:szCs w:val="9"/>
                <w:color w:val="auto"/>
              </w:rPr>
            </w:pPr>
          </w:p>
        </w:tc>
        <w:tc>
          <w:tcPr>
            <w:tcW w:w="660" w:type="dxa"/>
            <w:vAlign w:val="bottom"/>
            <w:tcBorders>
              <w:right w:val="single" w:sz="8" w:color="0077C0"/>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49"/>
              <w:spacing w:after="0" w:line="104" w:lineRule="exact"/>
              <w:rPr>
                <w:sz w:val="20"/>
                <w:szCs w:val="20"/>
                <w:color w:val="auto"/>
              </w:rPr>
            </w:pPr>
            <w:r>
              <w:rPr>
                <w:rFonts w:ascii="Arial" w:cs="Arial" w:eastAsia="Arial" w:hAnsi="Arial"/>
                <w:sz w:val="10"/>
                <w:szCs w:val="10"/>
                <w:color w:val="auto"/>
              </w:rPr>
              <w:t>23.1%</w:t>
            </w:r>
          </w:p>
        </w:tc>
        <w:tc>
          <w:tcPr>
            <w:tcW w:w="260" w:type="dxa"/>
            <w:vAlign w:val="bottom"/>
          </w:tcPr>
          <w:p>
            <w:pPr>
              <w:spacing w:after="0"/>
              <w:rPr>
                <w:sz w:val="9"/>
                <w:szCs w:val="9"/>
                <w:color w:val="auto"/>
              </w:rPr>
            </w:pPr>
          </w:p>
        </w:tc>
        <w:tc>
          <w:tcPr>
            <w:tcW w:w="500" w:type="dxa"/>
            <w:vAlign w:val="bottom"/>
            <w:gridSpan w:val="3"/>
          </w:tcPr>
          <w:p>
            <w:pPr>
              <w:jc w:val="right"/>
              <w:spacing w:after="0" w:line="104" w:lineRule="exact"/>
              <w:rPr>
                <w:sz w:val="20"/>
                <w:szCs w:val="20"/>
                <w:color w:val="auto"/>
              </w:rPr>
            </w:pPr>
            <w:r>
              <w:rPr>
                <w:rFonts w:ascii="Arial" w:cs="Arial" w:eastAsia="Arial" w:hAnsi="Arial"/>
                <w:sz w:val="10"/>
                <w:szCs w:val="10"/>
                <w:color w:val="auto"/>
              </w:rPr>
              <w:t>22.6%</w:t>
            </w:r>
          </w:p>
        </w:tc>
        <w:tc>
          <w:tcPr>
            <w:tcW w:w="0" w:type="dxa"/>
            <w:vAlign w:val="bottom"/>
          </w:tcPr>
          <w:p>
            <w:pPr>
              <w:spacing w:after="0"/>
              <w:rPr>
                <w:sz w:val="1"/>
                <w:szCs w:val="1"/>
                <w:color w:val="auto"/>
              </w:rPr>
            </w:pPr>
          </w:p>
        </w:tc>
      </w:tr>
      <w:tr>
        <w:trPr>
          <w:trHeight w:val="129"/>
        </w:trPr>
        <w:tc>
          <w:tcPr>
            <w:tcW w:w="2580" w:type="dxa"/>
            <w:vAlign w:val="bottom"/>
          </w:tcPr>
          <w:p>
            <w:pPr>
              <w:ind w:left="100"/>
              <w:spacing w:after="0"/>
              <w:rPr>
                <w:sz w:val="20"/>
                <w:szCs w:val="20"/>
                <w:color w:val="auto"/>
              </w:rPr>
            </w:pPr>
            <w:r>
              <w:rPr>
                <w:rFonts w:ascii="Arial" w:cs="Arial" w:eastAsia="Arial" w:hAnsi="Arial"/>
                <w:sz w:val="10"/>
                <w:szCs w:val="10"/>
                <w:color w:val="auto"/>
              </w:rPr>
              <w:t>Average Stockholders’ Equity</w:t>
            </w:r>
          </w:p>
        </w:tc>
        <w:tc>
          <w:tcPr>
            <w:tcW w:w="560" w:type="dxa"/>
            <w:vAlign w:val="bottom"/>
          </w:tcPr>
          <w:p>
            <w:pPr>
              <w:spacing w:after="0"/>
              <w:rPr>
                <w:sz w:val="11"/>
                <w:szCs w:val="11"/>
                <w:color w:val="auto"/>
              </w:rPr>
            </w:pPr>
          </w:p>
        </w:tc>
        <w:tc>
          <w:tcPr>
            <w:tcW w:w="66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29.2%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ind w:right="49"/>
              <w:spacing w:after="0"/>
              <w:rPr>
                <w:sz w:val="20"/>
                <w:szCs w:val="20"/>
                <w:color w:val="auto"/>
              </w:rPr>
            </w:pPr>
            <w:r>
              <w:rPr>
                <w:rFonts w:ascii="Arial" w:cs="Arial" w:eastAsia="Arial" w:hAnsi="Arial"/>
                <w:sz w:val="10"/>
                <w:szCs w:val="10"/>
                <w:color w:val="auto"/>
              </w:rPr>
              <w:t>25.6%</w:t>
            </w:r>
          </w:p>
        </w:tc>
        <w:tc>
          <w:tcPr>
            <w:tcW w:w="260" w:type="dxa"/>
            <w:vAlign w:val="bottom"/>
          </w:tcPr>
          <w:p>
            <w:pPr>
              <w:spacing w:after="0"/>
              <w:rPr>
                <w:sz w:val="11"/>
                <w:szCs w:val="11"/>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r>
        <w:trPr>
          <w:trHeight w:val="265"/>
        </w:trPr>
        <w:tc>
          <w:tcPr>
            <w:tcW w:w="2580" w:type="dxa"/>
            <w:vAlign w:val="bottom"/>
            <w:tcBorders>
              <w:top w:val="single" w:sz="8" w:color="0077C0"/>
            </w:tcBorders>
          </w:tcPr>
          <w:p>
            <w:pPr>
              <w:spacing w:after="0"/>
              <w:rPr>
                <w:sz w:val="20"/>
                <w:szCs w:val="20"/>
                <w:color w:val="auto"/>
              </w:rPr>
            </w:pPr>
            <w:r>
              <w:rPr>
                <w:rFonts w:ascii="Arial" w:cs="Arial" w:eastAsia="Arial" w:hAnsi="Arial"/>
                <w:sz w:val="12"/>
                <w:szCs w:val="12"/>
                <w:b w:val="1"/>
                <w:bCs w:val="1"/>
                <w:color w:val="0077C0"/>
              </w:rPr>
              <w:t>Income by Major Operating Area</w:t>
            </w:r>
          </w:p>
        </w:tc>
        <w:tc>
          <w:tcPr>
            <w:tcW w:w="560" w:type="dxa"/>
            <w:vAlign w:val="bottom"/>
            <w:tcBorders>
              <w:top w:val="single" w:sz="8" w:color="0077C0"/>
            </w:tcBorders>
          </w:tcPr>
          <w:p>
            <w:pPr>
              <w:spacing w:after="0"/>
              <w:rPr>
                <w:sz w:val="23"/>
                <w:szCs w:val="23"/>
                <w:color w:val="auto"/>
              </w:rPr>
            </w:pPr>
          </w:p>
        </w:tc>
        <w:tc>
          <w:tcPr>
            <w:tcW w:w="660" w:type="dxa"/>
            <w:vAlign w:val="bottom"/>
            <w:tcBorders>
              <w:top w:val="single" w:sz="8" w:color="0077C0"/>
            </w:tcBorders>
          </w:tcPr>
          <w:p>
            <w:pPr>
              <w:spacing w:after="0"/>
              <w:rPr>
                <w:sz w:val="23"/>
                <w:szCs w:val="23"/>
                <w:color w:val="auto"/>
              </w:rPr>
            </w:pPr>
          </w:p>
        </w:tc>
        <w:tc>
          <w:tcPr>
            <w:tcW w:w="80" w:type="dxa"/>
            <w:vAlign w:val="bottom"/>
            <w:tcBorders>
              <w:top w:val="single" w:sz="8" w:color="0077C0"/>
            </w:tcBorders>
          </w:tcPr>
          <w:p>
            <w:pPr>
              <w:spacing w:after="0"/>
              <w:rPr>
                <w:sz w:val="23"/>
                <w:szCs w:val="23"/>
                <w:color w:val="auto"/>
              </w:rPr>
            </w:pPr>
          </w:p>
        </w:tc>
        <w:tc>
          <w:tcPr>
            <w:tcW w:w="280" w:type="dxa"/>
            <w:vAlign w:val="bottom"/>
            <w:tcBorders>
              <w:top w:val="single" w:sz="8" w:color="0077C0"/>
            </w:tcBorders>
          </w:tcPr>
          <w:p>
            <w:pPr>
              <w:spacing w:after="0"/>
              <w:rPr>
                <w:sz w:val="23"/>
                <w:szCs w:val="23"/>
                <w:color w:val="auto"/>
              </w:rPr>
            </w:pPr>
          </w:p>
        </w:tc>
        <w:tc>
          <w:tcPr>
            <w:tcW w:w="580" w:type="dxa"/>
            <w:vAlign w:val="bottom"/>
            <w:tcBorders>
              <w:top w:val="single" w:sz="8" w:color="0077C0"/>
            </w:tcBorders>
          </w:tcPr>
          <w:p>
            <w:pPr>
              <w:spacing w:after="0"/>
              <w:rPr>
                <w:sz w:val="23"/>
                <w:szCs w:val="23"/>
                <w:color w:val="auto"/>
              </w:rPr>
            </w:pPr>
          </w:p>
        </w:tc>
        <w:tc>
          <w:tcPr>
            <w:tcW w:w="260" w:type="dxa"/>
            <w:vAlign w:val="bottom"/>
            <w:tcBorders>
              <w:top w:val="single" w:sz="8" w:color="0077C0"/>
            </w:tcBorders>
          </w:tcPr>
          <w:p>
            <w:pPr>
              <w:spacing w:after="0"/>
              <w:rPr>
                <w:sz w:val="23"/>
                <w:szCs w:val="23"/>
                <w:color w:val="auto"/>
              </w:rPr>
            </w:pPr>
          </w:p>
        </w:tc>
        <w:tc>
          <w:tcPr>
            <w:tcW w:w="420" w:type="dxa"/>
            <w:vAlign w:val="bottom"/>
            <w:tcBorders>
              <w:top w:val="single" w:sz="8" w:color="0077C0"/>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25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56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0077C0"/>
            </w:tcBorders>
          </w:tcPr>
          <w:p>
            <w:pPr>
              <w:spacing w:after="0"/>
              <w:rPr>
                <w:sz w:val="24"/>
                <w:szCs w:val="24"/>
                <w:color w:val="auto"/>
              </w:rPr>
            </w:pPr>
          </w:p>
        </w:tc>
        <w:tc>
          <w:tcPr>
            <w:tcW w:w="28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2007</w:t>
            </w:r>
          </w:p>
        </w:tc>
        <w:tc>
          <w:tcPr>
            <w:tcW w:w="260" w:type="dxa"/>
            <w:vAlign w:val="bottom"/>
            <w:tcBorders>
              <w:bottom w:val="single" w:sz="8" w:color="0077C0"/>
            </w:tcBorders>
          </w:tcPr>
          <w:p>
            <w:pPr>
              <w:spacing w:after="0"/>
              <w:rPr>
                <w:sz w:val="24"/>
                <w:szCs w:val="24"/>
                <w:color w:val="auto"/>
              </w:rPr>
            </w:pPr>
          </w:p>
        </w:tc>
        <w:tc>
          <w:tcPr>
            <w:tcW w:w="4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2006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580" w:type="dxa"/>
            <w:vAlign w:val="bottom"/>
          </w:tcPr>
          <w:p>
            <w:pPr>
              <w:spacing w:after="0" w:line="83" w:lineRule="exact"/>
              <w:rPr>
                <w:sz w:val="20"/>
                <w:szCs w:val="20"/>
                <w:color w:val="auto"/>
              </w:rPr>
            </w:pPr>
            <w:r>
              <w:rPr>
                <w:rFonts w:ascii="Arial" w:cs="Arial" w:eastAsia="Arial" w:hAnsi="Arial"/>
                <w:sz w:val="9"/>
                <w:szCs w:val="9"/>
                <w:color w:val="auto"/>
              </w:rPr>
              <w:t>Upstream – Exploration and Production</w:t>
            </w:r>
          </w:p>
        </w:tc>
        <w:tc>
          <w:tcPr>
            <w:tcW w:w="560" w:type="dxa"/>
            <w:vAlign w:val="bottom"/>
            <w:vMerge w:val="restart"/>
          </w:tcPr>
          <w:p>
            <w:pPr>
              <w:jc w:val="right"/>
              <w:ind w:right="10"/>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7,126</w:t>
            </w:r>
          </w:p>
        </w:tc>
        <w:tc>
          <w:tcPr>
            <w:tcW w:w="80" w:type="dxa"/>
            <w:vAlign w:val="bottom"/>
            <w:tcBorders>
              <w:right w:val="single" w:sz="8" w:color="0077C0"/>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580" w:type="dxa"/>
            <w:vAlign w:val="bottom"/>
          </w:tcPr>
          <w:p>
            <w:pPr>
              <w:ind w:left="180"/>
              <w:spacing w:after="0" w:line="104" w:lineRule="exact"/>
              <w:rPr>
                <w:sz w:val="20"/>
                <w:szCs w:val="20"/>
                <w:color w:val="auto"/>
              </w:rPr>
            </w:pPr>
            <w:r>
              <w:rPr>
                <w:rFonts w:ascii="Arial" w:cs="Arial" w:eastAsia="Arial" w:hAnsi="Arial"/>
                <w:sz w:val="10"/>
                <w:szCs w:val="10"/>
                <w:color w:val="auto"/>
              </w:rPr>
              <w:t>United States</w:t>
            </w: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Borders>
              <w:right w:val="single" w:sz="8" w:color="0077C0"/>
            </w:tcBorders>
          </w:tcPr>
          <w:p>
            <w:pPr>
              <w:spacing w:after="0"/>
              <w:rPr>
                <w:sz w:val="9"/>
                <w:szCs w:val="9"/>
                <w:color w:val="auto"/>
              </w:rPr>
            </w:pPr>
          </w:p>
        </w:tc>
        <w:tc>
          <w:tcPr>
            <w:tcW w:w="280" w:type="dxa"/>
            <w:vAlign w:val="bottom"/>
          </w:tcPr>
          <w:p>
            <w:pPr>
              <w:jc w:val="right"/>
              <w:ind w:right="29"/>
              <w:spacing w:after="0" w:line="104"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49"/>
              <w:spacing w:after="0" w:line="104" w:lineRule="exact"/>
              <w:rPr>
                <w:sz w:val="20"/>
                <w:szCs w:val="20"/>
                <w:color w:val="auto"/>
              </w:rPr>
            </w:pPr>
            <w:r>
              <w:rPr>
                <w:rFonts w:ascii="Arial" w:cs="Arial" w:eastAsia="Arial" w:hAnsi="Arial"/>
                <w:sz w:val="10"/>
                <w:szCs w:val="10"/>
                <w:color w:val="auto"/>
              </w:rPr>
              <w:t>4,532</w:t>
            </w:r>
          </w:p>
        </w:tc>
        <w:tc>
          <w:tcPr>
            <w:tcW w:w="260" w:type="dxa"/>
            <w:vAlign w:val="bottom"/>
          </w:tcPr>
          <w:p>
            <w:pPr>
              <w:jc w:val="right"/>
              <w:ind w:right="50"/>
              <w:spacing w:after="0" w:line="104"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4,270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80" w:type="dxa"/>
            <w:vAlign w:val="bottom"/>
            <w:tcBorders>
              <w:bottom w:val="single" w:sz="8" w:color="0077C0"/>
            </w:tcBorders>
          </w:tcPr>
          <w:p>
            <w:pPr>
              <w:ind w:left="1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14,584</w:t>
            </w:r>
          </w:p>
        </w:tc>
        <w:tc>
          <w:tcPr>
            <w:tcW w:w="80" w:type="dxa"/>
            <w:vAlign w:val="bottom"/>
            <w:tcBorders>
              <w:bottom w:val="single" w:sz="8" w:color="0077C0"/>
              <w:right w:val="single" w:sz="8" w:color="0077C0"/>
            </w:tcBorders>
          </w:tcPr>
          <w:p>
            <w:pPr>
              <w:spacing w:after="0"/>
              <w:rPr>
                <w:sz w:val="10"/>
                <w:szCs w:val="10"/>
                <w:color w:val="auto"/>
              </w:rPr>
            </w:pP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10,284</w:t>
            </w:r>
          </w:p>
        </w:tc>
        <w:tc>
          <w:tcPr>
            <w:tcW w:w="2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8,872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5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Upstream</w:t>
            </w:r>
          </w:p>
        </w:tc>
        <w:tc>
          <w:tcPr>
            <w:tcW w:w="5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21,710</w:t>
            </w:r>
          </w:p>
        </w:tc>
        <w:tc>
          <w:tcPr>
            <w:tcW w:w="80" w:type="dxa"/>
            <w:vAlign w:val="bottom"/>
            <w:tcBorders>
              <w:bottom w:val="single" w:sz="8" w:color="0077C0"/>
              <w:right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14,816</w:t>
            </w:r>
          </w:p>
        </w:tc>
        <w:tc>
          <w:tcPr>
            <w:tcW w:w="2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rPr>
              <w:t>13,142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line="92" w:lineRule="exact"/>
              <w:rPr>
                <w:sz w:val="20"/>
                <w:szCs w:val="20"/>
                <w:color w:val="auto"/>
              </w:rPr>
            </w:pPr>
            <w:r>
              <w:rPr>
                <w:rFonts w:ascii="Arial" w:cs="Arial" w:eastAsia="Arial" w:hAnsi="Arial"/>
                <w:sz w:val="10"/>
                <w:szCs w:val="10"/>
                <w:color w:val="auto"/>
              </w:rPr>
              <w:t>Downstream – Refining, Marketing and Transportation</w:t>
            </w:r>
          </w:p>
        </w:tc>
        <w:tc>
          <w:tcPr>
            <w:tcW w:w="560" w:type="dxa"/>
            <w:vAlign w:val="bottom"/>
          </w:tcPr>
          <w:p>
            <w:pPr>
              <w:spacing w:after="0"/>
              <w:rPr>
                <w:sz w:val="8"/>
                <w:szCs w:val="8"/>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1,369</w:t>
            </w:r>
          </w:p>
        </w:tc>
        <w:tc>
          <w:tcPr>
            <w:tcW w:w="80" w:type="dxa"/>
            <w:vAlign w:val="bottom"/>
            <w:tcBorders>
              <w:right w:val="single" w:sz="8" w:color="0077C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580" w:type="dxa"/>
            <w:vAlign w:val="bottom"/>
          </w:tcPr>
          <w:p>
            <w:pPr>
              <w:ind w:left="180"/>
              <w:spacing w:after="0" w:line="104" w:lineRule="exact"/>
              <w:rPr>
                <w:sz w:val="20"/>
                <w:szCs w:val="20"/>
                <w:color w:val="auto"/>
              </w:rPr>
            </w:pPr>
            <w:r>
              <w:rPr>
                <w:rFonts w:ascii="Arial" w:cs="Arial" w:eastAsia="Arial" w:hAnsi="Arial"/>
                <w:sz w:val="10"/>
                <w:szCs w:val="10"/>
                <w:color w:val="auto"/>
              </w:rPr>
              <w:t>United States</w:t>
            </w: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Borders>
              <w:right w:val="single" w:sz="8" w:color="0077C0"/>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49"/>
              <w:spacing w:after="0" w:line="104" w:lineRule="exact"/>
              <w:rPr>
                <w:sz w:val="20"/>
                <w:szCs w:val="20"/>
                <w:color w:val="auto"/>
              </w:rPr>
            </w:pPr>
            <w:r>
              <w:rPr>
                <w:rFonts w:ascii="Arial" w:cs="Arial" w:eastAsia="Arial" w:hAnsi="Arial"/>
                <w:sz w:val="10"/>
                <w:szCs w:val="10"/>
                <w:color w:val="auto"/>
              </w:rPr>
              <w:t>966</w:t>
            </w:r>
          </w:p>
        </w:tc>
        <w:tc>
          <w:tcPr>
            <w:tcW w:w="260" w:type="dxa"/>
            <w:vAlign w:val="bottom"/>
          </w:tcPr>
          <w:p>
            <w:pPr>
              <w:spacing w:after="0"/>
              <w:rPr>
                <w:sz w:val="9"/>
                <w:szCs w:val="9"/>
                <w:color w:val="auto"/>
              </w:rPr>
            </w:pPr>
          </w:p>
        </w:tc>
        <w:tc>
          <w:tcPr>
            <w:tcW w:w="46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1,938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80" w:type="dxa"/>
            <w:vAlign w:val="bottom"/>
            <w:tcBorders>
              <w:bottom w:val="single" w:sz="8" w:color="0077C0"/>
            </w:tcBorders>
          </w:tcPr>
          <w:p>
            <w:pPr>
              <w:ind w:left="1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2,060</w:t>
            </w:r>
          </w:p>
        </w:tc>
        <w:tc>
          <w:tcPr>
            <w:tcW w:w="80" w:type="dxa"/>
            <w:vAlign w:val="bottom"/>
            <w:tcBorders>
              <w:bottom w:val="single" w:sz="8" w:color="0077C0"/>
              <w:right w:val="single" w:sz="8" w:color="0077C0"/>
            </w:tcBorders>
          </w:tcPr>
          <w:p>
            <w:pPr>
              <w:spacing w:after="0"/>
              <w:rPr>
                <w:sz w:val="10"/>
                <w:szCs w:val="10"/>
                <w:color w:val="auto"/>
              </w:rPr>
            </w:pP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2,536</w:t>
            </w:r>
          </w:p>
        </w:tc>
        <w:tc>
          <w:tcPr>
            <w:tcW w:w="2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2,035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5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Downstream</w:t>
            </w:r>
          </w:p>
        </w:tc>
        <w:tc>
          <w:tcPr>
            <w:tcW w:w="5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3,429</w:t>
            </w:r>
          </w:p>
        </w:tc>
        <w:tc>
          <w:tcPr>
            <w:tcW w:w="80" w:type="dxa"/>
            <w:vAlign w:val="bottom"/>
            <w:tcBorders>
              <w:bottom w:val="single" w:sz="8" w:color="0077C0"/>
              <w:right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3,502</w:t>
            </w:r>
          </w:p>
        </w:tc>
        <w:tc>
          <w:tcPr>
            <w:tcW w:w="2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rPr>
              <w:t>3,973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580" w:type="dxa"/>
            <w:vAlign w:val="bottom"/>
          </w:tcPr>
          <w:p>
            <w:pPr>
              <w:spacing w:after="0" w:line="91" w:lineRule="exact"/>
              <w:rPr>
                <w:sz w:val="20"/>
                <w:szCs w:val="20"/>
                <w:color w:val="auto"/>
              </w:rPr>
            </w:pPr>
            <w:r>
              <w:rPr>
                <w:rFonts w:ascii="Arial" w:cs="Arial" w:eastAsia="Arial" w:hAnsi="Arial"/>
                <w:sz w:val="10"/>
                <w:szCs w:val="10"/>
                <w:color w:val="auto"/>
              </w:rPr>
              <w:t>Chemicals</w:t>
            </w:r>
          </w:p>
        </w:tc>
        <w:tc>
          <w:tcPr>
            <w:tcW w:w="560" w:type="dxa"/>
            <w:vAlign w:val="bottom"/>
          </w:tcPr>
          <w:p>
            <w:pPr>
              <w:spacing w:after="0"/>
              <w:rPr>
                <w:sz w:val="7"/>
                <w:szCs w:val="7"/>
                <w:color w:val="auto"/>
              </w:rPr>
            </w:pPr>
          </w:p>
        </w:tc>
        <w:tc>
          <w:tcPr>
            <w:tcW w:w="660" w:type="dxa"/>
            <w:vAlign w:val="bottom"/>
          </w:tcPr>
          <w:p>
            <w:pPr>
              <w:jc w:val="right"/>
              <w:ind w:right="89"/>
              <w:spacing w:after="0" w:line="91" w:lineRule="exact"/>
              <w:rPr>
                <w:sz w:val="20"/>
                <w:szCs w:val="20"/>
                <w:color w:val="auto"/>
              </w:rPr>
            </w:pPr>
            <w:r>
              <w:rPr>
                <w:rFonts w:ascii="Arial" w:cs="Arial" w:eastAsia="Arial" w:hAnsi="Arial"/>
                <w:sz w:val="10"/>
                <w:szCs w:val="10"/>
                <w:b w:val="1"/>
                <w:bCs w:val="1"/>
                <w:color w:val="auto"/>
              </w:rPr>
              <w:t>182</w:t>
            </w:r>
          </w:p>
        </w:tc>
        <w:tc>
          <w:tcPr>
            <w:tcW w:w="80" w:type="dxa"/>
            <w:vAlign w:val="bottom"/>
            <w:tcBorders>
              <w:right w:val="single" w:sz="8" w:color="0077C0"/>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jc w:val="right"/>
              <w:ind w:right="49"/>
              <w:spacing w:after="0" w:line="91" w:lineRule="exact"/>
              <w:rPr>
                <w:sz w:val="20"/>
                <w:szCs w:val="20"/>
                <w:color w:val="auto"/>
              </w:rPr>
            </w:pPr>
            <w:r>
              <w:rPr>
                <w:rFonts w:ascii="Arial" w:cs="Arial" w:eastAsia="Arial" w:hAnsi="Arial"/>
                <w:sz w:val="10"/>
                <w:szCs w:val="10"/>
                <w:color w:val="auto"/>
              </w:rPr>
              <w:t>396</w:t>
            </w:r>
          </w:p>
        </w:tc>
        <w:tc>
          <w:tcPr>
            <w:tcW w:w="260" w:type="dxa"/>
            <w:vAlign w:val="bottom"/>
          </w:tcPr>
          <w:p>
            <w:pPr>
              <w:spacing w:after="0"/>
              <w:rPr>
                <w:sz w:val="7"/>
                <w:szCs w:val="7"/>
                <w:color w:val="auto"/>
              </w:rPr>
            </w:pPr>
          </w:p>
        </w:tc>
        <w:tc>
          <w:tcPr>
            <w:tcW w:w="460" w:type="dxa"/>
            <w:vAlign w:val="bottom"/>
            <w:gridSpan w:val="2"/>
          </w:tcPr>
          <w:p>
            <w:pPr>
              <w:jc w:val="right"/>
              <w:spacing w:after="0" w:line="91" w:lineRule="exact"/>
              <w:rPr>
                <w:sz w:val="20"/>
                <w:szCs w:val="20"/>
                <w:color w:val="auto"/>
              </w:rPr>
            </w:pPr>
            <w:r>
              <w:rPr>
                <w:rFonts w:ascii="Arial" w:cs="Arial" w:eastAsia="Arial" w:hAnsi="Arial"/>
                <w:sz w:val="10"/>
                <w:szCs w:val="10"/>
                <w:color w:val="auto"/>
              </w:rPr>
              <w:t>539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20"/>
                <w:szCs w:val="20"/>
                <w:color w:val="auto"/>
              </w:rPr>
            </w:pPr>
            <w:r>
              <w:rPr>
                <w:rFonts w:ascii="Arial" w:cs="Arial" w:eastAsia="Arial" w:hAnsi="Arial"/>
                <w:sz w:val="10"/>
                <w:szCs w:val="10"/>
                <w:color w:val="auto"/>
              </w:rPr>
              <w:t>All Other</w:t>
            </w:r>
          </w:p>
        </w:tc>
        <w:tc>
          <w:tcPr>
            <w:tcW w:w="560" w:type="dxa"/>
            <w:vAlign w:val="bottom"/>
          </w:tcPr>
          <w:p>
            <w:pPr>
              <w:spacing w:after="0"/>
              <w:rPr>
                <w:sz w:val="10"/>
                <w:szCs w:val="10"/>
                <w:color w:val="auto"/>
              </w:rPr>
            </w:pPr>
          </w:p>
        </w:tc>
        <w:tc>
          <w:tcPr>
            <w:tcW w:w="660" w:type="dxa"/>
            <w:vAlign w:val="bottom"/>
          </w:tcPr>
          <w:p>
            <w:pPr>
              <w:jc w:val="right"/>
              <w:ind w:right="49"/>
              <w:spacing w:after="0"/>
              <w:rPr>
                <w:sz w:val="20"/>
                <w:szCs w:val="20"/>
                <w:color w:val="auto"/>
              </w:rPr>
            </w:pPr>
            <w:r>
              <w:rPr>
                <w:rFonts w:ascii="Arial" w:cs="Arial" w:eastAsia="Arial" w:hAnsi="Arial"/>
                <w:sz w:val="10"/>
                <w:szCs w:val="10"/>
                <w:b w:val="1"/>
                <w:bCs w:val="1"/>
                <w:color w:val="auto"/>
              </w:rPr>
              <w:t>(1,390)</w:t>
            </w:r>
          </w:p>
        </w:tc>
        <w:tc>
          <w:tcPr>
            <w:tcW w:w="80" w:type="dxa"/>
            <w:vAlign w:val="bottom"/>
            <w:tcBorders>
              <w:right w:val="single" w:sz="8" w:color="0077C0"/>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(26)</w:t>
            </w:r>
          </w:p>
        </w:tc>
        <w:tc>
          <w:tcPr>
            <w:tcW w:w="26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(516)</w:t>
            </w:r>
          </w:p>
        </w:tc>
        <w:tc>
          <w:tcPr>
            <w:tcW w:w="0" w:type="dxa"/>
            <w:vAlign w:val="bottom"/>
          </w:tcPr>
          <w:p>
            <w:pPr>
              <w:spacing w:after="0"/>
              <w:rPr>
                <w:sz w:val="1"/>
                <w:szCs w:val="1"/>
                <w:color w:val="auto"/>
              </w:rPr>
            </w:pPr>
          </w:p>
        </w:tc>
      </w:tr>
      <w:tr>
        <w:trPr>
          <w:trHeight w:val="114"/>
        </w:trPr>
        <w:tc>
          <w:tcPr>
            <w:tcW w:w="25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Income*</w:t>
            </w:r>
          </w:p>
        </w:tc>
        <w:tc>
          <w:tcPr>
            <w:tcW w:w="560" w:type="dxa"/>
            <w:vAlign w:val="bottom"/>
            <w:tcBorders>
              <w:top w:val="single" w:sz="8" w:color="0077C0"/>
              <w:bottom w:val="single" w:sz="8" w:color="0077C0"/>
            </w:tcBorders>
          </w:tcPr>
          <w:p>
            <w:pPr>
              <w:jc w:val="right"/>
              <w:ind w:right="10"/>
              <w:spacing w:after="0" w:line="105"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23,931</w:t>
            </w:r>
          </w:p>
        </w:tc>
        <w:tc>
          <w:tcPr>
            <w:tcW w:w="80" w:type="dxa"/>
            <w:vAlign w:val="bottom"/>
            <w:tcBorders>
              <w:top w:val="single" w:sz="8" w:color="0077C0"/>
              <w:bottom w:val="single" w:sz="8" w:color="0077C0"/>
              <w:right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18,688</w:t>
            </w:r>
          </w:p>
        </w:tc>
        <w:tc>
          <w:tcPr>
            <w:tcW w:w="260" w:type="dxa"/>
            <w:vAlign w:val="bottom"/>
            <w:tcBorders>
              <w:top w:val="single" w:sz="8" w:color="0077C0"/>
              <w:bottom w:val="single" w:sz="8" w:color="0077C0"/>
            </w:tcBorders>
          </w:tcPr>
          <w:p>
            <w:pPr>
              <w:jc w:val="right"/>
              <w:ind w:right="5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rPr>
              <w:t>17,138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20"/>
                <w:szCs w:val="20"/>
                <w:color w:val="auto"/>
              </w:rPr>
            </w:pPr>
            <w:r>
              <w:rPr>
                <w:rFonts w:ascii="Arial" w:cs="Arial" w:eastAsia="Arial" w:hAnsi="Arial"/>
                <w:sz w:val="10"/>
                <w:szCs w:val="10"/>
                <w:color w:val="auto"/>
              </w:rPr>
              <w:t>*Includes Foreign Currency Effects:</w:t>
            </w:r>
          </w:p>
        </w:tc>
        <w:tc>
          <w:tcPr>
            <w:tcW w:w="560" w:type="dxa"/>
            <w:vAlign w:val="bottom"/>
          </w:tcPr>
          <w:p>
            <w:pPr>
              <w:spacing w:after="0"/>
              <w:rPr>
                <w:sz w:val="15"/>
                <w:szCs w:val="15"/>
                <w:color w:val="auto"/>
              </w:rPr>
            </w:pPr>
          </w:p>
        </w:tc>
        <w:tc>
          <w:tcPr>
            <w:tcW w:w="660" w:type="dxa"/>
            <w:vAlign w:val="bottom"/>
          </w:tcPr>
          <w:p>
            <w:pPr>
              <w:jc w:val="right"/>
              <w:ind w:right="89"/>
              <w:spacing w:after="0"/>
              <w:rPr>
                <w:sz w:val="20"/>
                <w:szCs w:val="20"/>
                <w:color w:val="auto"/>
              </w:rPr>
            </w:pPr>
            <w:r>
              <w:rPr>
                <w:rFonts w:ascii="Arial" w:cs="Arial" w:eastAsia="Arial" w:hAnsi="Arial"/>
                <w:sz w:val="10"/>
                <w:szCs w:val="10"/>
                <w:b w:val="1"/>
                <w:bCs w:val="1"/>
                <w:color w:val="auto"/>
              </w:rPr>
              <w:t>$ 862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$(352)</w:t>
            </w:r>
          </w:p>
        </w:tc>
        <w:tc>
          <w:tcPr>
            <w:tcW w:w="26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160"/>
        <w:spacing w:after="0" w:line="267" w:lineRule="auto"/>
        <w:rPr>
          <w:sz w:val="20"/>
          <w:szCs w:val="20"/>
          <w:color w:val="auto"/>
        </w:rPr>
      </w:pPr>
      <w:r>
        <w:rPr>
          <w:rFonts w:ascii="Arial" w:cs="Arial" w:eastAsia="Arial" w:hAnsi="Arial"/>
          <w:sz w:val="13"/>
          <w:szCs w:val="13"/>
          <w:color w:val="auto"/>
        </w:rPr>
        <w:t>Refer to the “Results of Operations” section beginning on page FS-6 for a discussion of financial results by major operating area for the three years ending December 31, 2008.</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Business Environment and Outlook</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Chevron is a global energy company with significant business activities in the following countries: Angola, Argentina, Australia, Azerbaijan, Bangladesh, Brazil, Cambodia, Canada, Chad, China, Colombia, Democratic Republic of the Congo, Denmark, France, India, Indonesia, Kazakhstan, Myanmar, the Netherlands, Nigeria, Norway, the Partitioned Neutral Zone between Saudi Arabia and Kuwait, the Philippines, Qatar, Republic of the Congo, Singapore, South Africa, South Korea, Thailand, Trinidad and Tobago, the United Kingdom, the United States, Venezuela, and Vietnam.</w:t>
      </w:r>
    </w:p>
    <w:p>
      <w:pPr>
        <w:spacing w:after="0" w:line="3" w:lineRule="exact"/>
        <w:rPr>
          <w:sz w:val="20"/>
          <w:szCs w:val="20"/>
          <w:color w:val="auto"/>
        </w:rPr>
      </w:pPr>
    </w:p>
    <w:p>
      <w:pPr>
        <w:ind w:right="40" w:firstLine="160"/>
        <w:spacing w:after="0" w:line="248" w:lineRule="auto"/>
        <w:rPr>
          <w:sz w:val="20"/>
          <w:szCs w:val="20"/>
          <w:color w:val="auto"/>
        </w:rPr>
      </w:pPr>
      <w:r>
        <w:rPr>
          <w:rFonts w:ascii="Arial" w:cs="Arial" w:eastAsia="Arial" w:hAnsi="Arial"/>
          <w:sz w:val="13"/>
          <w:szCs w:val="13"/>
          <w:color w:val="auto"/>
        </w:rPr>
        <w:t>Earnings of the company depend largely on the profitability of its upstream (exploration and production) and downstream (refining, marketing and transportation) business segments. The single biggest factor that affects the results of operations for both segments is movement in the price of crude oil. In the downstream business, crude oil is the largest cost component of refined products. The overall trend in earnings is typically less affected by results from the company’s chemicals business and other activities and invest-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ments. Earnings for the company in any period may also be influenced by events or transactions that are infrequent and/ or unusual in nature.</w:t>
      </w:r>
    </w:p>
    <w:p>
      <w:pPr>
        <w:spacing w:after="0" w:line="100" w:lineRule="exact"/>
        <w:rPr>
          <w:sz w:val="20"/>
          <w:szCs w:val="20"/>
          <w:color w:val="auto"/>
        </w:rPr>
      </w:pPr>
    </w:p>
    <w:p>
      <w:pPr>
        <w:ind w:right="60" w:firstLine="160"/>
        <w:spacing w:after="0" w:line="269" w:lineRule="auto"/>
        <w:rPr>
          <w:sz w:val="20"/>
          <w:szCs w:val="20"/>
          <w:color w:val="auto"/>
        </w:rPr>
      </w:pPr>
      <w:r>
        <w:rPr>
          <w:rFonts w:ascii="Arial" w:cs="Arial" w:eastAsia="Arial" w:hAnsi="Arial"/>
          <w:sz w:val="12"/>
          <w:szCs w:val="12"/>
          <w:color w:val="auto"/>
        </w:rPr>
        <w:t>In recent years and through most of 2008, Chevron and the oil and gas industry at large experienced an increase in certain costs that exceeded the general trend of inflation in many areas of the world. This increase in costs affected the company’s operating expenses and capital programs for all business segments, but particularly for upstream. These cost pressures began to soften somewhat in late 2008. As the price of crude oil dropped precipitously from a record high in mid-year, the demand for some goods and services in the industry began to slacken. This cost trend is expected to continue during 2009 if crude-oil prices do not significantly rebound. (Refer to the “Upstream” section on next page for a discussion of the trend in crude-oil prices.)</w:t>
      </w:r>
    </w:p>
    <w:p>
      <w:pPr>
        <w:spacing w:after="0" w:line="1" w:lineRule="exact"/>
        <w:rPr>
          <w:sz w:val="20"/>
          <w:szCs w:val="20"/>
          <w:color w:val="auto"/>
        </w:rPr>
      </w:pPr>
    </w:p>
    <w:p>
      <w:pPr>
        <w:ind w:right="40" w:firstLine="158"/>
        <w:spacing w:after="0" w:line="267" w:lineRule="auto"/>
        <w:rPr>
          <w:sz w:val="20"/>
          <w:szCs w:val="20"/>
          <w:color w:val="auto"/>
        </w:rPr>
      </w:pPr>
      <w:r>
        <w:rPr>
          <w:rFonts w:ascii="Arial" w:cs="Arial" w:eastAsia="Arial" w:hAnsi="Arial"/>
          <w:sz w:val="12"/>
          <w:szCs w:val="12"/>
          <w:color w:val="auto"/>
        </w:rPr>
        <w:t>The company’s operations, especially upstream, can also be affected by changing economic, regulatory and political environments in the various countries in which it operates, including the United States. Civil unrest, acts of violence or strained relations between a government and the company or other governments may impact the company’s operations or investments. Those developments have at times significantly affected the company’s operations and results and are carefully considered by management when evaluating the level of current and future activity in such countries.</w:t>
      </w:r>
    </w:p>
    <w:p>
      <w:pPr>
        <w:spacing w:after="0" w:line="1"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To sustain its long-term competitive position in the upstream business, the company must develop and replenish an inventory of projects that offer adequate financial returns for the investment required. Identifying promising areas for exploration, acquiring the necessary rights to explore for and to produce crude oil and natural gas, drilling successfully, and handling the many technical and operational details in a safe and cost-effective manner are all important factors in this effort. Projects often require long lead times and large capital commitments. From time to time, certain governments have sought to renegotiate contracts or impose additional costs on the company. Governments may attempt to do so in the future. The company will continue to monitor these developments, take them into account in evaluating future investment opportunities, and otherwise seek to mitigate any risks to the company’s current operations or future prospects.</w:t>
      </w:r>
    </w:p>
    <w:p>
      <w:pPr>
        <w:spacing w:after="0" w:line="2" w:lineRule="exact"/>
        <w:rPr>
          <w:sz w:val="20"/>
          <w:szCs w:val="20"/>
          <w:color w:val="auto"/>
        </w:rPr>
      </w:pPr>
    </w:p>
    <w:p>
      <w:pPr>
        <w:ind w:firstLine="158"/>
        <w:spacing w:after="0" w:line="274" w:lineRule="auto"/>
        <w:rPr>
          <w:sz w:val="20"/>
          <w:szCs w:val="20"/>
          <w:color w:val="auto"/>
        </w:rPr>
      </w:pPr>
      <w:r>
        <w:rPr>
          <w:rFonts w:ascii="Arial" w:cs="Arial" w:eastAsia="Arial" w:hAnsi="Arial"/>
          <w:sz w:val="12"/>
          <w:szCs w:val="12"/>
          <w:color w:val="auto"/>
        </w:rPr>
        <w:t>The company also continually evaluates opportunities to dispose of assets that are not expected to provide sufficient long-term value or to acquire assets or operations complementary to its asset base to help augment the company’s growth. Refer to the “Results of Operations” section beginning on page FS-6 for discussions of net gains on asset sales during 2008. Asset dispositions and restructurings may occur in future periods and could result in significant gains or losses.</w:t>
      </w:r>
    </w:p>
    <w:p>
      <w:pPr>
        <w:spacing w:after="0" w:line="155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54" w:lineRule="exact"/>
        <w:rPr>
          <w:sz w:val="20"/>
          <w:szCs w:val="20"/>
          <w:color w:val="auto"/>
        </w:rPr>
      </w:pPr>
    </w:p>
    <w:p>
      <w:pPr>
        <w:ind w:right="120" w:firstLine="158"/>
        <w:spacing w:after="0" w:line="277" w:lineRule="auto"/>
        <w:rPr>
          <w:sz w:val="20"/>
          <w:szCs w:val="20"/>
          <w:color w:val="auto"/>
        </w:rPr>
      </w:pPr>
      <w:r>
        <w:rPr>
          <w:rFonts w:ascii="Arial" w:cs="Arial" w:eastAsia="Arial" w:hAnsi="Arial"/>
          <w:sz w:val="12"/>
          <w:szCs w:val="12"/>
          <w:color w:val="auto"/>
        </w:rPr>
        <w:t>The company has been closely monitoring the ongoing uncertainty in financial and credit markets, the rapid decline in crude-oil prices that began in the second half of 2008, and the general contraction of worldwide economic activity. Management is taking these developments into account in the conduct of daily operations and for business planning. The company remains confident of its underlying financial strength to deal with potential problems presented in this environment.</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Comments related to earnings trends for the company’s major business areas are as follows:</w:t>
      </w:r>
    </w:p>
    <w:p>
      <w:pPr>
        <w:spacing w:after="0" w:line="129" w:lineRule="exact"/>
        <w:rPr>
          <w:sz w:val="20"/>
          <w:szCs w:val="20"/>
          <w:color w:val="auto"/>
        </w:rPr>
      </w:pPr>
    </w:p>
    <w:p>
      <w:pPr>
        <w:ind w:firstLine="160"/>
        <w:spacing w:after="0" w:line="267" w:lineRule="auto"/>
        <w:rPr>
          <w:sz w:val="20"/>
          <w:szCs w:val="20"/>
          <w:color w:val="auto"/>
        </w:rPr>
      </w:pPr>
      <w:r>
        <w:rPr>
          <w:rFonts w:ascii="Arial" w:cs="Arial" w:eastAsia="Arial" w:hAnsi="Arial"/>
          <w:sz w:val="13"/>
          <w:szCs w:val="13"/>
          <w:i w:val="1"/>
          <w:iCs w:val="1"/>
          <w:color w:val="E51837"/>
        </w:rPr>
        <w:t xml:space="preserve">Upstream </w:t>
      </w:r>
      <w:r>
        <w:rPr>
          <w:rFonts w:ascii="Arial" w:cs="Arial" w:eastAsia="Arial" w:hAnsi="Arial"/>
          <w:sz w:val="13"/>
          <w:szCs w:val="13"/>
          <w:color w:val="000000"/>
        </w:rPr>
        <w:t>Earnings for the upstream segment are closely aligned with industry price levels for crude oil</w:t>
      </w:r>
      <w:r>
        <w:rPr>
          <w:rFonts w:ascii="Arial" w:cs="Arial" w:eastAsia="Arial" w:hAnsi="Arial"/>
          <w:sz w:val="13"/>
          <w:szCs w:val="13"/>
          <w:i w:val="1"/>
          <w:iCs w:val="1"/>
          <w:color w:val="E51837"/>
        </w:rPr>
        <w:t xml:space="preserve"> </w:t>
      </w:r>
      <w:r>
        <w:rPr>
          <w:rFonts w:ascii="Arial" w:cs="Arial" w:eastAsia="Arial" w:hAnsi="Arial"/>
          <w:sz w:val="13"/>
          <w:szCs w:val="13"/>
          <w:color w:val="000000"/>
        </w:rPr>
        <w:t>and natural gas. Crude-oil and natural-gas prices are subject to 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2197100" cy="172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97100" cy="172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factors over which the company has no control, including product demand connected with global economic conditions, industry inventory levels, production quotas imposed by the Organization of Petroleum Exporting Countries (OPEC), weather-related damage and disruptions, competing fuel prices, and regional supply interruptions or fears thereof that may be caused by military conflicts, civil unrest or political uncertainty. Moreover, any of these factors could also inhibit the company’s production capacity in an affected region. The company monitors developments closely in the countries in which it operates and holds investments, and attempts to manage risks in operating its facilities and business.</w:t>
      </w:r>
    </w:p>
    <w:p>
      <w:pPr>
        <w:spacing w:after="0" w:line="83" w:lineRule="exact"/>
        <w:rPr>
          <w:sz w:val="20"/>
          <w:szCs w:val="20"/>
          <w:color w:val="auto"/>
        </w:rPr>
      </w:pPr>
    </w:p>
    <w:p>
      <w:pPr>
        <w:ind w:right="160" w:firstLine="160"/>
        <w:spacing w:after="0" w:line="250" w:lineRule="auto"/>
        <w:rPr>
          <w:sz w:val="20"/>
          <w:szCs w:val="20"/>
          <w:color w:val="auto"/>
        </w:rPr>
      </w:pPr>
      <w:r>
        <w:rPr>
          <w:rFonts w:ascii="Arial" w:cs="Arial" w:eastAsia="Arial" w:hAnsi="Arial"/>
          <w:sz w:val="13"/>
          <w:szCs w:val="13"/>
          <w:color w:val="auto"/>
        </w:rPr>
        <w:t>Price levels for capital and exploratory costs and operating expenses associated with the efficient production of crude oil and natural gas can also be subject to external factors beyond the company’s control. External factors include not only the general level of inflation but also prices charged by the industry’s material- and service-providers, which can be affected by the volatility of the industry’s own supply and demand conditions for such materials and services. Capital and exploratory expenditures and operating expenses also can be affected by damages to production facilities caused by severe weather or civil unrest.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firstLine="160"/>
        <w:spacing w:after="0" w:line="305" w:lineRule="auto"/>
        <w:rPr>
          <w:sz w:val="20"/>
          <w:szCs w:val="20"/>
          <w:color w:val="auto"/>
        </w:rPr>
      </w:pPr>
      <w:r>
        <w:rPr>
          <w:rFonts w:ascii="Arial" w:cs="Arial" w:eastAsia="Arial" w:hAnsi="Arial"/>
          <w:sz w:val="11"/>
          <w:szCs w:val="11"/>
          <w:color w:val="auto"/>
        </w:rPr>
        <w:t>Industry price levels for crude oil were volatile during 2008. The spot price for West Texas Intermediate (WTI) crude oil, a benchmark crude, started 2008 at $96 per barrel and peaked at $147 in early July. At the end of the year, the WTI price had fallen to $45 per barrel. As of mid-February 2009, the WTI price was $38 per barrel. The collapse in price during the second half of 2008 was largely driven by a decline in the demand for crude oil that was associated with a significant weakening in world economies. The WTI price averaged $100 per barrel for the full-year 2008, compared with $72 in 2007.</w:t>
      </w:r>
    </w:p>
    <w:p>
      <w:pPr>
        <w:spacing w:after="0" w:line="83" w:lineRule="exact"/>
        <w:rPr>
          <w:sz w:val="20"/>
          <w:szCs w:val="20"/>
          <w:color w:val="auto"/>
        </w:rPr>
      </w:pPr>
    </w:p>
    <w:p>
      <w:pPr>
        <w:ind w:right="20" w:firstLine="153"/>
        <w:spacing w:after="0" w:line="293" w:lineRule="auto"/>
        <w:rPr>
          <w:sz w:val="20"/>
          <w:szCs w:val="20"/>
          <w:color w:val="auto"/>
        </w:rPr>
      </w:pPr>
      <w:r>
        <w:rPr>
          <w:rFonts w:ascii="Arial" w:cs="Arial" w:eastAsia="Arial" w:hAnsi="Arial"/>
          <w:sz w:val="11"/>
          <w:szCs w:val="11"/>
          <w:color w:val="auto"/>
        </w:rPr>
        <w:t>As in 2007, a wide differential in prices existed in 2008 between high-quality (i.e., high-gravity, low-sulfur) crude oils and those of lower quality (i.e., low-gravity, high-sulfur crude). The relatively lower price for the high-sulfur crudes has been associated with an ample supply and relatively lower demand due to the limited number of refineries that are able to process this lower-quality feedstock into light products (i.e., motor gasoline, jet fuel, aviation gasoline and diesel fuel). Chevron produces or shares in the production of heavy crude oil in California, Chad, Indonesia, the Partitioned Neutral Zone between Saudi Arabia and Kuwait, Venezuela and certain fields in Angola, China and the United Kingdom North Sea. (Refer to page FS-10 for the company’s average U.S. and international crude oil realizations.)</w:t>
      </w:r>
    </w:p>
    <w:p>
      <w:pPr>
        <w:spacing w:after="0" w:line="3" w:lineRule="exact"/>
        <w:rPr>
          <w:sz w:val="20"/>
          <w:szCs w:val="20"/>
          <w:color w:val="auto"/>
        </w:rPr>
      </w:pPr>
    </w:p>
    <w:p>
      <w:pPr>
        <w:ind w:right="40" w:firstLine="160"/>
        <w:spacing w:after="0" w:line="309" w:lineRule="auto"/>
        <w:rPr>
          <w:sz w:val="20"/>
          <w:szCs w:val="20"/>
          <w:color w:val="auto"/>
        </w:rPr>
      </w:pPr>
      <w:r>
        <w:rPr>
          <w:rFonts w:ascii="Arial" w:cs="Arial" w:eastAsia="Arial" w:hAnsi="Arial"/>
          <w:sz w:val="11"/>
          <w:szCs w:val="11"/>
          <w:color w:val="auto"/>
        </w:rPr>
        <w:t>In contrast to price movements in the global market for crude oil, price changes for natural gas in many regional markets are more closely aligned with supply-and-demand conditions in those markets. In the United States during 2008, benchmark prices at Henry Hub averaged about $9 per thousand cubic feet (MCF), compared with about $7 in 2007. At December 31, 2008, and as of mid-February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2087245" cy="2508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87245" cy="2508250"/>
                    </a:xfrm>
                    <a:prstGeom prst="rect">
                      <a:avLst/>
                    </a:prstGeom>
                    <a:noFill/>
                  </pic:spPr>
                </pic:pic>
              </a:graphicData>
            </a:graphic>
          </wp:anchor>
        </w:drawing>
      </w:r>
    </w:p>
    <w:p>
      <w:pPr>
        <w:spacing w:after="0" w:line="4003"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1" w:lineRule="auto"/>
        <w:rPr>
          <w:sz w:val="20"/>
          <w:szCs w:val="20"/>
          <w:color w:val="auto"/>
        </w:rPr>
      </w:pPr>
      <w:r>
        <w:rPr>
          <w:rFonts w:ascii="Arial" w:cs="Arial" w:eastAsia="Arial" w:hAnsi="Arial"/>
          <w:sz w:val="12"/>
          <w:szCs w:val="12"/>
          <w:color w:val="auto"/>
        </w:rPr>
        <w:t>the Henry Hub price was about $5.60 and $4.70 per MCF, respectively. Fluctuations in the price for natural gas in the United States are closely associated with the volumes produced in North America and the inventory in underground storage relative to customer demand. U.S. natural gas prices are also typically higher during the winter period when demand for heating is greatest.</w:t>
      </w:r>
    </w:p>
    <w:p>
      <w:pPr>
        <w:spacing w:after="0" w:line="94" w:lineRule="exact"/>
        <w:rPr>
          <w:sz w:val="20"/>
          <w:szCs w:val="20"/>
          <w:color w:val="auto"/>
        </w:rPr>
      </w:pPr>
    </w:p>
    <w:p>
      <w:pPr>
        <w:ind w:right="20" w:firstLine="160"/>
        <w:spacing w:after="0" w:line="269" w:lineRule="auto"/>
        <w:rPr>
          <w:sz w:val="20"/>
          <w:szCs w:val="20"/>
          <w:color w:val="auto"/>
        </w:rPr>
      </w:pPr>
      <w:r>
        <w:rPr>
          <w:rFonts w:ascii="Arial" w:cs="Arial" w:eastAsia="Arial" w:hAnsi="Arial"/>
          <w:sz w:val="12"/>
          <w:szCs w:val="12"/>
          <w:color w:val="auto"/>
        </w:rPr>
        <w:t>Certain other regions of the world in which the company operates have different supply, demand and regulatory circumstances, typically resulting in lower average sales prices for the company’s production of natural gas. (Refer to page FS-10 for the company’s average natural gas realizations for the U.S. and international regions.) Additionally, excess-supply conditions that exist in certain parts of the world cannot easily serve to mitigate the relatively higher-price conditions in the United States and other markets because of the lack of infrastructure to transport and receive liquefied natural gas.</w:t>
      </w:r>
    </w:p>
    <w:p>
      <w:pPr>
        <w:spacing w:after="0" w:line="3" w:lineRule="exact"/>
        <w:rPr>
          <w:sz w:val="20"/>
          <w:szCs w:val="20"/>
          <w:color w:val="auto"/>
        </w:rPr>
      </w:pPr>
    </w:p>
    <w:p>
      <w:pPr>
        <w:ind w:right="20" w:firstLine="158"/>
        <w:spacing w:after="0" w:line="267" w:lineRule="auto"/>
        <w:rPr>
          <w:sz w:val="20"/>
          <w:szCs w:val="20"/>
          <w:color w:val="auto"/>
        </w:rPr>
      </w:pPr>
      <w:r>
        <w:rPr>
          <w:rFonts w:ascii="Arial" w:cs="Arial" w:eastAsia="Arial" w:hAnsi="Arial"/>
          <w:sz w:val="12"/>
          <w:szCs w:val="12"/>
          <w:color w:val="auto"/>
        </w:rPr>
        <w:t>To help address this regional imbalance between supply and demand for natural gas, Chevron continues to invest in long-term projects in areas of excess supply to install infrastructure to produce and liquefy natural gas for transport by tanker, along with investments and commitments to regasify the product in markets where demand is strong and supplies are not as plentiful. Due to the significance of the overall investment in these long-term projects, the natural gas sales prices in the areas of excess supply (before the natural gas is transferred to a processing facility) are expected to remain below sales prices for natural gas that is produced much nearer to areas of high demand and can be transported in existing natural gas pipeline networks (as in the United States or Thailand).</w:t>
      </w:r>
    </w:p>
    <w:p>
      <w:pPr>
        <w:spacing w:after="0" w:line="2" w:lineRule="exact"/>
        <w:rPr>
          <w:sz w:val="20"/>
          <w:szCs w:val="20"/>
          <w:color w:val="auto"/>
        </w:rPr>
      </w:pPr>
    </w:p>
    <w:p>
      <w:pPr>
        <w:ind w:right="200" w:firstLine="160"/>
        <w:spacing w:after="0" w:line="267" w:lineRule="auto"/>
        <w:rPr>
          <w:sz w:val="20"/>
          <w:szCs w:val="20"/>
          <w:color w:val="auto"/>
        </w:rPr>
      </w:pPr>
      <w:r>
        <w:rPr>
          <w:rFonts w:ascii="Arial" w:cs="Arial" w:eastAsia="Arial" w:hAnsi="Arial"/>
          <w:sz w:val="12"/>
          <w:szCs w:val="12"/>
          <w:color w:val="auto"/>
        </w:rPr>
        <w:t>Besides the impact of the fluctuation in price for crude oil and natural gas, the longer-term trend in earnings for the upstream segment is also a function of other factors, including the company’s ability to find or acquire and efficiently produce crude oil and natural gas, changes in fiscal terms of contracts, changes in tax rates on income, and the cost of goods and services.</w:t>
      </w:r>
    </w:p>
    <w:p>
      <w:pPr>
        <w:spacing w:after="0" w:line="1"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Chevron’s worldwide net oil-equivalent production in 2008, including volumes produced from oil sands, averaged 2.53 million barrels per day, a decline of about 90,000 barrels per day from 2007 due mainly to the impact of higher prices on volumes recovered under certain production-sharing and variable-royalty agreements outside the United States and damage to production facilities in September 2008 caused by hurricanes Gustav and Ike in the U.S. Gulf of Mexico. (Refer to the discussion of U.S. upstream production trends in the “Results of Operations” section on page</w:t>
      </w:r>
    </w:p>
    <w:p>
      <w:pPr>
        <w:spacing w:after="0" w:line="1" w:lineRule="exact"/>
        <w:rPr>
          <w:sz w:val="20"/>
          <w:szCs w:val="20"/>
          <w:color w:val="auto"/>
        </w:rPr>
      </w:pPr>
    </w:p>
    <w:p>
      <w:pPr>
        <w:ind w:right="520"/>
        <w:spacing w:after="0" w:line="253" w:lineRule="auto"/>
        <w:rPr>
          <w:sz w:val="20"/>
          <w:szCs w:val="20"/>
          <w:color w:val="auto"/>
        </w:rPr>
      </w:pPr>
      <w:r>
        <w:rPr>
          <w:rFonts w:ascii="Arial" w:cs="Arial" w:eastAsia="Arial" w:hAnsi="Arial"/>
          <w:sz w:val="13"/>
          <w:szCs w:val="13"/>
          <w:color w:val="auto"/>
        </w:rPr>
        <w:t>FS-6. Refer also to the “Selected Operating Data” table on page FS-10 for a listing of production volumes for each of the three years ending December 31,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158"/>
        <w:spacing w:after="0" w:line="299" w:lineRule="auto"/>
        <w:rPr>
          <w:sz w:val="20"/>
          <w:szCs w:val="20"/>
          <w:color w:val="auto"/>
        </w:rPr>
      </w:pPr>
      <w:r>
        <w:rPr>
          <w:rFonts w:ascii="Arial" w:cs="Arial" w:eastAsia="Arial" w:hAnsi="Arial"/>
          <w:sz w:val="11"/>
          <w:szCs w:val="11"/>
          <w:color w:val="auto"/>
        </w:rPr>
        <w:t>The company estimates that oil-equivalent production in 2009 will average approximately 2.63 million barrels per day. This estimate is subject to many uncertainties, including quotas that may be imposed by OPEC, price effects on production volumes calculated under cost-recovery and variable-royalty provisions of certain contracts, changes in fiscal terms or restrictions on the scope of company operations, delays in project startups, fluctuations in demand for natural gas in various markets, weather conditions that may shut in production, civil unrest, changing geopolitics, or other disruptions to operations. Future production levels also are affected by the size and number of economic investment opportunities and, for new large-scale projects, the time lag between initial exploration and the beginning of production. Most of Chevron’s upstream investment is currently being made outside the United States. Investments in upstream projects generally are made well in advance of the start of the associated production of crude oil and natural gas.</w:t>
      </w:r>
    </w:p>
    <w:p>
      <w:pPr>
        <w:spacing w:after="0" w:line="87" w:lineRule="exact"/>
        <w:rPr>
          <w:sz w:val="20"/>
          <w:szCs w:val="20"/>
          <w:color w:val="auto"/>
        </w:rPr>
      </w:pPr>
    </w:p>
    <w:p>
      <w:pPr>
        <w:ind w:right="140" w:firstLine="153"/>
        <w:spacing w:after="0" w:line="293" w:lineRule="auto"/>
        <w:rPr>
          <w:sz w:val="20"/>
          <w:szCs w:val="20"/>
          <w:color w:val="auto"/>
        </w:rPr>
      </w:pPr>
      <w:r>
        <w:rPr>
          <w:rFonts w:ascii="Arial" w:cs="Arial" w:eastAsia="Arial" w:hAnsi="Arial"/>
          <w:sz w:val="11"/>
          <w:szCs w:val="11"/>
          <w:color w:val="auto"/>
        </w:rPr>
        <w:t>Approximately 20 percent of the company’s net oil-equivalent production in 2008 occurred in the OPEC-member countries of Angola, Nigeria and Venezuela and in the Partitioned Neutral Zone between Saudi Arabia and Kuwait. (This production statistic excludes volumes produced in Indonesia, which relinquished its OPEC membership at the end of 2008.) At a meeting on December 17, 2008, OPEC announced a reduction of 4.2 million barrels per day, or 14 percent, from actual September 2008 production of 29 million barrels per day. The reduction became effective January 1, 2009. OPEC quotas did not significantly affect Chevron’s production level in 2007 or in 2008. The company’s current and future production levels could be affected by the cutbacks announced by OPEC in December 2008.</w:t>
      </w:r>
    </w:p>
    <w:p>
      <w:pPr>
        <w:spacing w:after="0" w:line="3" w:lineRule="exact"/>
        <w:rPr>
          <w:sz w:val="20"/>
          <w:szCs w:val="20"/>
          <w:color w:val="auto"/>
        </w:rPr>
      </w:pPr>
    </w:p>
    <w:p>
      <w:pPr>
        <w:ind w:right="180" w:firstLine="160"/>
        <w:spacing w:after="0" w:line="253" w:lineRule="auto"/>
        <w:rPr>
          <w:sz w:val="20"/>
          <w:szCs w:val="20"/>
          <w:color w:val="auto"/>
        </w:rPr>
      </w:pPr>
      <w:r>
        <w:rPr>
          <w:rFonts w:ascii="Arial" w:cs="Arial" w:eastAsia="Arial" w:hAnsi="Arial"/>
          <w:sz w:val="13"/>
          <w:szCs w:val="13"/>
          <w:color w:val="auto"/>
        </w:rPr>
        <w:t>Refer to the “Results of Operations” section on pages FS-6 through FS-7 for additional discussion of the company’s upstream operations.</w:t>
      </w:r>
    </w:p>
    <w:p>
      <w:pPr>
        <w:spacing w:after="0" w:line="109" w:lineRule="exact"/>
        <w:rPr>
          <w:sz w:val="20"/>
          <w:szCs w:val="20"/>
          <w:color w:val="auto"/>
        </w:rPr>
      </w:pPr>
    </w:p>
    <w:p>
      <w:pPr>
        <w:ind w:firstLine="160"/>
        <w:spacing w:after="0" w:line="274" w:lineRule="auto"/>
        <w:rPr>
          <w:sz w:val="20"/>
          <w:szCs w:val="20"/>
          <w:color w:val="auto"/>
        </w:rPr>
      </w:pPr>
      <w:r>
        <w:rPr>
          <w:rFonts w:ascii="Arial" w:cs="Arial" w:eastAsia="Arial" w:hAnsi="Arial"/>
          <w:sz w:val="12"/>
          <w:szCs w:val="12"/>
          <w:i w:val="1"/>
          <w:iCs w:val="1"/>
          <w:color w:val="E51837"/>
        </w:rPr>
        <w:t xml:space="preserve">Downstream </w:t>
      </w:r>
      <w:r>
        <w:rPr>
          <w:rFonts w:ascii="Arial" w:cs="Arial" w:eastAsia="Arial" w:hAnsi="Arial"/>
          <w:sz w:val="12"/>
          <w:szCs w:val="12"/>
          <w:color w:val="000000"/>
        </w:rPr>
        <w:t>Earnings for the downstream segment are closely tied to margins on the refining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marketing of products that include gasoline, diesel, jet fuel, lubricants, fuel oil and feedstocks for chemical manufacturing. Industry margins are sometimes volatile and can be affected by the global and regional supply-and-demand balance for refined products and by changes in the price of crude oil used for refinery feedstock. Industry margins can also be influenced by refined-product inventory levels, geopolitical events, refinery maintenance programs and disruptions at refineries resulting from unplanned outages that may be due to severe weather or other operational events.</w:t>
      </w:r>
    </w:p>
    <w:p>
      <w:pPr>
        <w:spacing w:after="0" w:line="108" w:lineRule="exact"/>
        <w:rPr>
          <w:sz w:val="20"/>
          <w:szCs w:val="20"/>
          <w:color w:val="auto"/>
        </w:rPr>
      </w:pPr>
    </w:p>
    <w:p>
      <w:pPr>
        <w:ind w:right="100" w:firstLine="160"/>
        <w:spacing w:after="0" w:line="267" w:lineRule="auto"/>
        <w:rPr>
          <w:sz w:val="20"/>
          <w:szCs w:val="20"/>
          <w:color w:val="auto"/>
        </w:rPr>
      </w:pPr>
      <w:r>
        <w:rPr>
          <w:rFonts w:ascii="Arial" w:cs="Arial" w:eastAsia="Arial" w:hAnsi="Arial"/>
          <w:sz w:val="13"/>
          <w:szCs w:val="13"/>
          <w:color w:val="auto"/>
        </w:rPr>
        <w:t>Other factors affecting profitability for downstream operations include the reliability and efficiency of the company’s refining and marketing network, the effectiveness of</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45" w:name="page46"/>
    <w:bookmarkEnd w:id="45"/>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80"/>
          </w:cols>
          <w:pgMar w:left="220" w:top="339" w:right="199" w:bottom="1440" w:gutter="0" w:footer="0" w:header="0"/>
        </w:sectPr>
      </w:pPr>
    </w:p>
    <w:p>
      <w:pPr>
        <w:spacing w:after="0" w:line="377"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the crude-oil and product-supply functions and the economic returns on invested capital. Profitability can also be affected by the volatility of tanker-charter rates for the company’s shipping operations, which are driven by the industry’s demand for crude oil and product tankers. Other factors beyond the company’s control include the general level of inflation and energy costs to operate the company’s refinery and distribution network.</w:t>
      </w:r>
    </w:p>
    <w:p>
      <w:pPr>
        <w:spacing w:after="0" w:line="112" w:lineRule="exact"/>
        <w:rPr>
          <w:sz w:val="20"/>
          <w:szCs w:val="20"/>
          <w:color w:val="auto"/>
        </w:rPr>
      </w:pPr>
    </w:p>
    <w:p>
      <w:pPr>
        <w:ind w:firstLine="158"/>
        <w:spacing w:after="0" w:line="293" w:lineRule="auto"/>
        <w:rPr>
          <w:sz w:val="20"/>
          <w:szCs w:val="20"/>
          <w:color w:val="auto"/>
        </w:rPr>
      </w:pPr>
      <w:r>
        <w:rPr>
          <w:rFonts w:ascii="Arial" w:cs="Arial" w:eastAsia="Arial" w:hAnsi="Arial"/>
          <w:sz w:val="11"/>
          <w:szCs w:val="11"/>
          <w:color w:val="auto"/>
        </w:rPr>
        <w:t>The company’s most significant marketing areas are the West Coast of North America, the U.S. Gulf Coast, Latin America, Asia, southern Africa and the United Kingdom. Chevron operates or has ownership interests in refineries in each of these areas except Latin America. Downstream earnings, especially in the United States, were weak from mid-2007 through mid-2008 due mainly to increasing prices of crude oil used in the refining process that were not always fully recovered through sales prices of refined products. Margins significantly improved in the second half of 2008 as the price of crude oil declined. As part of its downstream strategy to focus on areas of market strength, the company announced plans to sell marketing businesses in several countries. Refer to the discussion in “Operating Developments” below.</w:t>
      </w:r>
    </w:p>
    <w:p>
      <w:pPr>
        <w:spacing w:after="0" w:line="3" w:lineRule="exact"/>
        <w:rPr>
          <w:sz w:val="20"/>
          <w:szCs w:val="20"/>
          <w:color w:val="auto"/>
        </w:rPr>
      </w:pPr>
    </w:p>
    <w:p>
      <w:pPr>
        <w:ind w:right="120" w:firstLine="160"/>
        <w:spacing w:after="0" w:line="267" w:lineRule="auto"/>
        <w:rPr>
          <w:sz w:val="20"/>
          <w:szCs w:val="20"/>
          <w:color w:val="auto"/>
        </w:rPr>
      </w:pPr>
      <w:r>
        <w:rPr>
          <w:rFonts w:ascii="Arial" w:cs="Arial" w:eastAsia="Arial" w:hAnsi="Arial"/>
          <w:sz w:val="12"/>
          <w:szCs w:val="12"/>
          <w:color w:val="auto"/>
        </w:rPr>
        <w:t>Industry margins in the future may be volatile and are influenced by changes in the price of crude oil used for refinery feedstock and by changes in the supply and demand for crude oil and refined products. The industry supply-and-demand balance can be affected by disruptions at refineries resulting from maintenance programs and unplanned outages, including weather-related disruptions; refined-product inventory levels; and geopolitical events.</w:t>
      </w:r>
    </w:p>
    <w:p>
      <w:pPr>
        <w:spacing w:after="0" w:line="1" w:lineRule="exact"/>
        <w:rPr>
          <w:sz w:val="20"/>
          <w:szCs w:val="20"/>
          <w:color w:val="auto"/>
        </w:rPr>
      </w:pPr>
    </w:p>
    <w:p>
      <w:pPr>
        <w:ind w:left="160" w:right="80"/>
        <w:spacing w:after="0" w:line="410" w:lineRule="auto"/>
        <w:rPr>
          <w:sz w:val="20"/>
          <w:szCs w:val="20"/>
          <w:color w:val="auto"/>
        </w:rPr>
      </w:pPr>
      <w:r>
        <w:rPr>
          <w:rFonts w:ascii="Arial" w:cs="Arial" w:eastAsia="Arial" w:hAnsi="Arial"/>
          <w:sz w:val="11"/>
          <w:szCs w:val="11"/>
          <w:color w:val="auto"/>
        </w:rPr>
        <w:t xml:space="preserve">Refer to pages FS-7 through FS-8 for additional discussion of the company’s downstream operations. </w:t>
      </w:r>
      <w:r>
        <w:rPr>
          <w:rFonts w:ascii="Arial" w:cs="Arial" w:eastAsia="Arial" w:hAnsi="Arial"/>
          <w:sz w:val="11"/>
          <w:szCs w:val="11"/>
          <w:i w:val="1"/>
          <w:iCs w:val="1"/>
          <w:color w:val="E51837"/>
        </w:rPr>
        <w:t xml:space="preserve">Chemicals </w:t>
      </w:r>
      <w:r>
        <w:rPr>
          <w:rFonts w:ascii="Arial" w:cs="Arial" w:eastAsia="Arial" w:hAnsi="Arial"/>
          <w:sz w:val="11"/>
          <w:szCs w:val="11"/>
          <w:color w:val="000000"/>
        </w:rPr>
        <w:t>Earnings in the petrochemicals business are closely tied to global chemical demand,</w:t>
      </w:r>
    </w:p>
    <w:p>
      <w:pPr>
        <w:ind w:right="200"/>
        <w:spacing w:after="0" w:line="294" w:lineRule="auto"/>
        <w:rPr>
          <w:sz w:val="20"/>
          <w:szCs w:val="20"/>
          <w:color w:val="auto"/>
        </w:rPr>
      </w:pPr>
      <w:r>
        <w:rPr>
          <w:rFonts w:ascii="Arial" w:cs="Arial" w:eastAsia="Arial" w:hAnsi="Arial"/>
          <w:sz w:val="12"/>
          <w:szCs w:val="12"/>
          <w:color w:val="auto"/>
        </w:rPr>
        <w:t>industry inventory levels and plant capacity utilization. Feedstock and fuel costs, which tend to follow crude oil and natural gas price movements, also influence earnings in this segment.</w:t>
      </w:r>
    </w:p>
    <w:p>
      <w:pPr>
        <w:spacing w:after="0" w:line="96" w:lineRule="exact"/>
        <w:rPr>
          <w:sz w:val="20"/>
          <w:szCs w:val="20"/>
          <w:color w:val="auto"/>
        </w:rPr>
      </w:pPr>
    </w:p>
    <w:p>
      <w:pPr>
        <w:ind w:right="340" w:firstLine="160"/>
        <w:spacing w:after="0" w:line="267" w:lineRule="auto"/>
        <w:rPr>
          <w:sz w:val="20"/>
          <w:szCs w:val="20"/>
          <w:color w:val="auto"/>
        </w:rPr>
      </w:pPr>
      <w:r>
        <w:rPr>
          <w:rFonts w:ascii="Arial" w:cs="Arial" w:eastAsia="Arial" w:hAnsi="Arial"/>
          <w:sz w:val="13"/>
          <w:szCs w:val="13"/>
          <w:color w:val="auto"/>
        </w:rPr>
        <w:t>Refer to the “Results of Operations” section on page FS-8 for additional discussion of chemicals earnings.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Developments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Key operating developments and other events during 2008 and early 2009 included the following: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Upstream</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i w:val="1"/>
          <w:iCs w:val="1"/>
          <w:color w:val="E51837"/>
        </w:rPr>
        <w:t xml:space="preserve">Australia </w:t>
      </w:r>
      <w:r>
        <w:rPr>
          <w:rFonts w:ascii="Arial" w:cs="Arial" w:eastAsia="Arial" w:hAnsi="Arial"/>
          <w:sz w:val="12"/>
          <w:szCs w:val="12"/>
          <w:color w:val="000000"/>
        </w:rPr>
        <w:t>Started production from Train 5 of the 17 percent-owned North West Shelf Venture onshore</w:t>
      </w:r>
      <w:r>
        <w:rPr>
          <w:rFonts w:ascii="Arial" w:cs="Arial" w:eastAsia="Arial" w:hAnsi="Arial"/>
          <w:sz w:val="12"/>
          <w:szCs w:val="12"/>
          <w:i w:val="1"/>
          <w:iCs w:val="1"/>
          <w:color w:val="E51837"/>
        </w:rPr>
        <w:t xml:space="preserve"> </w:t>
      </w:r>
      <w:r>
        <w:rPr>
          <w:rFonts w:ascii="Arial" w:cs="Arial" w:eastAsia="Arial" w:hAnsi="Arial"/>
          <w:sz w:val="12"/>
          <w:szCs w:val="12"/>
          <w:color w:val="000000"/>
        </w:rPr>
        <w:t>liquefied-natural-gas (LNG) facility in West Australia, increasing export capacity from about 12 million metric tons annually to more than 16 million. The company also announced plans for an LNG project that initially will have a capacity of 5 million tons per year and process natural gas from Chevron’s</w:t>
      </w:r>
    </w:p>
    <w:p>
      <w:pPr>
        <w:ind w:left="160" w:right="60" w:hanging="159"/>
        <w:spacing w:after="0" w:line="291" w:lineRule="auto"/>
        <w:rPr>
          <w:sz w:val="20"/>
          <w:szCs w:val="20"/>
          <w:color w:val="auto"/>
        </w:rPr>
      </w:pPr>
      <w:r>
        <w:rPr>
          <w:rFonts w:ascii="Arial" w:cs="Arial" w:eastAsia="Arial" w:hAnsi="Arial"/>
          <w:sz w:val="11"/>
          <w:szCs w:val="11"/>
          <w:color w:val="auto"/>
        </w:rPr>
        <w:t xml:space="preserve">100 percent-owned Wheatstone discovery located on the northwest coast of mainland Australia. </w:t>
      </w:r>
      <w:r>
        <w:rPr>
          <w:rFonts w:ascii="Arial" w:cs="Arial" w:eastAsia="Arial" w:hAnsi="Arial"/>
          <w:sz w:val="11"/>
          <w:szCs w:val="11"/>
          <w:i w:val="1"/>
          <w:iCs w:val="1"/>
          <w:color w:val="E51837"/>
        </w:rPr>
        <w:t xml:space="preserve">Canada </w:t>
      </w:r>
      <w:r>
        <w:rPr>
          <w:rFonts w:ascii="Arial" w:cs="Arial" w:eastAsia="Arial" w:hAnsi="Arial"/>
          <w:sz w:val="11"/>
          <w:szCs w:val="11"/>
          <w:color w:val="000000"/>
        </w:rPr>
        <w:t>Finalized agreements with the government of Newfoundland and Labrador to develop the 27</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percent-owned Hebron heavy-oil project off the eastern coast.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340" w:right="140" w:firstLine="160"/>
        <w:spacing w:after="0" w:line="309" w:lineRule="auto"/>
        <w:rPr>
          <w:sz w:val="20"/>
          <w:szCs w:val="20"/>
          <w:color w:val="auto"/>
        </w:rPr>
      </w:pPr>
      <w:r>
        <w:rPr>
          <w:rFonts w:ascii="Arial" w:cs="Arial" w:eastAsia="Arial" w:hAnsi="Arial"/>
          <w:sz w:val="12"/>
          <w:szCs w:val="12"/>
          <w:i w:val="1"/>
          <w:iCs w:val="1"/>
          <w:color w:val="E51837"/>
        </w:rPr>
        <w:t xml:space="preserve">Indonesia </w:t>
      </w:r>
      <w:r>
        <w:rPr>
          <w:rFonts w:ascii="Arial" w:cs="Arial" w:eastAsia="Arial" w:hAnsi="Arial"/>
          <w:sz w:val="12"/>
          <w:szCs w:val="12"/>
          <w:color w:val="000000"/>
        </w:rPr>
        <w:t>Achieved first oil at North Duri Field Area 12, which Chevron operates with a 100 percent</w:t>
      </w:r>
      <w:r>
        <w:rPr>
          <w:rFonts w:ascii="Arial" w:cs="Arial" w:eastAsia="Arial" w:hAnsi="Arial"/>
          <w:sz w:val="12"/>
          <w:szCs w:val="12"/>
          <w:i w:val="1"/>
          <w:iCs w:val="1"/>
          <w:color w:val="E51837"/>
        </w:rPr>
        <w:t xml:space="preserve"> </w:t>
      </w:r>
      <w:r>
        <w:rPr>
          <w:rFonts w:ascii="Arial" w:cs="Arial" w:eastAsia="Arial" w:hAnsi="Arial"/>
          <w:sz w:val="12"/>
          <w:szCs w:val="12"/>
          <w:color w:val="000000"/>
        </w:rPr>
        <w:t>interest. Maximum total crude-oil production of 34,000 barrels per day is expected in 2012.</w:t>
      </w:r>
    </w:p>
    <w:p>
      <w:pPr>
        <w:spacing w:after="0" w:line="77" w:lineRule="exact"/>
        <w:rPr>
          <w:sz w:val="20"/>
          <w:szCs w:val="20"/>
          <w:color w:val="auto"/>
        </w:rPr>
      </w:pPr>
    </w:p>
    <w:p>
      <w:pPr>
        <w:ind w:left="340" w:right="40" w:firstLine="160"/>
        <w:spacing w:after="0" w:line="253" w:lineRule="auto"/>
        <w:rPr>
          <w:sz w:val="20"/>
          <w:szCs w:val="20"/>
          <w:color w:val="auto"/>
        </w:rPr>
      </w:pPr>
      <w:r>
        <w:rPr>
          <w:rFonts w:ascii="Arial" w:cs="Arial" w:eastAsia="Arial" w:hAnsi="Arial"/>
          <w:sz w:val="13"/>
          <w:szCs w:val="13"/>
          <w:i w:val="1"/>
          <w:iCs w:val="1"/>
          <w:color w:val="E51837"/>
        </w:rPr>
        <w:t xml:space="preserve">Kazakhstan </w:t>
      </w:r>
      <w:r>
        <w:rPr>
          <w:rFonts w:ascii="Arial" w:cs="Arial" w:eastAsia="Arial" w:hAnsi="Arial"/>
          <w:sz w:val="13"/>
          <w:szCs w:val="13"/>
          <w:color w:val="000000"/>
        </w:rPr>
        <w:t>Completed the second phase of a major expansion of production operations and processing</w:t>
      </w:r>
      <w:r>
        <w:rPr>
          <w:rFonts w:ascii="Arial" w:cs="Arial" w:eastAsia="Arial" w:hAnsi="Arial"/>
          <w:sz w:val="13"/>
          <w:szCs w:val="13"/>
          <w:i w:val="1"/>
          <w:iCs w:val="1"/>
          <w:color w:val="E51837"/>
        </w:rPr>
        <w:t xml:space="preserve"> </w:t>
      </w:r>
      <w:r>
        <w:rPr>
          <w:rFonts w:ascii="Arial" w:cs="Arial" w:eastAsia="Arial" w:hAnsi="Arial"/>
          <w:sz w:val="13"/>
          <w:szCs w:val="13"/>
          <w:color w:val="000000"/>
        </w:rPr>
        <w:t>facilities at the 50 percent-owned Tengizchevroil affiliate, increasing</w:t>
      </w:r>
    </w:p>
    <w:p>
      <w:pPr>
        <w:spacing w:after="0" w:line="1" w:lineRule="exact"/>
        <w:rPr>
          <w:sz w:val="20"/>
          <w:szCs w:val="20"/>
          <w:color w:val="auto"/>
        </w:rPr>
      </w:pPr>
    </w:p>
    <w:p>
      <w:pPr>
        <w:ind w:left="3200" w:right="20"/>
        <w:spacing w:after="0" w:line="246" w:lineRule="auto"/>
        <w:rPr>
          <w:sz w:val="20"/>
          <w:szCs w:val="20"/>
          <w:color w:val="auto"/>
        </w:rPr>
      </w:pPr>
      <w:r>
        <w:rPr>
          <w:rFonts w:ascii="Arial" w:cs="Arial" w:eastAsia="Arial" w:hAnsi="Arial"/>
          <w:sz w:val="13"/>
          <w:szCs w:val="13"/>
          <w:color w:val="auto"/>
        </w:rPr>
        <w:t>total crude-oil production capacity from 400,000 to 540,000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-193675</wp:posOffset>
            </wp:positionV>
            <wp:extent cx="1019175" cy="2453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19175" cy="2453005"/>
                    </a:xfrm>
                    <a:prstGeom prst="rect">
                      <a:avLst/>
                    </a:prstGeom>
                    <a:noFill/>
                  </pic:spPr>
                </pic:pic>
              </a:graphicData>
            </a:graphic>
          </wp:anchor>
        </w:drawing>
      </w:r>
    </w:p>
    <w:p>
      <w:pPr>
        <w:ind w:left="3200" w:right="40" w:firstLine="160"/>
        <w:spacing w:after="0" w:line="267" w:lineRule="auto"/>
        <w:rPr>
          <w:sz w:val="20"/>
          <w:szCs w:val="20"/>
          <w:color w:val="auto"/>
        </w:rPr>
      </w:pPr>
      <w:r>
        <w:rPr>
          <w:rFonts w:ascii="Arial" w:cs="Arial" w:eastAsia="Arial" w:hAnsi="Arial"/>
          <w:sz w:val="12"/>
          <w:szCs w:val="12"/>
          <w:i w:val="1"/>
          <w:iCs w:val="1"/>
          <w:color w:val="E51837"/>
        </w:rPr>
        <w:t xml:space="preserve">Middle East </w:t>
      </w:r>
      <w:r>
        <w:rPr>
          <w:rFonts w:ascii="Arial" w:cs="Arial" w:eastAsia="Arial" w:hAnsi="Arial"/>
          <w:sz w:val="12"/>
          <w:szCs w:val="12"/>
          <w:color w:val="000000"/>
        </w:rPr>
        <w:t>Signed an agreement with the</w:t>
      </w:r>
      <w:r>
        <w:rPr>
          <w:rFonts w:ascii="Arial" w:cs="Arial" w:eastAsia="Arial" w:hAnsi="Arial"/>
          <w:sz w:val="12"/>
          <w:szCs w:val="12"/>
          <w:i w:val="1"/>
          <w:iCs w:val="1"/>
          <w:color w:val="E51837"/>
        </w:rPr>
        <w:t xml:space="preserve"> </w:t>
      </w:r>
      <w:r>
        <w:rPr>
          <w:rFonts w:ascii="Arial" w:cs="Arial" w:eastAsia="Arial" w:hAnsi="Arial"/>
          <w:sz w:val="12"/>
          <w:szCs w:val="12"/>
          <w:color w:val="000000"/>
        </w:rPr>
        <w:t>Kingdom of Saudi Arabia to extend to 2039 the company’s operation of the Kingdom’s 50 percent interest in oil and gas resources of the onshore area of the Partitioned Neutral Zone between the Kingdom and the state of Kuwait.</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3"/>
          <w:szCs w:val="13"/>
          <w:i w:val="1"/>
          <w:iCs w:val="1"/>
          <w:color w:val="E51837"/>
        </w:rPr>
        <w:t xml:space="preserve">Nigeria </w:t>
      </w:r>
      <w:r>
        <w:rPr>
          <w:rFonts w:ascii="Arial" w:cs="Arial" w:eastAsia="Arial" w:hAnsi="Arial"/>
          <w:sz w:val="13"/>
          <w:szCs w:val="13"/>
          <w:color w:val="000000"/>
        </w:rPr>
        <w:t>Started production offshore at the</w:t>
      </w:r>
    </w:p>
    <w:p>
      <w:pPr>
        <w:spacing w:after="0" w:line="4" w:lineRule="exact"/>
        <w:rPr>
          <w:sz w:val="20"/>
          <w:szCs w:val="20"/>
          <w:color w:val="auto"/>
        </w:rPr>
      </w:pPr>
    </w:p>
    <w:p>
      <w:pPr>
        <w:ind w:left="3200"/>
        <w:spacing w:after="0" w:line="270" w:lineRule="auto"/>
        <w:rPr>
          <w:sz w:val="20"/>
          <w:szCs w:val="20"/>
          <w:color w:val="auto"/>
        </w:rPr>
      </w:pPr>
      <w:r>
        <w:rPr>
          <w:rFonts w:ascii="Arial" w:cs="Arial" w:eastAsia="Arial" w:hAnsi="Arial"/>
          <w:sz w:val="12"/>
          <w:szCs w:val="12"/>
          <w:color w:val="auto"/>
        </w:rPr>
        <w:t>68 percent-owned and operated Agbami Field, with total oil production expected to reach a maximum of 250,000 barrels per day by the end of 2009. The company and partners also announced plans to develop the 30 percent-owned and partner-operated offshore Usan Field, which is expected to have maximum total production of 180,000 barrels of crude oil per day within one year of start-up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340" w:right="180" w:firstLine="160"/>
        <w:spacing w:after="0" w:line="251" w:lineRule="auto"/>
        <w:rPr>
          <w:sz w:val="20"/>
          <w:szCs w:val="20"/>
          <w:color w:val="auto"/>
        </w:rPr>
      </w:pPr>
      <w:r>
        <w:rPr>
          <w:rFonts w:ascii="Arial" w:cs="Arial" w:eastAsia="Arial" w:hAnsi="Arial"/>
          <w:sz w:val="13"/>
          <w:szCs w:val="13"/>
          <w:i w:val="1"/>
          <w:iCs w:val="1"/>
          <w:color w:val="E51837"/>
        </w:rPr>
        <w:t xml:space="preserve">Republic of the Congo </w:t>
      </w:r>
      <w:r>
        <w:rPr>
          <w:rFonts w:ascii="Arial" w:cs="Arial" w:eastAsia="Arial" w:hAnsi="Arial"/>
          <w:sz w:val="13"/>
          <w:szCs w:val="13"/>
          <w:color w:val="000000"/>
        </w:rPr>
        <w:t>Confirmed startup of the 32 percent-owned, partner-operated Moho-Bilondo</w:t>
      </w:r>
      <w:r>
        <w:rPr>
          <w:rFonts w:ascii="Arial" w:cs="Arial" w:eastAsia="Arial" w:hAnsi="Arial"/>
          <w:sz w:val="13"/>
          <w:szCs w:val="13"/>
          <w:i w:val="1"/>
          <w:iCs w:val="1"/>
          <w:color w:val="E51837"/>
        </w:rPr>
        <w:t xml:space="preserve"> </w:t>
      </w:r>
      <w:r>
        <w:rPr>
          <w:rFonts w:ascii="Arial" w:cs="Arial" w:eastAsia="Arial" w:hAnsi="Arial"/>
          <w:sz w:val="13"/>
          <w:szCs w:val="13"/>
          <w:color w:val="000000"/>
        </w:rPr>
        <w:t>deepwater project, which is expected to reach maximum total crude-oil production of 90,000 barrels per day in 2010.</w:t>
      </w:r>
    </w:p>
    <w:p>
      <w:pPr>
        <w:spacing w:after="0" w:line="1" w:lineRule="exact"/>
        <w:rPr>
          <w:sz w:val="20"/>
          <w:szCs w:val="20"/>
          <w:color w:val="auto"/>
        </w:rPr>
      </w:pPr>
    </w:p>
    <w:p>
      <w:pPr>
        <w:ind w:left="340" w:right="80" w:firstLine="160"/>
        <w:spacing w:after="0" w:line="246" w:lineRule="auto"/>
        <w:rPr>
          <w:sz w:val="20"/>
          <w:szCs w:val="20"/>
          <w:color w:val="auto"/>
        </w:rPr>
      </w:pPr>
      <w:r>
        <w:rPr>
          <w:rFonts w:ascii="Arial" w:cs="Arial" w:eastAsia="Arial" w:hAnsi="Arial"/>
          <w:sz w:val="13"/>
          <w:szCs w:val="13"/>
          <w:i w:val="1"/>
          <w:iCs w:val="1"/>
          <w:color w:val="E51837"/>
        </w:rPr>
        <w:t xml:space="preserve">Thailand </w:t>
      </w:r>
      <w:r>
        <w:rPr>
          <w:rFonts w:ascii="Arial" w:cs="Arial" w:eastAsia="Arial" w:hAnsi="Arial"/>
          <w:sz w:val="13"/>
          <w:szCs w:val="13"/>
          <w:color w:val="000000"/>
        </w:rPr>
        <w:t>Approved construction in the Gulf of Thailand of the 70 percent-owned and operated Platong</w:t>
      </w:r>
      <w:r>
        <w:rPr>
          <w:rFonts w:ascii="Arial" w:cs="Arial" w:eastAsia="Arial" w:hAnsi="Arial"/>
          <w:sz w:val="13"/>
          <w:szCs w:val="13"/>
          <w:i w:val="1"/>
          <w:iCs w:val="1"/>
          <w:color w:val="E51837"/>
        </w:rPr>
        <w:t xml:space="preserve"> </w:t>
      </w:r>
      <w:r>
        <w:rPr>
          <w:rFonts w:ascii="Arial" w:cs="Arial" w:eastAsia="Arial" w:hAnsi="Arial"/>
          <w:sz w:val="13"/>
          <w:szCs w:val="13"/>
          <w:color w:val="000000"/>
        </w:rPr>
        <w:t>Gas II project, which is designed to have processing capacity of 420 million cubic feet of natural gas per day.</w:t>
      </w:r>
    </w:p>
    <w:p>
      <w:pPr>
        <w:spacing w:after="0" w:line="2" w:lineRule="exact"/>
        <w:rPr>
          <w:sz w:val="20"/>
          <w:szCs w:val="20"/>
          <w:color w:val="auto"/>
        </w:rPr>
      </w:pPr>
    </w:p>
    <w:p>
      <w:pPr>
        <w:ind w:left="340" w:right="160" w:firstLine="160"/>
        <w:spacing w:after="0" w:line="250" w:lineRule="auto"/>
        <w:rPr>
          <w:sz w:val="20"/>
          <w:szCs w:val="20"/>
          <w:color w:val="auto"/>
        </w:rPr>
      </w:pPr>
      <w:r>
        <w:rPr>
          <w:rFonts w:ascii="Arial" w:cs="Arial" w:eastAsia="Arial" w:hAnsi="Arial"/>
          <w:sz w:val="13"/>
          <w:szCs w:val="13"/>
          <w:i w:val="1"/>
          <w:iCs w:val="1"/>
          <w:color w:val="E51837"/>
        </w:rPr>
        <w:t xml:space="preserve">United States </w:t>
      </w:r>
      <w:r>
        <w:rPr>
          <w:rFonts w:ascii="Arial" w:cs="Arial" w:eastAsia="Arial" w:hAnsi="Arial"/>
          <w:sz w:val="13"/>
          <w:szCs w:val="13"/>
          <w:color w:val="000000"/>
        </w:rPr>
        <w:t>Began production at the 75 percent-owned and operated Blind Faith project in the</w:t>
      </w:r>
      <w:r>
        <w:rPr>
          <w:rFonts w:ascii="Arial" w:cs="Arial" w:eastAsia="Arial" w:hAnsi="Arial"/>
          <w:sz w:val="13"/>
          <w:szCs w:val="13"/>
          <w:i w:val="1"/>
          <w:iCs w:val="1"/>
          <w:color w:val="E51837"/>
        </w:rPr>
        <w:t xml:space="preserve"> </w:t>
      </w:r>
      <w:r>
        <w:rPr>
          <w:rFonts w:ascii="Arial" w:cs="Arial" w:eastAsia="Arial" w:hAnsi="Arial"/>
          <w:sz w:val="13"/>
          <w:szCs w:val="13"/>
          <w:color w:val="000000"/>
        </w:rPr>
        <w:t>deepwater Gulf of Mexico. Total volumes are expected to ramp up during 2009 to approximately 65,000 barrels of crude oil and 55 million cubic feet of natural gas per day.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Downstream</w:t>
      </w:r>
    </w:p>
    <w:p>
      <w:pPr>
        <w:spacing w:after="0" w:line="116" w:lineRule="exact"/>
        <w:rPr>
          <w:sz w:val="20"/>
          <w:szCs w:val="20"/>
          <w:color w:val="auto"/>
        </w:rPr>
      </w:pPr>
    </w:p>
    <w:p>
      <w:pPr>
        <w:ind w:left="340" w:right="140"/>
        <w:spacing w:after="0" w:line="267" w:lineRule="auto"/>
        <w:rPr>
          <w:sz w:val="20"/>
          <w:szCs w:val="20"/>
          <w:color w:val="auto"/>
        </w:rPr>
      </w:pPr>
      <w:r>
        <w:rPr>
          <w:rFonts w:ascii="Arial" w:cs="Arial" w:eastAsia="Arial" w:hAnsi="Arial"/>
          <w:sz w:val="13"/>
          <w:szCs w:val="13"/>
          <w:color w:val="auto"/>
        </w:rPr>
        <w:t>The company announced plans to sell marketing-related businesses in Brazil, Nigeria, Benin, Cameroon, Republic of the Congo, Côte d’Ivoire, Togo, Kenya, and Uganda.</w:t>
      </w: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FS-5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40" w:space="180"/>
            <w:col w:w="5860"/>
          </w:cols>
          <w:pgMar w:left="220" w:top="339" w:right="199" w:bottom="1440" w:gutter="0" w:footer="0" w:header="0"/>
          <w:type w:val="continuous"/>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3"/>
          <w:szCs w:val="13"/>
          <w:i w:val="1"/>
          <w:iCs w:val="1"/>
          <w:color w:val="E51837"/>
        </w:rPr>
        <w:t xml:space="preserve">Common Stock Dividends </w:t>
      </w:r>
      <w:r>
        <w:rPr>
          <w:rFonts w:ascii="Arial" w:cs="Arial" w:eastAsia="Arial" w:hAnsi="Arial"/>
          <w:sz w:val="13"/>
          <w:szCs w:val="13"/>
          <w:color w:val="000000"/>
        </w:rPr>
        <w:t>Increased the quarterly common stock dividend by 12.1 percent in April 2008 to</w:t>
      </w:r>
      <w:r>
        <w:rPr>
          <w:rFonts w:ascii="Arial" w:cs="Arial" w:eastAsia="Arial" w:hAnsi="Arial"/>
          <w:sz w:val="13"/>
          <w:szCs w:val="13"/>
          <w:i w:val="1"/>
          <w:iCs w:val="1"/>
          <w:color w:val="E51837"/>
        </w:rPr>
        <w:t xml:space="preserve"> </w:t>
      </w:r>
      <w:r>
        <w:rPr>
          <w:rFonts w:ascii="Arial" w:cs="Arial" w:eastAsia="Arial" w:hAnsi="Arial"/>
          <w:sz w:val="13"/>
          <w:szCs w:val="13"/>
          <w:color w:val="000000"/>
        </w:rPr>
        <w:t>$0.65 per share. 2008 was the 21st consecutive year that the company increased its annual dividend payment.</w:t>
      </w:r>
    </w:p>
    <w:p>
      <w:pPr>
        <w:spacing w:after="0" w:line="1" w:lineRule="exact"/>
        <w:rPr>
          <w:sz w:val="20"/>
          <w:szCs w:val="20"/>
          <w:color w:val="auto"/>
        </w:rPr>
      </w:pPr>
    </w:p>
    <w:p>
      <w:pPr>
        <w:ind w:right="80" w:firstLine="160"/>
        <w:spacing w:after="0" w:line="253" w:lineRule="auto"/>
        <w:rPr>
          <w:sz w:val="20"/>
          <w:szCs w:val="20"/>
          <w:color w:val="auto"/>
        </w:rPr>
      </w:pPr>
      <w:r>
        <w:rPr>
          <w:rFonts w:ascii="Arial" w:cs="Arial" w:eastAsia="Arial" w:hAnsi="Arial"/>
          <w:sz w:val="13"/>
          <w:szCs w:val="13"/>
          <w:i w:val="1"/>
          <w:iCs w:val="1"/>
          <w:color w:val="E51837"/>
        </w:rPr>
        <w:t xml:space="preserve">Common Stock Repurchase Program </w:t>
      </w:r>
      <w:r>
        <w:rPr>
          <w:rFonts w:ascii="Arial" w:cs="Arial" w:eastAsia="Arial" w:hAnsi="Arial"/>
          <w:sz w:val="13"/>
          <w:szCs w:val="13"/>
          <w:color w:val="000000"/>
        </w:rPr>
        <w:t>Acquired $8.0 billion of common shares in 2008 as part of a $15</w:t>
      </w:r>
      <w:r>
        <w:rPr>
          <w:rFonts w:ascii="Arial" w:cs="Arial" w:eastAsia="Arial" w:hAnsi="Arial"/>
          <w:sz w:val="13"/>
          <w:szCs w:val="13"/>
          <w:i w:val="1"/>
          <w:iCs w:val="1"/>
          <w:color w:val="E51837"/>
        </w:rPr>
        <w:t xml:space="preserve"> </w:t>
      </w:r>
      <w:r>
        <w:rPr>
          <w:rFonts w:ascii="Arial" w:cs="Arial" w:eastAsia="Arial" w:hAnsi="Arial"/>
          <w:sz w:val="13"/>
          <w:szCs w:val="13"/>
          <w:color w:val="000000"/>
        </w:rPr>
        <w:t>billion repurchase program initiated in 2007.</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2"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i w:val="1"/>
          <w:iCs w:val="1"/>
          <w:color w:val="E51837"/>
        </w:rPr>
        <w:t xml:space="preserve">Major Operating Areas </w:t>
      </w:r>
      <w:r>
        <w:rPr>
          <w:rFonts w:ascii="Arial" w:cs="Arial" w:eastAsia="Arial" w:hAnsi="Arial"/>
          <w:sz w:val="11"/>
          <w:szCs w:val="11"/>
          <w:color w:val="000000"/>
        </w:rPr>
        <w:t>The following section presents the results of operations for the company’s</w:t>
      </w:r>
      <w:r>
        <w:rPr>
          <w:rFonts w:ascii="Arial" w:cs="Arial" w:eastAsia="Arial" w:hAnsi="Arial"/>
          <w:sz w:val="11"/>
          <w:szCs w:val="11"/>
          <w:i w:val="1"/>
          <w:iCs w:val="1"/>
          <w:color w:val="E51837"/>
        </w:rPr>
        <w:t xml:space="preserve"> </w:t>
      </w:r>
      <w:r>
        <w:rPr>
          <w:rFonts w:ascii="Arial" w:cs="Arial" w:eastAsia="Arial" w:hAnsi="Arial"/>
          <w:sz w:val="11"/>
          <w:szCs w:val="11"/>
          <w:color w:val="000000"/>
        </w:rPr>
        <w:t xml:space="preserve">business segments – upstream, downstream and chemicals – as well as for “all other,” which includes mining, power generation businesses, the various companies and departments that are managed at the corporate level, and the company’s investment in Dynegy prior to its sale in May 2007. Income is also presented for the U.S. and international geographic areas of the upstream and downstream business segments. (Refer to Note 9, beginning on page FS-38, for a discussion of the company’s “reportable segments,” as defined in Financial Accounting Standards Board (FASB) Statement No. 131, </w:t>
      </w:r>
      <w:r>
        <w:rPr>
          <w:rFonts w:ascii="Arial" w:cs="Arial" w:eastAsia="Arial" w:hAnsi="Arial"/>
          <w:sz w:val="11"/>
          <w:szCs w:val="11"/>
          <w:i w:val="1"/>
          <w:iCs w:val="1"/>
          <w:color w:val="000000"/>
        </w:rPr>
        <w:t>Disclosures</w:t>
      </w:r>
      <w:r>
        <w:rPr>
          <w:rFonts w:ascii="Arial" w:cs="Arial" w:eastAsia="Arial" w:hAnsi="Arial"/>
          <w:sz w:val="11"/>
          <w:szCs w:val="11"/>
          <w:color w:val="000000"/>
        </w:rPr>
        <w:t xml:space="preserve"> </w:t>
      </w:r>
      <w:r>
        <w:rPr>
          <w:rFonts w:ascii="Arial" w:cs="Arial" w:eastAsia="Arial" w:hAnsi="Arial"/>
          <w:sz w:val="11"/>
          <w:szCs w:val="11"/>
          <w:i w:val="1"/>
          <w:iCs w:val="1"/>
          <w:color w:val="000000"/>
        </w:rPr>
        <w:t>About Segments of an Enterprise and Related Information.</w:t>
      </w:r>
      <w:r>
        <w:rPr>
          <w:rFonts w:ascii="Arial" w:cs="Arial" w:eastAsia="Arial" w:hAnsi="Arial"/>
          <w:sz w:val="11"/>
          <w:szCs w:val="11"/>
          <w:color w:val="000000"/>
        </w:rPr>
        <w:t>) This section should also be read in conjunction</w:t>
      </w:r>
      <w:r>
        <w:rPr>
          <w:rFonts w:ascii="Arial" w:cs="Arial" w:eastAsia="Arial" w:hAnsi="Arial"/>
          <w:sz w:val="11"/>
          <w:szCs w:val="11"/>
          <w:i w:val="1"/>
          <w:iCs w:val="1"/>
          <w:color w:val="000000"/>
        </w:rPr>
        <w:t xml:space="preserve"> </w:t>
      </w:r>
      <w:r>
        <w:rPr>
          <w:rFonts w:ascii="Arial" w:cs="Arial" w:eastAsia="Arial" w:hAnsi="Arial"/>
          <w:sz w:val="11"/>
          <w:szCs w:val="11"/>
          <w:color w:val="000000"/>
        </w:rPr>
        <w:t>with the discussion in “Business Environment and Outlook” on pages FS-2 through FS-5.</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Upstream – Exploration and Production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32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18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w:t>
            </w:r>
          </w:p>
        </w:tc>
        <w:tc>
          <w:tcPr>
            <w:tcW w:w="13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7,126</w:t>
            </w:r>
          </w:p>
        </w:tc>
        <w:tc>
          <w:tcPr>
            <w:tcW w:w="4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4,532</w:t>
            </w:r>
          </w:p>
        </w:tc>
        <w:tc>
          <w:tcPr>
            <w:tcW w:w="3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4,270</w:t>
            </w:r>
          </w:p>
        </w:tc>
      </w:tr>
    </w:tbl>
    <w:p>
      <w:pPr>
        <w:spacing w:after="0" w:line="135" w:lineRule="exact"/>
        <w:rPr>
          <w:sz w:val="20"/>
          <w:szCs w:val="20"/>
          <w:color w:val="auto"/>
        </w:rPr>
      </w:pPr>
    </w:p>
    <w:p>
      <w:pPr>
        <w:ind w:right="80" w:firstLine="160"/>
        <w:spacing w:after="0" w:line="274" w:lineRule="auto"/>
        <w:rPr>
          <w:sz w:val="20"/>
          <w:szCs w:val="20"/>
          <w:color w:val="auto"/>
        </w:rPr>
      </w:pPr>
      <w:r>
        <w:rPr>
          <w:rFonts w:ascii="Arial" w:cs="Arial" w:eastAsia="Arial" w:hAnsi="Arial"/>
          <w:sz w:val="12"/>
          <w:szCs w:val="12"/>
          <w:color w:val="auto"/>
        </w:rPr>
        <w:t>U.S upstream income of $7.1 billion in 2008 increased $2.6 billion from 2007. Higher average prices for crude oil and natural gas increased earnings by $3.1 billion between periods. Also contributing to the higher earnings were gains of approximately $1 billion on asset sales, including a $600 million gain on an asset-exchange transaction. Partially offsetting these benefits were adverse effects of about $1.6 billion associated with lower oil-equivalent production and higher operating expenses, which included approximately $400 million of expenses resulting from damage to facilities in the Gulf of Mexico caused by hurricanes Gustav and Ike in September.</w:t>
      </w:r>
    </w:p>
    <w:p>
      <w:pPr>
        <w:spacing w:after="0" w:line="98" w:lineRule="exact"/>
        <w:rPr>
          <w:sz w:val="20"/>
          <w:szCs w:val="20"/>
          <w:color w:val="auto"/>
        </w:rPr>
      </w:pPr>
    </w:p>
    <w:p>
      <w:pPr>
        <w:ind w:right="60" w:firstLine="160"/>
        <w:spacing w:after="0" w:line="250" w:lineRule="auto"/>
        <w:rPr>
          <w:sz w:val="20"/>
          <w:szCs w:val="20"/>
          <w:color w:val="auto"/>
        </w:rPr>
      </w:pPr>
      <w:r>
        <w:rPr>
          <w:rFonts w:ascii="Arial" w:cs="Arial" w:eastAsia="Arial" w:hAnsi="Arial"/>
          <w:sz w:val="13"/>
          <w:szCs w:val="13"/>
          <w:color w:val="auto"/>
        </w:rPr>
        <w:t>Income of $4.5 billion in 2007 increased approximately $260 million from 2006. Results in 2007 benefited approximately $700 million from higher prices for crude oil and natural gas liquids. This benefit to income was partially offset by the effects of a decline in oil-equivalent production and an increase in depreciation, operating and exploration expenses.</w:t>
      </w:r>
    </w:p>
    <w:p>
      <w:pPr>
        <w:spacing w:after="0" w:line="1" w:lineRule="exact"/>
        <w:rPr>
          <w:sz w:val="20"/>
          <w:szCs w:val="20"/>
          <w:color w:val="auto"/>
        </w:rPr>
      </w:pPr>
    </w:p>
    <w:p>
      <w:pPr>
        <w:ind w:right="100" w:firstLine="158"/>
        <w:spacing w:after="0" w:line="317" w:lineRule="auto"/>
        <w:rPr>
          <w:sz w:val="20"/>
          <w:szCs w:val="20"/>
          <w:color w:val="auto"/>
        </w:rPr>
      </w:pPr>
      <w:r>
        <w:rPr>
          <w:rFonts w:ascii="Arial" w:cs="Arial" w:eastAsia="Arial" w:hAnsi="Arial"/>
          <w:sz w:val="11"/>
          <w:szCs w:val="11"/>
          <w:color w:val="auto"/>
        </w:rPr>
        <w:t>The company’s average realization for crude oil and natural gas liquids in 2008 was $88.43 per barrel, compared with $63.16 in 2007 and $56.66 in 2006. The average natural gas realization was $7.90 per thousand cubic feet in 2008, compared with $6.12 and $6.29 in 2007 and 2006,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Net oil-equivalent production in 2008 averaged 671,000 barrels per day, down 9.7 percent and</w:t>
      </w:r>
    </w:p>
    <w:p>
      <w:pPr>
        <w:spacing w:after="0" w:line="24"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12.1 percent from 2007 and 2006, respectively. The decrease between 2007 and 2008 was mainly due to normal field declines and the adverse impact of the hurricanes. The decline in 2007 from 2006 was due primarily to normal field declines. The net liquids component of oil-equivalent production for 2008 averaged 421,000 barrels per day, down approximately 8 percent from 2007 and down 9 percent compared with 2006. Net natural gas production averaged 1.5 billion cubic feet per day in 2008, down 12 percent from 2007 and down 17 percent from 2006.</w:t>
      </w:r>
    </w:p>
    <w:p>
      <w:pPr>
        <w:spacing w:after="0" w:line="101" w:lineRule="exact"/>
        <w:rPr>
          <w:sz w:val="20"/>
          <w:szCs w:val="20"/>
          <w:color w:val="auto"/>
        </w:rPr>
      </w:pPr>
    </w:p>
    <w:p>
      <w:pPr>
        <w:ind w:right="100" w:firstLine="160"/>
        <w:spacing w:after="0" w:line="267" w:lineRule="auto"/>
        <w:rPr>
          <w:sz w:val="20"/>
          <w:szCs w:val="20"/>
          <w:color w:val="auto"/>
        </w:rPr>
      </w:pPr>
      <w:r>
        <w:rPr>
          <w:rFonts w:ascii="Arial" w:cs="Arial" w:eastAsia="Arial" w:hAnsi="Arial"/>
          <w:sz w:val="13"/>
          <w:szCs w:val="13"/>
          <w:color w:val="auto"/>
        </w:rPr>
        <w:t>Refer to the “Selected Operating Data” table on page FS-10 for the three-year comparative production volumes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2111375" cy="20135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11375"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International Upstream – Exploration and Production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92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2007</w:t>
            </w:r>
          </w:p>
        </w:tc>
        <w:tc>
          <w:tcPr>
            <w:tcW w:w="2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40" w:type="dxa"/>
            <w:vAlign w:val="bottom"/>
          </w:tcPr>
          <w:p>
            <w:pPr>
              <w:spacing w:after="0"/>
              <w:rPr>
                <w:sz w:val="10"/>
                <w:szCs w:val="10"/>
                <w:color w:val="auto"/>
              </w:rPr>
            </w:pPr>
          </w:p>
        </w:tc>
      </w:tr>
      <w:tr>
        <w:trPr>
          <w:trHeight w:val="114"/>
        </w:trPr>
        <w:tc>
          <w:tcPr>
            <w:tcW w:w="22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w:t>
            </w:r>
          </w:p>
        </w:tc>
        <w:tc>
          <w:tcPr>
            <w:tcW w:w="92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14,584</w:t>
            </w: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10,284</w:t>
            </w:r>
          </w:p>
        </w:tc>
        <w:tc>
          <w:tcPr>
            <w:tcW w:w="2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8,872</w:t>
            </w:r>
          </w:p>
        </w:tc>
        <w:tc>
          <w:tcPr>
            <w:tcW w:w="40" w:type="dxa"/>
            <w:vAlign w:val="bottom"/>
          </w:tcPr>
          <w:p>
            <w:pPr>
              <w:spacing w:after="0"/>
              <w:rPr>
                <w:sz w:val="9"/>
                <w:szCs w:val="9"/>
                <w:color w:val="auto"/>
              </w:rPr>
            </w:pPr>
          </w:p>
        </w:tc>
      </w:tr>
      <w:tr>
        <w:trPr>
          <w:trHeight w:val="131"/>
        </w:trPr>
        <w:tc>
          <w:tcPr>
            <w:tcW w:w="2260" w:type="dxa"/>
            <w:vAlign w:val="bottom"/>
          </w:tcPr>
          <w:p>
            <w:pPr>
              <w:spacing w:after="0"/>
              <w:rPr>
                <w:sz w:val="20"/>
                <w:szCs w:val="20"/>
                <w:color w:val="auto"/>
              </w:rPr>
            </w:pPr>
            <w:r>
              <w:rPr>
                <w:rFonts w:ascii="Arial" w:cs="Arial" w:eastAsia="Arial" w:hAnsi="Arial"/>
                <w:sz w:val="10"/>
                <w:szCs w:val="10"/>
                <w:color w:val="auto"/>
              </w:rPr>
              <w:t>*Includes Foreign Currency Effects:</w:t>
            </w:r>
          </w:p>
        </w:tc>
        <w:tc>
          <w:tcPr>
            <w:tcW w:w="920" w:type="dxa"/>
            <w:vAlign w:val="bottom"/>
          </w:tcPr>
          <w:p>
            <w:pPr>
              <w:spacing w:after="0"/>
              <w:rPr>
                <w:sz w:val="11"/>
                <w:szCs w:val="11"/>
                <w:color w:val="auto"/>
              </w:rPr>
            </w:pPr>
          </w:p>
        </w:tc>
        <w:tc>
          <w:tcPr>
            <w:tcW w:w="720" w:type="dxa"/>
            <w:vAlign w:val="bottom"/>
          </w:tcPr>
          <w:p>
            <w:pPr>
              <w:jc w:val="right"/>
              <w:ind w:right="290"/>
              <w:spacing w:after="0"/>
              <w:rPr>
                <w:sz w:val="20"/>
                <w:szCs w:val="20"/>
                <w:color w:val="auto"/>
              </w:rPr>
            </w:pPr>
            <w:r>
              <w:rPr>
                <w:rFonts w:ascii="Arial" w:cs="Arial" w:eastAsia="Arial" w:hAnsi="Arial"/>
                <w:sz w:val="10"/>
                <w:szCs w:val="10"/>
                <w:b w:val="1"/>
                <w:bCs w:val="1"/>
                <w:color w:val="auto"/>
              </w:rPr>
              <w:t>$ 873</w:t>
            </w:r>
          </w:p>
        </w:tc>
        <w:tc>
          <w:tcPr>
            <w:tcW w:w="400" w:type="dxa"/>
            <w:vAlign w:val="bottom"/>
          </w:tcPr>
          <w:p>
            <w:pPr>
              <w:spacing w:after="0"/>
              <w:rPr>
                <w:sz w:val="11"/>
                <w:szCs w:val="11"/>
                <w:color w:val="auto"/>
              </w:rPr>
            </w:pPr>
          </w:p>
        </w:tc>
        <w:tc>
          <w:tcPr>
            <w:tcW w:w="540" w:type="dxa"/>
            <w:vAlign w:val="bottom"/>
          </w:tcPr>
          <w:p>
            <w:pPr>
              <w:jc w:val="right"/>
              <w:ind w:right="110"/>
              <w:spacing w:after="0"/>
              <w:rPr>
                <w:sz w:val="20"/>
                <w:szCs w:val="20"/>
                <w:color w:val="auto"/>
              </w:rPr>
            </w:pPr>
            <w:r>
              <w:rPr>
                <w:rFonts w:ascii="Arial" w:cs="Arial" w:eastAsia="Arial" w:hAnsi="Arial"/>
                <w:sz w:val="10"/>
                <w:szCs w:val="10"/>
                <w:color w:val="auto"/>
              </w:rPr>
              <w:t>$ (417)</w:t>
            </w:r>
          </w:p>
        </w:tc>
        <w:tc>
          <w:tcPr>
            <w:tcW w:w="2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 (371)</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right="40" w:firstLine="160"/>
        <w:spacing w:after="0" w:line="275" w:lineRule="auto"/>
        <w:rPr>
          <w:sz w:val="20"/>
          <w:szCs w:val="20"/>
          <w:color w:val="auto"/>
        </w:rPr>
      </w:pPr>
      <w:r>
        <w:rPr>
          <w:rFonts w:ascii="Arial" w:cs="Arial" w:eastAsia="Arial" w:hAnsi="Arial"/>
          <w:sz w:val="12"/>
          <w:szCs w:val="12"/>
          <w:color w:val="auto"/>
        </w:rPr>
        <w:t>International upstream income of $14.6 billion in 2008 increased $4.3 billion from 2007. Higher prices for crude oil and natural gas increased earnings by $4.9 billion. Partially offsetting the benefit of higher prices was an impact of about $1.8 billion associated with a reduction of crude-oil sales volumes due to timing of certain cargo liftings and higher depreciation and operating expenses. Foreign currency effects benefited earnings by $873 million in 2008, compared with reductions to earnings of $417 million in 2007 and $371 million in 2006.</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54" w:lineRule="exact"/>
        <w:rPr>
          <w:sz w:val="20"/>
          <w:szCs w:val="20"/>
          <w:color w:val="auto"/>
        </w:rPr>
      </w:pPr>
    </w:p>
    <w:p>
      <w:pPr>
        <w:ind w:firstLine="160"/>
        <w:spacing w:after="0" w:line="281" w:lineRule="auto"/>
        <w:rPr>
          <w:sz w:val="20"/>
          <w:szCs w:val="20"/>
          <w:color w:val="auto"/>
        </w:rPr>
      </w:pPr>
      <w:r>
        <w:rPr>
          <w:rFonts w:ascii="Arial" w:cs="Arial" w:eastAsia="Arial" w:hAnsi="Arial"/>
          <w:sz w:val="12"/>
          <w:szCs w:val="12"/>
          <w:color w:val="auto"/>
        </w:rPr>
        <w:t>Income in 2007 of $10.3 billion increased $1.4 billion from 2006. Earnings in 2007 benefited approximately $1.6 billion from higher prices, primarily for crude oil, and $300 million from increased liftings. Non-recurring income-tax items also benefited earnings between periods. These benefits to income were partially offset by the impact of higher operating and depreciation expenses.</w:t>
      </w:r>
    </w:p>
    <w:p>
      <w:pPr>
        <w:spacing w:after="0" w:line="94" w:lineRule="exact"/>
        <w:rPr>
          <w:sz w:val="20"/>
          <w:szCs w:val="20"/>
          <w:color w:val="auto"/>
        </w:rPr>
      </w:pPr>
    </w:p>
    <w:p>
      <w:pPr>
        <w:ind w:right="100" w:firstLine="158"/>
        <w:spacing w:after="0" w:line="297" w:lineRule="auto"/>
        <w:rPr>
          <w:sz w:val="20"/>
          <w:szCs w:val="20"/>
          <w:color w:val="auto"/>
        </w:rPr>
      </w:pPr>
      <w:r>
        <w:rPr>
          <w:rFonts w:ascii="Arial" w:cs="Arial" w:eastAsia="Arial" w:hAnsi="Arial"/>
          <w:sz w:val="11"/>
          <w:szCs w:val="11"/>
          <w:color w:val="auto"/>
        </w:rPr>
        <w:t>The company’s average realization for crude oil and natural gas liquids in 2008 was $86.51 per barrel, compared with $65.01 in 2007 and $57.65 in 2006. The average natural gas realization was $5.19 per thousand cubic feet in 2008, compared with $3.90 and $3.73 in 2007 and 2006, respectively.</w:t>
      </w:r>
    </w:p>
    <w:p>
      <w:pPr>
        <w:ind w:right="40" w:firstLine="160"/>
        <w:spacing w:after="0" w:line="291" w:lineRule="auto"/>
        <w:rPr>
          <w:sz w:val="20"/>
          <w:szCs w:val="20"/>
          <w:color w:val="auto"/>
        </w:rPr>
      </w:pPr>
      <w:r>
        <w:rPr>
          <w:rFonts w:ascii="Arial" w:cs="Arial" w:eastAsia="Arial" w:hAnsi="Arial"/>
          <w:sz w:val="11"/>
          <w:szCs w:val="11"/>
          <w:color w:val="auto"/>
        </w:rPr>
        <w:t>Net oil-equivalent production of 1.86 million barrels per day in 2008 declined about 1 percent and 2 percent from 2007 and 2006, respectively. The volumes for each year included production from oil sands in Canada. Volumes in 2006 also included production under an operating service agreement in Venezuela until its conversion to a joint-stock company in October of that year. Absent the impact of higher prices on certain production-sharing and variable-royalty agreements, net oil-equivalent production increased between 2007 and 2008. The decline in 2007 from 2006 was associated with the impact of the contract conversion in Venezuela and the impact of higher prices on production-sharing agreements.</w:t>
      </w:r>
    </w:p>
    <w:p>
      <w:pPr>
        <w:spacing w:after="0" w:line="3" w:lineRule="exact"/>
        <w:rPr>
          <w:sz w:val="20"/>
          <w:szCs w:val="20"/>
          <w:color w:val="auto"/>
        </w:rPr>
      </w:pPr>
    </w:p>
    <w:p>
      <w:pPr>
        <w:ind w:right="120" w:firstLine="158"/>
        <w:spacing w:after="0" w:line="267" w:lineRule="auto"/>
        <w:rPr>
          <w:sz w:val="20"/>
          <w:szCs w:val="20"/>
          <w:color w:val="auto"/>
        </w:rPr>
      </w:pPr>
      <w:r>
        <w:rPr>
          <w:rFonts w:ascii="Arial" w:cs="Arial" w:eastAsia="Arial" w:hAnsi="Arial"/>
          <w:sz w:val="12"/>
          <w:szCs w:val="12"/>
          <w:color w:val="auto"/>
        </w:rPr>
        <w:t>The net liquids component of oil-equivalent production was 1.3 million barrels per day in 2008, a decrease of 5 percent from 2007 and 9 percent from 2006. Net natural gas production of 3.6 billion cubic feet per day in 2008 was up 9 percent and 15 percent from 2007 and 2006, respectively.</w:t>
      </w:r>
    </w:p>
    <w:p>
      <w:pPr>
        <w:spacing w:after="0" w:line="1" w:lineRule="exact"/>
        <w:rPr>
          <w:sz w:val="20"/>
          <w:szCs w:val="20"/>
          <w:color w:val="auto"/>
        </w:rPr>
      </w:pPr>
    </w:p>
    <w:p>
      <w:pPr>
        <w:ind w:right="500" w:firstLine="160"/>
        <w:spacing w:after="0" w:line="253" w:lineRule="auto"/>
        <w:rPr>
          <w:sz w:val="20"/>
          <w:szCs w:val="20"/>
          <w:color w:val="auto"/>
        </w:rPr>
      </w:pPr>
      <w:r>
        <w:rPr>
          <w:rFonts w:ascii="Arial" w:cs="Arial" w:eastAsia="Arial" w:hAnsi="Arial"/>
          <w:sz w:val="13"/>
          <w:szCs w:val="13"/>
          <w:color w:val="auto"/>
        </w:rPr>
        <w:t>Refer to the “Selected Operating Data” table, on page FS-10, for the three-year comparative of international production volumes.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Downstream – Refining, Marketing and Transportation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32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18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w:t>
            </w:r>
          </w:p>
        </w:tc>
        <w:tc>
          <w:tcPr>
            <w:tcW w:w="13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1,369</w:t>
            </w:r>
          </w:p>
        </w:tc>
        <w:tc>
          <w:tcPr>
            <w:tcW w:w="4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966</w:t>
            </w:r>
          </w:p>
        </w:tc>
        <w:tc>
          <w:tcPr>
            <w:tcW w:w="3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1,938</w:t>
            </w:r>
          </w:p>
        </w:tc>
      </w:tr>
    </w:tbl>
    <w:p>
      <w:pPr>
        <w:spacing w:after="0" w:line="126" w:lineRule="exact"/>
        <w:rPr>
          <w:sz w:val="20"/>
          <w:szCs w:val="20"/>
          <w:color w:val="auto"/>
        </w:rPr>
      </w:pPr>
    </w:p>
    <w:p>
      <w:pPr>
        <w:ind w:right="20" w:firstLine="160"/>
        <w:spacing w:after="0" w:line="272" w:lineRule="auto"/>
        <w:rPr>
          <w:sz w:val="20"/>
          <w:szCs w:val="20"/>
          <w:color w:val="auto"/>
        </w:rPr>
      </w:pPr>
      <w:r>
        <w:rPr>
          <w:rFonts w:ascii="Arial" w:cs="Arial" w:eastAsia="Arial" w:hAnsi="Arial"/>
          <w:sz w:val="12"/>
          <w:szCs w:val="12"/>
          <w:color w:val="auto"/>
        </w:rPr>
        <w:t>U.S downstream earnings of $1.4 billion in 2008 increased about $400 million from 2007 due mainly to improved margins on the sale of refined products and gains on derivative commodity instruments. Operating expenses were higher between periods. Income of $966 million in 2007 decreased nearly</w:t>
      </w:r>
    </w:p>
    <w:p>
      <w:pPr>
        <w:ind w:right="20"/>
        <w:spacing w:after="0" w:line="250" w:lineRule="auto"/>
        <w:rPr>
          <w:sz w:val="20"/>
          <w:szCs w:val="20"/>
          <w:color w:val="auto"/>
        </w:rPr>
      </w:pPr>
      <w:r>
        <w:rPr>
          <w:rFonts w:ascii="Arial" w:cs="Arial" w:eastAsia="Arial" w:hAnsi="Arial"/>
          <w:sz w:val="13"/>
          <w:szCs w:val="13"/>
          <w:color w:val="auto"/>
        </w:rPr>
        <w:t>$1 billion from 2006. The decline was associated mainly with lower refined-product margins and higher planned and unplanned refinery downtime than a year earlier. Operating expenses were also higher in 2007 than in 2006.</w:t>
      </w:r>
    </w:p>
    <w:p>
      <w:pPr>
        <w:spacing w:after="0" w:line="120" w:lineRule="exact"/>
        <w:rPr>
          <w:sz w:val="20"/>
          <w:szCs w:val="20"/>
          <w:color w:val="auto"/>
        </w:rPr>
      </w:pPr>
    </w:p>
    <w:p>
      <w:pPr>
        <w:ind w:right="60" w:firstLine="160"/>
        <w:spacing w:after="0" w:line="250" w:lineRule="auto"/>
        <w:rPr>
          <w:sz w:val="20"/>
          <w:szCs w:val="20"/>
          <w:color w:val="auto"/>
        </w:rPr>
      </w:pPr>
      <w:r>
        <w:rPr>
          <w:rFonts w:ascii="Arial" w:cs="Arial" w:eastAsia="Arial" w:hAnsi="Arial"/>
          <w:sz w:val="13"/>
          <w:szCs w:val="13"/>
          <w:color w:val="auto"/>
        </w:rPr>
        <w:t>Sales volumes of refined products were 1.41 million barrels per day in 2008, a decrease of 3 percent from 2007. The decline was associated with reduced sales of gasoline and fuel oil. Sales volumes of refined products were 1.46 million barrels per day in 2007, a decrease of 3 percent from 2006. The reported sales volume for 2007 was on a different basis than 2006 due to a change in accounting rules that became effective April 1, 2006, for certain purchase-and-sale (buy/ sell) contracts with the same counterparty. Excluding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40"/>
        <w:spacing w:after="0" w:line="251" w:lineRule="auto"/>
        <w:rPr>
          <w:sz w:val="20"/>
          <w:szCs w:val="20"/>
          <w:color w:val="auto"/>
        </w:rPr>
      </w:pPr>
      <w:r>
        <w:rPr>
          <w:rFonts w:ascii="Arial" w:cs="Arial" w:eastAsia="Arial" w:hAnsi="Arial"/>
          <w:sz w:val="13"/>
          <w:szCs w:val="13"/>
          <w:color w:val="auto"/>
        </w:rPr>
        <w:t>impact of this accounting standard, refined-product sales in 2007 decreased 1 percent from 2006. Branded gasoline sales volumes of 601,000 barrels per day in 2008 was down about 4 percent and 2 percent from 2007 and 2006,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-2665730</wp:posOffset>
            </wp:positionV>
            <wp:extent cx="2105025" cy="2373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05025" cy="2373630"/>
                    </a:xfrm>
                    <a:prstGeom prst="rect">
                      <a:avLst/>
                    </a:prstGeom>
                    <a:noFill/>
                  </pic:spPr>
                </pic:pic>
              </a:graphicData>
            </a:graphic>
          </wp:anchor>
        </w:drawing>
      </w:r>
    </w:p>
    <w:p>
      <w:pPr>
        <w:ind w:left="340" w:right="80" w:firstLine="160"/>
        <w:spacing w:after="0" w:line="249" w:lineRule="auto"/>
        <w:rPr>
          <w:sz w:val="20"/>
          <w:szCs w:val="20"/>
          <w:color w:val="auto"/>
        </w:rPr>
      </w:pPr>
      <w:r>
        <w:rPr>
          <w:rFonts w:ascii="Arial" w:cs="Arial" w:eastAsia="Arial" w:hAnsi="Arial"/>
          <w:sz w:val="13"/>
          <w:szCs w:val="13"/>
          <w:color w:val="auto"/>
        </w:rPr>
        <w:t>Refer to the “Selected Operating Data” table on page FS-10 for a three-year comparative of sales volumes of gasoline and other refined products and refinery-input volumes. Refer also to Note 14, “Accounting for Buy/Sell Contracts,” on page FS-43 for a discussion of the accounting for purchase-and-sale contracts with the same counterparty.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International Downstream – Refining, Marketing and Transportation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2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9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2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22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w:t>
            </w:r>
          </w:p>
        </w:tc>
        <w:tc>
          <w:tcPr>
            <w:tcW w:w="94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2,060</w:t>
            </w:r>
          </w:p>
        </w:tc>
        <w:tc>
          <w:tcPr>
            <w:tcW w:w="4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2,536</w:t>
            </w:r>
          </w:p>
        </w:tc>
        <w:tc>
          <w:tcPr>
            <w:tcW w:w="3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2,035</w:t>
            </w:r>
          </w:p>
        </w:tc>
      </w:tr>
      <w:tr>
        <w:trPr>
          <w:trHeight w:val="131"/>
        </w:trPr>
        <w:tc>
          <w:tcPr>
            <w:tcW w:w="2260" w:type="dxa"/>
            <w:vAlign w:val="bottom"/>
          </w:tcPr>
          <w:p>
            <w:pPr>
              <w:spacing w:after="0"/>
              <w:rPr>
                <w:sz w:val="20"/>
                <w:szCs w:val="20"/>
                <w:color w:val="auto"/>
              </w:rPr>
            </w:pPr>
            <w:r>
              <w:rPr>
                <w:rFonts w:ascii="Arial" w:cs="Arial" w:eastAsia="Arial" w:hAnsi="Arial"/>
                <w:sz w:val="10"/>
                <w:szCs w:val="10"/>
                <w:color w:val="auto"/>
              </w:rPr>
              <w:t>*Includes Foreign Currency Effects:</w:t>
            </w:r>
          </w:p>
        </w:tc>
        <w:tc>
          <w:tcPr>
            <w:tcW w:w="940" w:type="dxa"/>
            <w:vAlign w:val="bottom"/>
          </w:tcPr>
          <w:p>
            <w:pPr>
              <w:spacing w:after="0"/>
              <w:rPr>
                <w:sz w:val="11"/>
                <w:szCs w:val="11"/>
                <w:color w:val="auto"/>
              </w:rPr>
            </w:pPr>
          </w:p>
        </w:tc>
        <w:tc>
          <w:tcPr>
            <w:tcW w:w="700" w:type="dxa"/>
            <w:vAlign w:val="bottom"/>
          </w:tcPr>
          <w:p>
            <w:pPr>
              <w:jc w:val="right"/>
              <w:ind w:right="290"/>
              <w:spacing w:after="0"/>
              <w:rPr>
                <w:sz w:val="20"/>
                <w:szCs w:val="20"/>
                <w:color w:val="auto"/>
              </w:rPr>
            </w:pPr>
            <w:r>
              <w:rPr>
                <w:rFonts w:ascii="Arial" w:cs="Arial" w:eastAsia="Arial" w:hAnsi="Arial"/>
                <w:sz w:val="10"/>
                <w:szCs w:val="10"/>
                <w:b w:val="1"/>
                <w:bCs w:val="1"/>
                <w:color w:val="auto"/>
              </w:rPr>
              <w:t>$ 193</w:t>
            </w:r>
          </w:p>
        </w:tc>
        <w:tc>
          <w:tcPr>
            <w:tcW w:w="420" w:type="dxa"/>
            <w:vAlign w:val="bottom"/>
          </w:tcPr>
          <w:p>
            <w:pPr>
              <w:spacing w:after="0"/>
              <w:rPr>
                <w:sz w:val="11"/>
                <w:szCs w:val="11"/>
                <w:color w:val="auto"/>
              </w:rPr>
            </w:pPr>
          </w:p>
        </w:tc>
        <w:tc>
          <w:tcPr>
            <w:tcW w:w="500" w:type="dxa"/>
            <w:vAlign w:val="bottom"/>
          </w:tcPr>
          <w:p>
            <w:pPr>
              <w:jc w:val="right"/>
              <w:ind w:right="110"/>
              <w:spacing w:after="0"/>
              <w:rPr>
                <w:sz w:val="20"/>
                <w:szCs w:val="20"/>
                <w:color w:val="auto"/>
              </w:rPr>
            </w:pPr>
            <w:r>
              <w:rPr>
                <w:rFonts w:ascii="Arial" w:cs="Arial" w:eastAsia="Arial" w:hAnsi="Arial"/>
                <w:sz w:val="10"/>
                <w:szCs w:val="10"/>
                <w:color w:val="auto"/>
              </w:rPr>
              <w:t>$ 62</w:t>
            </w:r>
          </w:p>
        </w:tc>
        <w:tc>
          <w:tcPr>
            <w:tcW w:w="3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$ 98</w:t>
            </w:r>
          </w:p>
        </w:tc>
      </w:tr>
    </w:tbl>
    <w:p>
      <w:pPr>
        <w:spacing w:after="0" w:line="110" w:lineRule="exact"/>
        <w:rPr>
          <w:sz w:val="20"/>
          <w:szCs w:val="20"/>
          <w:color w:val="auto"/>
        </w:rPr>
      </w:pPr>
    </w:p>
    <w:p>
      <w:pPr>
        <w:ind w:left="340" w:firstLine="160"/>
        <w:spacing w:after="0" w:line="272" w:lineRule="auto"/>
        <w:rPr>
          <w:sz w:val="20"/>
          <w:szCs w:val="20"/>
          <w:color w:val="auto"/>
        </w:rPr>
      </w:pPr>
      <w:r>
        <w:rPr>
          <w:rFonts w:ascii="Arial" w:cs="Arial" w:eastAsia="Arial" w:hAnsi="Arial"/>
          <w:sz w:val="12"/>
          <w:szCs w:val="12"/>
          <w:color w:val="auto"/>
        </w:rPr>
        <w:t>International downstream income of $2.1 billion in 2008 decreased nearly $500 million from 2007. Earnings in 2007 included gains of approximately $1 billion on the sale of assets, which included an interest in a refinery and marketing assets in the Benelux region of Europe. The $500 million improvement otherwise between years was associated primarily with a benefit from gains on derivative commodity instruments that was only partially offset by the impact of lower margins on the sale of refined products. Foreign currency effects increased earnings by $193 million in 2008, compared with $62 million in 2007. Income in 2007 of $2.5 billion increased $500 million from 2006, largely due to the gains on asset sales. Margins on the sale of refined products in 2007 were up slightly from 2006. Operating expenses were higher, and earnings from the company’s shipping operations were lower.</w:t>
      </w: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color w:val="auto"/>
        </w:rPr>
        <w:t>FS-7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20"/>
            <w:col w:w="5820"/>
          </w:cols>
          <w:pgMar w:left="220" w:top="339" w:right="239" w:bottom="1440" w:gutter="0" w:footer="0" w:header="0"/>
        </w:sectPr>
      </w:pPr>
    </w:p>
    <w:bookmarkStart w:id="48" w:name="page49"/>
    <w:bookmarkEnd w:id="48"/>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232410</wp:posOffset>
            </wp:positionV>
            <wp:extent cx="7285990" cy="457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60" w:right="20" w:firstLine="160"/>
        <w:spacing w:after="0" w:line="272" w:lineRule="auto"/>
        <w:rPr>
          <w:sz w:val="20"/>
          <w:szCs w:val="20"/>
          <w:color w:val="auto"/>
        </w:rPr>
      </w:pPr>
      <w:r>
        <w:rPr>
          <w:rFonts w:ascii="Arial" w:cs="Arial" w:eastAsia="Arial" w:hAnsi="Arial"/>
          <w:sz w:val="12"/>
          <w:szCs w:val="12"/>
          <w:color w:val="auto"/>
        </w:rPr>
        <w:t>Refined-product sales volumes were 2.02 million barrels per day in 2008, about 1 percent lower than 2007 due mainly to reduced sales of gas oil and fuel oil. Refined product sales volumes were 2.03 million barrels per day in 2007, about 5 percent lower than 2006. The decline in 2007 was largely due to the impact of asset sales and the accounting-standard change for buy/sell contracts. Excluding the accounting change, sales decreased about 4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-986790</wp:posOffset>
            </wp:positionV>
            <wp:extent cx="1019175" cy="23552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19175" cy="2355215"/>
                    </a:xfrm>
                    <a:prstGeom prst="rect">
                      <a:avLst/>
                    </a:prstGeom>
                    <a:noFill/>
                  </pic:spPr>
                </pic:pic>
              </a:graphicData>
            </a:graphic>
          </wp:anchor>
        </w:drawing>
      </w:r>
    </w:p>
    <w:p>
      <w:pPr>
        <w:spacing w:after="0" w:line="79" w:lineRule="exact"/>
        <w:rPr>
          <w:sz w:val="20"/>
          <w:szCs w:val="20"/>
          <w:color w:val="auto"/>
        </w:rPr>
      </w:pPr>
    </w:p>
    <w:p>
      <w:pPr>
        <w:ind w:left="2860" w:firstLine="160"/>
        <w:spacing w:after="0" w:line="303" w:lineRule="auto"/>
        <w:rPr>
          <w:sz w:val="20"/>
          <w:szCs w:val="20"/>
          <w:color w:val="auto"/>
        </w:rPr>
      </w:pPr>
      <w:r>
        <w:rPr>
          <w:rFonts w:ascii="Arial" w:cs="Arial" w:eastAsia="Arial" w:hAnsi="Arial"/>
          <w:sz w:val="11"/>
          <w:szCs w:val="11"/>
          <w:color w:val="auto"/>
        </w:rPr>
        <w:t>Refer to the “Selected Operating Data” table, on page FS-10, for a three-year comparative of sales volumes of gasoline and other refined products and refinery-input volumes. Refer also to Note 14, “Accounting for Buy/Sell Contracts,” on page FS-43 for a discussion of the accounting for purchase-and-sale contracts with the same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Chemicals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9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20" w:type="dxa"/>
            <w:vAlign w:val="bottom"/>
          </w:tcPr>
          <w:p>
            <w:pPr>
              <w:spacing w:after="0"/>
              <w:rPr>
                <w:sz w:val="10"/>
                <w:szCs w:val="10"/>
                <w:color w:val="auto"/>
              </w:rPr>
            </w:pPr>
          </w:p>
        </w:tc>
      </w:tr>
      <w:tr>
        <w:trPr>
          <w:trHeight w:val="114"/>
        </w:trPr>
        <w:tc>
          <w:tcPr>
            <w:tcW w:w="22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w:t>
            </w:r>
          </w:p>
        </w:tc>
        <w:tc>
          <w:tcPr>
            <w:tcW w:w="9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182</w:t>
            </w:r>
          </w:p>
        </w:tc>
        <w:tc>
          <w:tcPr>
            <w:tcW w:w="4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396</w:t>
            </w:r>
          </w:p>
        </w:tc>
        <w:tc>
          <w:tcPr>
            <w:tcW w:w="3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539</w:t>
            </w:r>
          </w:p>
        </w:tc>
        <w:tc>
          <w:tcPr>
            <w:tcW w:w="20" w:type="dxa"/>
            <w:vAlign w:val="bottom"/>
          </w:tcPr>
          <w:p>
            <w:pPr>
              <w:spacing w:after="0"/>
              <w:rPr>
                <w:sz w:val="9"/>
                <w:szCs w:val="9"/>
                <w:color w:val="auto"/>
              </w:rPr>
            </w:pPr>
          </w:p>
        </w:tc>
      </w:tr>
      <w:tr>
        <w:trPr>
          <w:trHeight w:val="131"/>
        </w:trPr>
        <w:tc>
          <w:tcPr>
            <w:tcW w:w="2260" w:type="dxa"/>
            <w:vAlign w:val="bottom"/>
          </w:tcPr>
          <w:p>
            <w:pPr>
              <w:spacing w:after="0"/>
              <w:rPr>
                <w:sz w:val="20"/>
                <w:szCs w:val="20"/>
                <w:color w:val="auto"/>
              </w:rPr>
            </w:pPr>
            <w:r>
              <w:rPr>
                <w:rFonts w:ascii="Arial" w:cs="Arial" w:eastAsia="Arial" w:hAnsi="Arial"/>
                <w:sz w:val="10"/>
                <w:szCs w:val="10"/>
                <w:color w:val="auto"/>
              </w:rPr>
              <w:t>*Includes Foreign Currency Effects:</w:t>
            </w:r>
          </w:p>
        </w:tc>
        <w:tc>
          <w:tcPr>
            <w:tcW w:w="940" w:type="dxa"/>
            <w:vAlign w:val="bottom"/>
          </w:tcPr>
          <w:p>
            <w:pPr>
              <w:spacing w:after="0"/>
              <w:rPr>
                <w:sz w:val="11"/>
                <w:szCs w:val="11"/>
                <w:color w:val="auto"/>
              </w:rPr>
            </w:pPr>
          </w:p>
        </w:tc>
        <w:tc>
          <w:tcPr>
            <w:tcW w:w="680" w:type="dxa"/>
            <w:vAlign w:val="bottom"/>
          </w:tcPr>
          <w:p>
            <w:pPr>
              <w:jc w:val="right"/>
              <w:ind w:right="250"/>
              <w:spacing w:after="0"/>
              <w:rPr>
                <w:sz w:val="20"/>
                <w:szCs w:val="20"/>
                <w:color w:val="auto"/>
              </w:rPr>
            </w:pPr>
            <w:r>
              <w:rPr>
                <w:rFonts w:ascii="Arial" w:cs="Arial" w:eastAsia="Arial" w:hAnsi="Arial"/>
                <w:sz w:val="10"/>
                <w:szCs w:val="10"/>
                <w:b w:val="1"/>
                <w:bCs w:val="1"/>
                <w:color w:val="auto"/>
              </w:rPr>
              <w:t>$ (18)</w:t>
            </w:r>
          </w:p>
        </w:tc>
        <w:tc>
          <w:tcPr>
            <w:tcW w:w="460" w:type="dxa"/>
            <w:vAlign w:val="bottom"/>
          </w:tcPr>
          <w:p>
            <w:pPr>
              <w:spacing w:after="0"/>
              <w:rPr>
                <w:sz w:val="11"/>
                <w:szCs w:val="11"/>
                <w:color w:val="auto"/>
              </w:rPr>
            </w:pPr>
          </w:p>
        </w:tc>
        <w:tc>
          <w:tcPr>
            <w:tcW w:w="480" w:type="dxa"/>
            <w:vAlign w:val="bottom"/>
          </w:tcPr>
          <w:p>
            <w:pPr>
              <w:jc w:val="right"/>
              <w:ind w:right="90"/>
              <w:spacing w:after="0"/>
              <w:rPr>
                <w:sz w:val="20"/>
                <w:szCs w:val="20"/>
                <w:color w:val="auto"/>
              </w:rPr>
            </w:pPr>
            <w:r>
              <w:rPr>
                <w:rFonts w:ascii="Arial" w:cs="Arial" w:eastAsia="Arial" w:hAnsi="Arial"/>
                <w:sz w:val="10"/>
                <w:szCs w:val="10"/>
                <w:color w:val="auto"/>
              </w:rPr>
              <w:t>$ (3)</w:t>
            </w:r>
          </w:p>
        </w:tc>
        <w:tc>
          <w:tcPr>
            <w:tcW w:w="3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(8)</w:t>
            </w:r>
          </w:p>
        </w:tc>
      </w:tr>
    </w:tbl>
    <w:p>
      <w:pPr>
        <w:spacing w:after="0" w:line="10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chemicals segment includes the company’s Oronite subsidiary and the 50 percent-owned Chevron</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Phillips Chemical Company LLC (CPChem). In 2008, earnings were $182 million, compared with</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$396 million and $539 million in 2007 and 2006, respectively. Earnings declined in 2008 due to lower</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sales volumes of commodity chemicals by CPChem. Higher expenses for planned maintenance activities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also contributed to the earnings decline. Earnings also declined for the company’s Oronite subsidiary due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to lower volumes and higher operating expenses. In 2007, earnings of $396 million decreased $143 million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from 2006 due to the impact of lower margins on the sale of commodity chemicals by CPChem that were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only partially offset by improved margins on Oronite’s sales of additives for lubricants and fuel.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All Other</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2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92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40" w:type="dxa"/>
            <w:vAlign w:val="bottom"/>
          </w:tcPr>
          <w:p>
            <w:pPr>
              <w:spacing w:after="0"/>
              <w:rPr>
                <w:sz w:val="10"/>
                <w:szCs w:val="10"/>
                <w:color w:val="auto"/>
              </w:rPr>
            </w:pPr>
          </w:p>
        </w:tc>
      </w:tr>
      <w:tr>
        <w:trPr>
          <w:trHeight w:val="114"/>
        </w:trPr>
        <w:tc>
          <w:tcPr>
            <w:tcW w:w="22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Net Charges*</w:t>
            </w:r>
          </w:p>
        </w:tc>
        <w:tc>
          <w:tcPr>
            <w:tcW w:w="92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0077C0"/>
              <w:right w:val="single" w:sz="8" w:color="0077C0"/>
            </w:tcBorders>
          </w:tcPr>
          <w:p>
            <w:pPr>
              <w:jc w:val="right"/>
              <w:ind w:right="270"/>
              <w:spacing w:after="0" w:line="105" w:lineRule="exact"/>
              <w:rPr>
                <w:sz w:val="20"/>
                <w:szCs w:val="20"/>
                <w:color w:val="auto"/>
              </w:rPr>
            </w:pPr>
            <w:r>
              <w:rPr>
                <w:rFonts w:ascii="Arial" w:cs="Arial" w:eastAsia="Arial" w:hAnsi="Arial"/>
                <w:sz w:val="10"/>
                <w:szCs w:val="10"/>
                <w:b w:val="1"/>
                <w:bCs w:val="1"/>
                <w:color w:val="auto"/>
              </w:rPr>
              <w:t>(1,390)</w:t>
            </w:r>
          </w:p>
        </w:tc>
        <w:tc>
          <w:tcPr>
            <w:tcW w:w="4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(26)</w:t>
            </w:r>
          </w:p>
        </w:tc>
        <w:tc>
          <w:tcPr>
            <w:tcW w:w="3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(516)</w:t>
            </w:r>
          </w:p>
        </w:tc>
        <w:tc>
          <w:tcPr>
            <w:tcW w:w="40" w:type="dxa"/>
            <w:vAlign w:val="bottom"/>
          </w:tcPr>
          <w:p>
            <w:pPr>
              <w:spacing w:after="0"/>
              <w:rPr>
                <w:sz w:val="9"/>
                <w:szCs w:val="9"/>
                <w:color w:val="auto"/>
              </w:rPr>
            </w:pPr>
          </w:p>
        </w:tc>
      </w:tr>
      <w:tr>
        <w:trPr>
          <w:trHeight w:val="131"/>
        </w:trPr>
        <w:tc>
          <w:tcPr>
            <w:tcW w:w="2260" w:type="dxa"/>
            <w:vAlign w:val="bottom"/>
          </w:tcPr>
          <w:p>
            <w:pPr>
              <w:spacing w:after="0"/>
              <w:rPr>
                <w:sz w:val="20"/>
                <w:szCs w:val="20"/>
                <w:color w:val="auto"/>
              </w:rPr>
            </w:pPr>
            <w:r>
              <w:rPr>
                <w:rFonts w:ascii="Arial" w:cs="Arial" w:eastAsia="Arial" w:hAnsi="Arial"/>
                <w:sz w:val="10"/>
                <w:szCs w:val="10"/>
                <w:color w:val="auto"/>
              </w:rPr>
              <w:t>*Includes Foreign Currency Effects:</w:t>
            </w:r>
          </w:p>
        </w:tc>
        <w:tc>
          <w:tcPr>
            <w:tcW w:w="920" w:type="dxa"/>
            <w:vAlign w:val="bottom"/>
          </w:tcPr>
          <w:p>
            <w:pPr>
              <w:spacing w:after="0"/>
              <w:rPr>
                <w:sz w:val="11"/>
                <w:szCs w:val="11"/>
                <w:color w:val="auto"/>
              </w:rPr>
            </w:pPr>
          </w:p>
        </w:tc>
        <w:tc>
          <w:tcPr>
            <w:tcW w:w="720" w:type="dxa"/>
            <w:vAlign w:val="bottom"/>
          </w:tcPr>
          <w:p>
            <w:pPr>
              <w:jc w:val="right"/>
              <w:ind w:right="270"/>
              <w:spacing w:after="0"/>
              <w:rPr>
                <w:sz w:val="20"/>
                <w:szCs w:val="20"/>
                <w:color w:val="auto"/>
              </w:rPr>
            </w:pPr>
            <w:r>
              <w:rPr>
                <w:rFonts w:ascii="Arial" w:cs="Arial" w:eastAsia="Arial" w:hAnsi="Arial"/>
                <w:sz w:val="10"/>
                <w:szCs w:val="10"/>
                <w:b w:val="1"/>
                <w:bCs w:val="1"/>
                <w:color w:val="auto"/>
              </w:rPr>
              <w:t>$ (186)</w:t>
            </w:r>
          </w:p>
        </w:tc>
        <w:tc>
          <w:tcPr>
            <w:tcW w:w="44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10"/>
                <w:szCs w:val="10"/>
                <w:color w:val="auto"/>
              </w:rPr>
              <w:t>$ 6</w:t>
            </w:r>
          </w:p>
        </w:tc>
        <w:tc>
          <w:tcPr>
            <w:tcW w:w="3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$ 62</w:t>
            </w:r>
          </w:p>
        </w:tc>
        <w:tc>
          <w:tcPr>
            <w:tcW w:w="40" w:type="dxa"/>
            <w:vAlign w:val="bottom"/>
          </w:tcPr>
          <w:p>
            <w:pPr>
              <w:spacing w:after="0"/>
              <w:rPr>
                <w:sz w:val="11"/>
                <w:szCs w:val="11"/>
                <w:color w:val="auto"/>
              </w:rPr>
            </w:pPr>
          </w:p>
        </w:tc>
      </w:tr>
    </w:tbl>
    <w:p>
      <w:pPr>
        <w:spacing w:after="0" w:line="264" w:lineRule="exact"/>
        <w:rPr>
          <w:sz w:val="20"/>
          <w:szCs w:val="20"/>
          <w:color w:val="auto"/>
        </w:rPr>
      </w:pPr>
    </w:p>
    <w:p>
      <w:pPr>
        <w:ind w:left="340" w:right="3020" w:firstLine="153"/>
        <w:spacing w:after="0" w:line="303" w:lineRule="auto"/>
        <w:rPr>
          <w:sz w:val="20"/>
          <w:szCs w:val="20"/>
          <w:color w:val="auto"/>
        </w:rPr>
      </w:pPr>
      <w:r>
        <w:rPr>
          <w:rFonts w:ascii="Arial" w:cs="Arial" w:eastAsia="Arial" w:hAnsi="Arial"/>
          <w:sz w:val="11"/>
          <w:szCs w:val="11"/>
          <w:color w:val="auto"/>
        </w:rPr>
        <w:t>All Other includes mining operations, power generation businesses, worldwide cash management and debt financing activities, corporate administrative functions, insurance operations, real estate activities, alternative fuels and technology companies, and the company’s interest in Dynegy prior to its sale in May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-703580</wp:posOffset>
            </wp:positionV>
            <wp:extent cx="1019175" cy="19894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19175" cy="1989455"/>
                    </a:xfrm>
                    <a:prstGeom prst="rect">
                      <a:avLst/>
                    </a:prstGeom>
                    <a:noFill/>
                  </pic:spPr>
                </pic:pic>
              </a:graphicData>
            </a:graphic>
          </wp:anchor>
        </w:drawing>
      </w:r>
    </w:p>
    <w:p>
      <w:pPr>
        <w:spacing w:after="0" w:line="63" w:lineRule="exact"/>
        <w:rPr>
          <w:sz w:val="20"/>
          <w:szCs w:val="20"/>
          <w:color w:val="auto"/>
        </w:rPr>
      </w:pPr>
    </w:p>
    <w:p>
      <w:pPr>
        <w:jc w:val="both"/>
        <w:ind w:left="340" w:right="2900" w:firstLine="160"/>
        <w:spacing w:after="0" w:line="295" w:lineRule="auto"/>
        <w:rPr>
          <w:sz w:val="20"/>
          <w:szCs w:val="20"/>
          <w:color w:val="auto"/>
        </w:rPr>
      </w:pPr>
      <w:r>
        <w:rPr>
          <w:rFonts w:ascii="Arial" w:cs="Arial" w:eastAsia="Arial" w:hAnsi="Arial"/>
          <w:sz w:val="11"/>
          <w:szCs w:val="11"/>
          <w:color w:val="auto"/>
        </w:rPr>
        <w:t>Net charges in 2008 increased $1.4 billion from 2007. Results in 2007 included a $680 million gain on the sale of the company’s investment in Dynegy common stock and a loss of approximately</w:t>
      </w:r>
    </w:p>
    <w:p>
      <w:pPr>
        <w:spacing w:after="0" w:line="2" w:lineRule="exact"/>
        <w:rPr>
          <w:sz w:val="20"/>
          <w:szCs w:val="20"/>
          <w:color w:val="auto"/>
        </w:rPr>
      </w:pPr>
    </w:p>
    <w:p>
      <w:pPr>
        <w:ind w:left="340" w:right="2940"/>
        <w:spacing w:after="0" w:line="250" w:lineRule="auto"/>
        <w:rPr>
          <w:sz w:val="20"/>
          <w:szCs w:val="20"/>
          <w:color w:val="auto"/>
        </w:rPr>
      </w:pPr>
      <w:r>
        <w:rPr>
          <w:rFonts w:ascii="Arial" w:cs="Arial" w:eastAsia="Arial" w:hAnsi="Arial"/>
          <w:sz w:val="13"/>
          <w:szCs w:val="13"/>
          <w:color w:val="auto"/>
        </w:rPr>
        <w:t>$175 million associated with the early redemption of Texaco Capital Inc. bonds. Results in 2008 included net unfavorable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line="253" w:lineRule="auto"/>
        <w:rPr>
          <w:sz w:val="20"/>
          <w:szCs w:val="20"/>
          <w:color w:val="auto"/>
        </w:rPr>
      </w:pPr>
      <w:r>
        <w:rPr>
          <w:rFonts w:ascii="Arial" w:cs="Arial" w:eastAsia="Arial" w:hAnsi="Arial"/>
          <w:sz w:val="13"/>
          <w:szCs w:val="13"/>
          <w:color w:val="auto"/>
        </w:rPr>
        <w:t>corporate tax items and increased costs of environmental remediation for sites that previously had been closed or sold. Foreign exchange effects also contributed to the increase in net charges between years. Net charges of $26 million in 2007 decreased $490 million from 2006 due mainly to the Dynegy-related gain in 2007.</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Consolidated Statement of Income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Comparative amounts for certain income statement categories are shown below:</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2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6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92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22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Sales and other operating revenues</w:t>
            </w:r>
          </w:p>
        </w:tc>
        <w:tc>
          <w:tcPr>
            <w:tcW w:w="16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  264,958</w:t>
            </w:r>
          </w:p>
        </w:tc>
        <w:tc>
          <w:tcPr>
            <w:tcW w:w="92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  214,091</w:t>
            </w: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204,892</w:t>
            </w:r>
          </w:p>
        </w:tc>
      </w:tr>
    </w:tbl>
    <w:p>
      <w:pPr>
        <w:spacing w:after="0" w:line="126" w:lineRule="exact"/>
        <w:rPr>
          <w:sz w:val="20"/>
          <w:szCs w:val="20"/>
          <w:color w:val="auto"/>
        </w:rPr>
      </w:pPr>
    </w:p>
    <w:p>
      <w:pPr>
        <w:jc w:val="both"/>
        <w:ind w:left="340" w:right="40" w:firstLine="160"/>
        <w:spacing w:after="0" w:line="267" w:lineRule="auto"/>
        <w:rPr>
          <w:sz w:val="20"/>
          <w:szCs w:val="20"/>
          <w:color w:val="auto"/>
        </w:rPr>
      </w:pPr>
      <w:r>
        <w:rPr>
          <w:rFonts w:ascii="Arial" w:cs="Arial" w:eastAsia="Arial" w:hAnsi="Arial"/>
          <w:sz w:val="13"/>
          <w:szCs w:val="13"/>
          <w:color w:val="auto"/>
        </w:rPr>
        <w:t>Sales and other operating revenues increased in the comparative periods due mainly to higher prices for crude oil, natural gas and refined products.</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1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0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2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21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 from equity affiliates</w:t>
            </w:r>
          </w:p>
        </w:tc>
        <w:tc>
          <w:tcPr>
            <w:tcW w:w="104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5,366</w:t>
            </w:r>
          </w:p>
        </w:tc>
        <w:tc>
          <w:tcPr>
            <w:tcW w:w="4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4,144</w:t>
            </w:r>
          </w:p>
        </w:tc>
        <w:tc>
          <w:tcPr>
            <w:tcW w:w="3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4,255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0"/>
          <w:szCs w:val="10"/>
          <w:color w:val="auto"/>
        </w:rPr>
        <w:t>FS-8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20"/>
            <w:col w:w="5860"/>
          </w:cols>
          <w:pgMar w:left="220" w:top="339" w:right="199" w:bottom="1440" w:gutter="0" w:footer="0" w:header="0"/>
          <w:type w:val="continuous"/>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right="60" w:firstLine="160"/>
        <w:spacing w:after="0" w:line="274" w:lineRule="auto"/>
        <w:rPr>
          <w:sz w:val="20"/>
          <w:szCs w:val="20"/>
          <w:color w:val="auto"/>
        </w:rPr>
      </w:pPr>
      <w:r>
        <w:rPr>
          <w:rFonts w:ascii="Arial" w:cs="Arial" w:eastAsia="Arial" w:hAnsi="Arial"/>
          <w:sz w:val="12"/>
          <w:szCs w:val="12"/>
          <w:color w:val="auto"/>
        </w:rPr>
        <w:t>Income from equity affiliates increased in 2008 from 2007 on improved upstream-related earnings at Tengizchevroil (TCO) due to higher prices for crude oil. Lower income from equity affiliates between 2006 and 2007 was mainly due to a decline in earnings from CPChem, Dynegy (sold in May 2007) and downstream affiliates in the Asia-Pacific area. Partially offsetting these declines were improved results for TCO and income for a full year from Petroboscan, which was converted from an operating service agreement to a joint-stock company in October 2006. Refer to Note 12, beginning on page FS-41, for a discussion of Chevron’s investments in affiliated companies.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32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4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18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Other income</w:t>
            </w:r>
          </w:p>
        </w:tc>
        <w:tc>
          <w:tcPr>
            <w:tcW w:w="13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2,681</w:t>
            </w:r>
          </w:p>
        </w:tc>
        <w:tc>
          <w:tcPr>
            <w:tcW w:w="4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2,669</w:t>
            </w:r>
          </w:p>
        </w:tc>
        <w:tc>
          <w:tcPr>
            <w:tcW w:w="3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971</w:t>
            </w:r>
          </w:p>
        </w:tc>
      </w:tr>
    </w:tbl>
    <w:p>
      <w:pPr>
        <w:spacing w:after="0" w:line="135" w:lineRule="exact"/>
        <w:rPr>
          <w:sz w:val="20"/>
          <w:szCs w:val="20"/>
          <w:color w:val="auto"/>
        </w:rPr>
      </w:pPr>
    </w:p>
    <w:p>
      <w:pPr>
        <w:ind w:right="20" w:firstLine="160"/>
        <w:spacing w:after="0" w:line="308" w:lineRule="auto"/>
        <w:rPr>
          <w:sz w:val="20"/>
          <w:szCs w:val="20"/>
          <w:color w:val="auto"/>
        </w:rPr>
      </w:pPr>
      <w:r>
        <w:rPr>
          <w:rFonts w:ascii="Arial" w:cs="Arial" w:eastAsia="Arial" w:hAnsi="Arial"/>
          <w:sz w:val="11"/>
          <w:szCs w:val="11"/>
          <w:color w:val="auto"/>
        </w:rPr>
        <w:t>Other income of $2.7 billion in 2008 included gains of approximately $1.3 billion on asset sales. Other income of $2.7 billion in 2007 included net gains of $1.7 billion from asset sales and a loss of $245 million on the early redemption of debt. Interest income was approximately $340 million in 2008 and $600 million in both 2007 and 2006. Foreign currency effects benefited other income by $355 million in 2008 while reducing other income by $352 million and $260 million in 2007 and 2006,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6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92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22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Purchased crude oil and products</w:t>
            </w:r>
          </w:p>
        </w:tc>
        <w:tc>
          <w:tcPr>
            <w:tcW w:w="16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  171,397</w:t>
            </w:r>
          </w:p>
        </w:tc>
        <w:tc>
          <w:tcPr>
            <w:tcW w:w="92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  133,309</w:t>
            </w:r>
          </w:p>
        </w:tc>
        <w:tc>
          <w:tcPr>
            <w:tcW w:w="7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128,151</w:t>
            </w:r>
          </w:p>
        </w:tc>
      </w:tr>
    </w:tbl>
    <w:p>
      <w:pPr>
        <w:spacing w:after="0" w:line="126" w:lineRule="exact"/>
        <w:rPr>
          <w:sz w:val="20"/>
          <w:szCs w:val="20"/>
          <w:color w:val="auto"/>
        </w:rPr>
      </w:pPr>
    </w:p>
    <w:p>
      <w:pPr>
        <w:ind w:right="140" w:firstLine="160"/>
        <w:spacing w:after="0" w:line="256" w:lineRule="auto"/>
        <w:rPr>
          <w:sz w:val="20"/>
          <w:szCs w:val="20"/>
          <w:color w:val="auto"/>
        </w:rPr>
      </w:pPr>
      <w:r>
        <w:rPr>
          <w:rFonts w:ascii="Arial" w:cs="Arial" w:eastAsia="Arial" w:hAnsi="Arial"/>
          <w:sz w:val="13"/>
          <w:szCs w:val="13"/>
          <w:color w:val="auto"/>
        </w:rPr>
        <w:t>Crude oil and product purchases in 2008 increased $38.1 billion from 2007 due to higher prices for crude oil, natural gas and refined products. Crude oil and product purchases in 2007 increased more than $5 billion from 2006 due to these same factors.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27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Operating, selling, general and administrative expenses</w:t>
            </w:r>
          </w:p>
        </w:tc>
        <w:tc>
          <w:tcPr>
            <w:tcW w:w="46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26,551</w:t>
            </w: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22,858</w:t>
            </w:r>
          </w:p>
        </w:tc>
        <w:tc>
          <w:tcPr>
            <w:tcW w:w="3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19,717</w:t>
            </w:r>
          </w:p>
        </w:tc>
      </w:tr>
    </w:tbl>
    <w:p>
      <w:pPr>
        <w:spacing w:after="0" w:line="126" w:lineRule="exact"/>
        <w:rPr>
          <w:sz w:val="20"/>
          <w:szCs w:val="20"/>
          <w:color w:val="auto"/>
        </w:rPr>
      </w:pPr>
    </w:p>
    <w:p>
      <w:pPr>
        <w:ind w:right="80" w:firstLine="160"/>
        <w:spacing w:after="0" w:line="305" w:lineRule="auto"/>
        <w:rPr>
          <w:sz w:val="20"/>
          <w:szCs w:val="20"/>
          <w:color w:val="auto"/>
        </w:rPr>
      </w:pPr>
      <w:r>
        <w:rPr>
          <w:rFonts w:ascii="Arial" w:cs="Arial" w:eastAsia="Arial" w:hAnsi="Arial"/>
          <w:sz w:val="11"/>
          <w:szCs w:val="11"/>
          <w:color w:val="auto"/>
        </w:rPr>
        <w:t>Operating, selling, general and administrative expenses in 2008 increased approximately $3.7 billion from 2007 primarily due to $1.2 billion of higher costs for employee and contract labor; $800 million of increased costs for materials, services and equipment; $700 million of uninsured losses associated with hurricanes in the Gulf of Mexico in 2008; and an increase of about $300 million for environmental remediation activities. Total expenses were about $3.1 billion higher in 2007 than in 2006. Increases were recorded in a number of categories, including $1.5 billion of higher costs for employee and contract labor.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6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2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r>
      <w:tr>
        <w:trPr>
          <w:trHeight w:val="114"/>
        </w:trPr>
        <w:tc>
          <w:tcPr>
            <w:tcW w:w="19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Exploration expense</w:t>
            </w:r>
          </w:p>
        </w:tc>
        <w:tc>
          <w:tcPr>
            <w:tcW w:w="12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1,169</w:t>
            </w:r>
          </w:p>
        </w:tc>
        <w:tc>
          <w:tcPr>
            <w:tcW w:w="4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1,323</w:t>
            </w:r>
          </w:p>
        </w:tc>
        <w:tc>
          <w:tcPr>
            <w:tcW w:w="3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1,364</w:t>
            </w:r>
          </w:p>
        </w:tc>
      </w:tr>
    </w:tbl>
    <w:p>
      <w:pPr>
        <w:spacing w:after="0" w:line="135" w:lineRule="exact"/>
        <w:rPr>
          <w:sz w:val="20"/>
          <w:szCs w:val="20"/>
          <w:color w:val="auto"/>
        </w:rPr>
      </w:pPr>
    </w:p>
    <w:p>
      <w:pPr>
        <w:ind w:right="120" w:firstLine="160"/>
        <w:spacing w:after="0" w:line="309" w:lineRule="auto"/>
        <w:rPr>
          <w:sz w:val="20"/>
          <w:szCs w:val="20"/>
          <w:color w:val="auto"/>
        </w:rPr>
      </w:pPr>
      <w:r>
        <w:rPr>
          <w:rFonts w:ascii="Arial" w:cs="Arial" w:eastAsia="Arial" w:hAnsi="Arial"/>
          <w:sz w:val="12"/>
          <w:szCs w:val="12"/>
          <w:color w:val="auto"/>
        </w:rPr>
        <w:t>Exploration expenses in 2008 declined from 2007 due mainly to lower amounts for well write-offs for operations in the United States. Expenses in 2007 were essentially unchanged from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15"/>
        </w:trPr>
        <w:tc>
          <w:tcPr>
            <w:tcW w:w="24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78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2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rPr>
              <w:t>2006</w:t>
            </w:r>
          </w:p>
        </w:tc>
      </w:tr>
      <w:tr>
        <w:trPr>
          <w:trHeight w:val="114"/>
        </w:trPr>
        <w:tc>
          <w:tcPr>
            <w:tcW w:w="24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Depreciation, depletion and amortization</w:t>
            </w:r>
          </w:p>
        </w:tc>
        <w:tc>
          <w:tcPr>
            <w:tcW w:w="7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9,528</w:t>
            </w:r>
          </w:p>
        </w:tc>
        <w:tc>
          <w:tcPr>
            <w:tcW w:w="42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8,708</w:t>
            </w:r>
          </w:p>
        </w:tc>
        <w:tc>
          <w:tcPr>
            <w:tcW w:w="3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7,506</w:t>
            </w:r>
          </w:p>
        </w:tc>
      </w:tr>
    </w:tbl>
    <w:p>
      <w:pPr>
        <w:spacing w:after="0" w:line="135" w:lineRule="exact"/>
        <w:rPr>
          <w:sz w:val="20"/>
          <w:szCs w:val="20"/>
          <w:color w:val="auto"/>
        </w:rPr>
      </w:pPr>
    </w:p>
    <w:p>
      <w:pPr>
        <w:jc w:val="both"/>
        <w:ind w:left="340" w:right="140" w:firstLine="160"/>
        <w:spacing w:after="0" w:line="277" w:lineRule="auto"/>
        <w:rPr>
          <w:sz w:val="20"/>
          <w:szCs w:val="20"/>
          <w:color w:val="auto"/>
        </w:rPr>
      </w:pPr>
      <w:r>
        <w:rPr>
          <w:rFonts w:ascii="Arial" w:cs="Arial" w:eastAsia="Arial" w:hAnsi="Arial"/>
          <w:sz w:val="12"/>
          <w:szCs w:val="12"/>
          <w:color w:val="auto"/>
        </w:rPr>
        <w:t>Depreciation, depletion and amortization expenses increased in 2008 from 2007 largely due to higher depreciation rates for certain crude oil and natural gas producing fields, reflecting completion of higher-cost development projects and asset-retirement obligations. The increase between 2006 and 2007 reflects an increase in charges related to asset write-downs and higher depreciation rates for certain crude oil and natural gas producing fields worldwide.</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1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06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2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rPr>
              <w:t>2006</w:t>
            </w:r>
          </w:p>
        </w:tc>
      </w:tr>
      <w:tr>
        <w:trPr>
          <w:trHeight w:val="114"/>
        </w:trPr>
        <w:tc>
          <w:tcPr>
            <w:tcW w:w="21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Taxes other than on income</w:t>
            </w:r>
          </w:p>
        </w:tc>
        <w:tc>
          <w:tcPr>
            <w:tcW w:w="10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21,303</w:t>
            </w: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22,266</w:t>
            </w:r>
          </w:p>
        </w:tc>
        <w:tc>
          <w:tcPr>
            <w:tcW w:w="28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20,883</w:t>
            </w:r>
          </w:p>
        </w:tc>
      </w:tr>
    </w:tbl>
    <w:p>
      <w:pPr>
        <w:spacing w:after="0" w:line="126" w:lineRule="exact"/>
        <w:rPr>
          <w:sz w:val="20"/>
          <w:szCs w:val="20"/>
          <w:color w:val="auto"/>
        </w:rPr>
      </w:pPr>
    </w:p>
    <w:p>
      <w:pPr>
        <w:ind w:left="340" w:right="20" w:firstLine="158"/>
        <w:spacing w:after="0" w:line="314" w:lineRule="auto"/>
        <w:rPr>
          <w:sz w:val="20"/>
          <w:szCs w:val="20"/>
          <w:color w:val="auto"/>
        </w:rPr>
      </w:pPr>
      <w:r>
        <w:rPr>
          <w:rFonts w:ascii="Arial" w:cs="Arial" w:eastAsia="Arial" w:hAnsi="Arial"/>
          <w:sz w:val="11"/>
          <w:szCs w:val="11"/>
          <w:color w:val="auto"/>
        </w:rPr>
        <w:t>Taxes other than on income decreased between 2007 and 2008 periods mainly due to lower import duties as a result of the effects of the 2007 sales of the company’s Benelux refining and marketing businesses and a decline in import volumes in the United Kingdom. Taxes other than on income increased between 2006 and 2007 due to higher import duties in the company’s U.K. downstream operations in 2007.</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0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1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rPr>
              <w:t>2006</w:t>
            </w:r>
          </w:p>
        </w:tc>
      </w:tr>
      <w:tr>
        <w:trPr>
          <w:trHeight w:val="114"/>
        </w:trPr>
        <w:tc>
          <w:tcPr>
            <w:tcW w:w="20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Interest and debt expense</w:t>
            </w:r>
          </w:p>
        </w:tc>
        <w:tc>
          <w:tcPr>
            <w:tcW w:w="11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166</w:t>
            </w:r>
          </w:p>
        </w:tc>
        <w:tc>
          <w:tcPr>
            <w:tcW w:w="3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451</w:t>
            </w:r>
          </w:p>
        </w:tc>
      </w:tr>
    </w:tbl>
    <w:p>
      <w:pPr>
        <w:spacing w:after="0" w:line="126" w:lineRule="exact"/>
        <w:rPr>
          <w:sz w:val="20"/>
          <w:szCs w:val="20"/>
          <w:color w:val="auto"/>
        </w:rPr>
      </w:pPr>
    </w:p>
    <w:p>
      <w:pPr>
        <w:ind w:left="340" w:right="140" w:firstLine="160"/>
        <w:spacing w:after="0" w:line="256" w:lineRule="auto"/>
        <w:rPr>
          <w:sz w:val="20"/>
          <w:szCs w:val="20"/>
          <w:color w:val="auto"/>
        </w:rPr>
      </w:pPr>
      <w:r>
        <w:rPr>
          <w:rFonts w:ascii="Arial" w:cs="Arial" w:eastAsia="Arial" w:hAnsi="Arial"/>
          <w:sz w:val="13"/>
          <w:szCs w:val="13"/>
          <w:color w:val="auto"/>
        </w:rPr>
        <w:t>Interest and debt expense decreased significantly in 2008 because all interest-related amounts were being capitalized. Interest and debt expense in 2007 decreased from 2006 primarily due to lower average debt balances and higher amounts of interest capitalized.</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194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24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2007</w:t>
            </w:r>
          </w:p>
        </w:tc>
        <w:tc>
          <w:tcPr>
            <w:tcW w:w="2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rPr>
              <w:t>2006</w:t>
            </w:r>
          </w:p>
        </w:tc>
      </w:tr>
      <w:tr>
        <w:trPr>
          <w:trHeight w:val="114"/>
        </w:trPr>
        <w:tc>
          <w:tcPr>
            <w:tcW w:w="19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 tax expense</w:t>
            </w:r>
          </w:p>
        </w:tc>
        <w:tc>
          <w:tcPr>
            <w:tcW w:w="124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19,026</w:t>
            </w: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13,479</w:t>
            </w:r>
          </w:p>
        </w:tc>
        <w:tc>
          <w:tcPr>
            <w:tcW w:w="28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14,838</w:t>
            </w:r>
          </w:p>
        </w:tc>
      </w:tr>
    </w:tbl>
    <w:p>
      <w:pPr>
        <w:spacing w:after="0" w:line="135" w:lineRule="exact"/>
        <w:rPr>
          <w:sz w:val="20"/>
          <w:szCs w:val="20"/>
          <w:color w:val="auto"/>
        </w:rPr>
      </w:pPr>
    </w:p>
    <w:p>
      <w:pPr>
        <w:ind w:left="340" w:right="60" w:firstLine="160"/>
        <w:spacing w:after="0" w:line="301" w:lineRule="auto"/>
        <w:rPr>
          <w:sz w:val="20"/>
          <w:szCs w:val="20"/>
          <w:color w:val="auto"/>
        </w:rPr>
      </w:pPr>
      <w:r>
        <w:rPr>
          <w:rFonts w:ascii="Arial" w:cs="Arial" w:eastAsia="Arial" w:hAnsi="Arial"/>
          <w:sz w:val="11"/>
          <w:szCs w:val="11"/>
          <w:color w:val="auto"/>
        </w:rPr>
        <w:t>Effective income tax rates were 44 percent in 2008, 42 percent in 2007 and 46 percent in 2006. Rates were higher between 2007 and 2008 primarily due to a greater proportion of income earned in tax jurisdictions with higher income tax rates. In addition, the 2007 period included a relatively low effective tax rate on the sale of the company’s investment in Dynegy common stock and the sale of downstream assets in Europe. Rates were lower in 2007 compared with 2006 due mainly to the impact of nonrecurring items in 2007 mentioned above and the absence of 2006 charges related to a tax-law change that increased tax rates on upstream operations in the U.K. North Sea and the settlement of a tax claim in Venezuela. Refer also to the discussion of income taxes in Note 16 beginning on page FS-45.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color w:val="auto"/>
        </w:rPr>
        <w:t>FS-9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20"/>
            <w:col w:w="5860"/>
          </w:cols>
          <w:pgMar w:left="220" w:top="339" w:right="199" w:bottom="1440" w:gutter="0" w:footer="0" w:header="0"/>
        </w:sectPr>
      </w:pPr>
    </w:p>
    <w:bookmarkStart w:id="50" w:name="page51"/>
    <w:bookmarkEnd w:id="50"/>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143"/>
        <w:spacing w:after="0"/>
        <w:rPr>
          <w:sz w:val="20"/>
          <w:szCs w:val="20"/>
          <w:color w:val="auto"/>
        </w:rPr>
      </w:pPr>
      <w:r>
        <w:rPr>
          <w:rFonts w:ascii="Arial" w:cs="Arial" w:eastAsia="Arial" w:hAnsi="Arial"/>
          <w:sz w:val="10"/>
          <w:szCs w:val="10"/>
          <w:color w:val="0077C0"/>
        </w:rPr>
        <w:t>Management’s Discussion and Analysis of</w:t>
      </w:r>
    </w:p>
    <w:p>
      <w:pPr>
        <w:ind w:left="143"/>
        <w:spacing w:after="0"/>
        <w:rPr>
          <w:sz w:val="20"/>
          <w:szCs w:val="20"/>
          <w:color w:val="auto"/>
        </w:rPr>
      </w:pPr>
      <w:r>
        <w:rPr>
          <w:rFonts w:ascii="Arial" w:cs="Arial" w:eastAsia="Arial" w:hAnsi="Arial"/>
          <w:sz w:val="10"/>
          <w:szCs w:val="10"/>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Selected Operating Data</w:t>
      </w:r>
      <w:r>
        <w:rPr>
          <w:rFonts w:ascii="Arial" w:cs="Arial" w:eastAsia="Arial" w:hAnsi="Arial"/>
          <w:sz w:val="19"/>
          <w:szCs w:val="19"/>
          <w:b w:val="1"/>
          <w:bCs w:val="1"/>
          <w:color w:val="auto"/>
          <w:vertAlign w:val="superscript"/>
        </w:rPr>
        <w:t>1,2</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86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2007</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92"/>
        </w:trPr>
        <w:tc>
          <w:tcPr>
            <w:tcW w:w="3860" w:type="dxa"/>
            <w:vAlign w:val="bottom"/>
          </w:tcPr>
          <w:p>
            <w:pPr>
              <w:spacing w:after="0" w:line="92" w:lineRule="exact"/>
              <w:rPr>
                <w:sz w:val="20"/>
                <w:szCs w:val="20"/>
                <w:color w:val="auto"/>
              </w:rPr>
            </w:pPr>
            <w:r>
              <w:rPr>
                <w:rFonts w:ascii="Arial" w:cs="Arial" w:eastAsia="Arial" w:hAnsi="Arial"/>
                <w:sz w:val="10"/>
                <w:szCs w:val="10"/>
                <w:b w:val="1"/>
                <w:bCs w:val="1"/>
                <w:color w:val="auto"/>
              </w:rPr>
              <w:t>U.S. Upstream</w:t>
            </w:r>
          </w:p>
        </w:tc>
        <w:tc>
          <w:tcPr>
            <w:tcW w:w="80" w:type="dxa"/>
            <w:vAlign w:val="bottom"/>
          </w:tcPr>
          <w:p>
            <w:pPr>
              <w:spacing w:after="0"/>
              <w:rPr>
                <w:sz w:val="8"/>
                <w:szCs w:val="8"/>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421</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line="104" w:lineRule="exact"/>
              <w:rPr>
                <w:sz w:val="20"/>
                <w:szCs w:val="20"/>
                <w:color w:val="auto"/>
              </w:rPr>
            </w:pPr>
            <w:r>
              <w:rPr>
                <w:rFonts w:ascii="Arial" w:cs="Arial" w:eastAsia="Arial" w:hAnsi="Arial"/>
                <w:sz w:val="10"/>
                <w:szCs w:val="10"/>
                <w:color w:val="auto"/>
              </w:rPr>
              <w:t>Net Crude Oil and Natural Gas Liquids Production (MBPD)</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460</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462</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Net Natural Gas Production (MMCFPD)</w:t>
            </w:r>
            <w:r>
              <w:rPr>
                <w:rFonts w:ascii="Arial" w:cs="Arial" w:eastAsia="Arial" w:hAnsi="Arial"/>
                <w:sz w:val="8"/>
                <w:szCs w:val="8"/>
                <w:color w:val="auto"/>
              </w:rPr>
              <w:t>3</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1,501</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1,699</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5"/>
              </w:rPr>
              <w:t>1,810</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Net Oil-Equivalent Production (MBOEPD)</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671</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743</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763</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Sales of Natural Gas (MMCFPD)</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7,226</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7,624</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5"/>
              </w:rPr>
              <w:t>7,051</w:t>
            </w:r>
          </w:p>
        </w:tc>
        <w:tc>
          <w:tcPr>
            <w:tcW w:w="0" w:type="dxa"/>
            <w:vAlign w:val="bottom"/>
          </w:tcPr>
          <w:p>
            <w:pPr>
              <w:spacing w:after="0"/>
              <w:rPr>
                <w:sz w:val="1"/>
                <w:szCs w:val="1"/>
                <w:color w:val="auto"/>
              </w:rPr>
            </w:pPr>
          </w:p>
        </w:tc>
      </w:tr>
      <w:tr>
        <w:trPr>
          <w:trHeight w:val="108"/>
        </w:trPr>
        <w:tc>
          <w:tcPr>
            <w:tcW w:w="3860" w:type="dxa"/>
            <w:vAlign w:val="bottom"/>
          </w:tcPr>
          <w:p>
            <w:pPr>
              <w:spacing w:after="0" w:line="108" w:lineRule="exact"/>
              <w:rPr>
                <w:sz w:val="20"/>
                <w:szCs w:val="20"/>
                <w:color w:val="auto"/>
              </w:rPr>
            </w:pPr>
            <w:r>
              <w:rPr>
                <w:rFonts w:ascii="Arial" w:cs="Arial" w:eastAsia="Arial" w:hAnsi="Arial"/>
                <w:sz w:val="10"/>
                <w:szCs w:val="10"/>
                <w:color w:val="auto"/>
              </w:rPr>
              <w:t>Sales of Natural Gas Liquids (MBPD)</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159</w:t>
            </w:r>
          </w:p>
        </w:tc>
        <w:tc>
          <w:tcPr>
            <w:tcW w:w="180" w:type="dxa"/>
            <w:vAlign w:val="bottom"/>
          </w:tcPr>
          <w:p>
            <w:pPr>
              <w:spacing w:after="0"/>
              <w:rPr>
                <w:sz w:val="9"/>
                <w:szCs w:val="9"/>
                <w:color w:val="auto"/>
              </w:rPr>
            </w:pPr>
          </w:p>
        </w:tc>
        <w:tc>
          <w:tcPr>
            <w:tcW w:w="420" w:type="dxa"/>
            <w:vAlign w:val="bottom"/>
          </w:tcPr>
          <w:p>
            <w:pPr>
              <w:jc w:val="right"/>
              <w:ind w:right="109"/>
              <w:spacing w:after="0" w:line="108" w:lineRule="exact"/>
              <w:rPr>
                <w:sz w:val="20"/>
                <w:szCs w:val="20"/>
                <w:color w:val="auto"/>
              </w:rPr>
            </w:pPr>
            <w:r>
              <w:rPr>
                <w:rFonts w:ascii="Arial" w:cs="Arial" w:eastAsia="Arial" w:hAnsi="Arial"/>
                <w:sz w:val="10"/>
                <w:szCs w:val="10"/>
                <w:color w:val="auto"/>
              </w:rPr>
              <w:t>160</w:t>
            </w: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124</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95"/>
              </w:rPr>
              <w:t>88.43</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60" w:type="dxa"/>
            <w:vAlign w:val="bottom"/>
          </w:tcPr>
          <w:p>
            <w:pPr>
              <w:ind w:left="100"/>
              <w:spacing w:after="0" w:line="104" w:lineRule="exact"/>
              <w:rPr>
                <w:sz w:val="20"/>
                <w:szCs w:val="20"/>
                <w:color w:val="auto"/>
              </w:rPr>
            </w:pPr>
            <w:r>
              <w:rPr>
                <w:rFonts w:ascii="Arial" w:cs="Arial" w:eastAsia="Arial" w:hAnsi="Arial"/>
                <w:sz w:val="10"/>
                <w:szCs w:val="10"/>
                <w:color w:val="auto"/>
              </w:rPr>
              <w:t>Liquids ($/Bbl)</w:t>
            </w:r>
          </w:p>
        </w:tc>
        <w:tc>
          <w:tcPr>
            <w:tcW w:w="80" w:type="dxa"/>
            <w:vAlign w:val="bottom"/>
            <w:vMerge w:val="continue"/>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w w:val="95"/>
              </w:rPr>
              <w:t>63.16</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w w:val="95"/>
              </w:rPr>
              <w:t>56.66</w:t>
            </w:r>
          </w:p>
        </w:tc>
        <w:tc>
          <w:tcPr>
            <w:tcW w:w="0" w:type="dxa"/>
            <w:vAlign w:val="bottom"/>
          </w:tcPr>
          <w:p>
            <w:pPr>
              <w:spacing w:after="0"/>
              <w:rPr>
                <w:sz w:val="1"/>
                <w:szCs w:val="1"/>
                <w:color w:val="auto"/>
              </w:rPr>
            </w:pPr>
          </w:p>
        </w:tc>
      </w:tr>
      <w:tr>
        <w:trPr>
          <w:trHeight w:val="131"/>
        </w:trPr>
        <w:tc>
          <w:tcPr>
            <w:tcW w:w="3860" w:type="dxa"/>
            <w:vAlign w:val="bottom"/>
          </w:tcPr>
          <w:p>
            <w:pPr>
              <w:ind w:left="100"/>
              <w:spacing w:after="0"/>
              <w:rPr>
                <w:sz w:val="20"/>
                <w:szCs w:val="20"/>
                <w:color w:val="auto"/>
              </w:rPr>
            </w:pPr>
            <w:r>
              <w:rPr>
                <w:rFonts w:ascii="Arial" w:cs="Arial" w:eastAsia="Arial" w:hAnsi="Arial"/>
                <w:sz w:val="10"/>
                <w:szCs w:val="10"/>
                <w:color w:val="auto"/>
              </w:rPr>
              <w:t>Natural Gas ($/MCF)</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7.90</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09"/>
              <w:spacing w:after="0"/>
              <w:rPr>
                <w:sz w:val="20"/>
                <w:szCs w:val="20"/>
                <w:color w:val="auto"/>
              </w:rPr>
            </w:pPr>
            <w:r>
              <w:rPr>
                <w:rFonts w:ascii="Arial" w:cs="Arial" w:eastAsia="Arial" w:hAnsi="Arial"/>
                <w:sz w:val="10"/>
                <w:szCs w:val="10"/>
                <w:color w:val="auto"/>
              </w:rPr>
              <w:t>6.12</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6.29</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20"/>
                <w:szCs w:val="20"/>
                <w:color w:val="auto"/>
              </w:rPr>
            </w:pPr>
            <w:r>
              <w:rPr>
                <w:rFonts w:ascii="Arial" w:cs="Arial" w:eastAsia="Arial" w:hAnsi="Arial"/>
                <w:sz w:val="10"/>
                <w:szCs w:val="10"/>
                <w:b w:val="1"/>
                <w:bCs w:val="1"/>
                <w:color w:val="auto"/>
              </w:rPr>
              <w:t>International Upstream</w:t>
            </w:r>
          </w:p>
        </w:tc>
        <w:tc>
          <w:tcPr>
            <w:tcW w:w="80" w:type="dxa"/>
            <w:vAlign w:val="bottom"/>
          </w:tcPr>
          <w:p>
            <w:pPr>
              <w:spacing w:after="0"/>
              <w:rPr>
                <w:sz w:val="16"/>
                <w:szCs w:val="16"/>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95"/>
              </w:rPr>
              <w:t>1,228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line="104" w:lineRule="exact"/>
              <w:rPr>
                <w:sz w:val="20"/>
                <w:szCs w:val="20"/>
                <w:color w:val="auto"/>
              </w:rPr>
            </w:pPr>
            <w:r>
              <w:rPr>
                <w:rFonts w:ascii="Arial" w:cs="Arial" w:eastAsia="Arial" w:hAnsi="Arial"/>
                <w:sz w:val="10"/>
                <w:szCs w:val="10"/>
                <w:color w:val="auto"/>
              </w:rPr>
              <w:t>Net Crude Oil and Natural Gas Liquids Production (MBPD)</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w w:val="95"/>
              </w:rPr>
              <w:t>1,296</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w w:val="95"/>
              </w:rPr>
              <w:t>1,270</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Net Natural Gas Production (MMCFPD)</w:t>
            </w:r>
            <w:r>
              <w:rPr>
                <w:rFonts w:ascii="Arial" w:cs="Arial" w:eastAsia="Arial" w:hAnsi="Arial"/>
                <w:sz w:val="8"/>
                <w:szCs w:val="8"/>
                <w:color w:val="auto"/>
              </w:rPr>
              <w:t>3</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3,624</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3,320</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5"/>
              </w:rPr>
              <w:t>3,146</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Net Oil-Equivalent Production (MBOEPD)</w:t>
            </w:r>
            <w:r>
              <w:rPr>
                <w:rFonts w:ascii="Arial" w:cs="Arial" w:eastAsia="Arial" w:hAnsi="Arial"/>
                <w:sz w:val="8"/>
                <w:szCs w:val="8"/>
                <w:color w:val="auto"/>
              </w:rPr>
              <w:t>4</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1,859</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1,876</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5"/>
              </w:rPr>
              <w:t>1,904</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Sales Natural Gas (MMCFPD)</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4,215</w:t>
            </w:r>
          </w:p>
        </w:tc>
        <w:tc>
          <w:tcPr>
            <w:tcW w:w="18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3,792</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5"/>
              </w:rPr>
              <w:t>3,478</w:t>
            </w:r>
          </w:p>
        </w:tc>
        <w:tc>
          <w:tcPr>
            <w:tcW w:w="0" w:type="dxa"/>
            <w:vAlign w:val="bottom"/>
          </w:tcPr>
          <w:p>
            <w:pPr>
              <w:spacing w:after="0"/>
              <w:rPr>
                <w:sz w:val="1"/>
                <w:szCs w:val="1"/>
                <w:color w:val="auto"/>
              </w:rPr>
            </w:pPr>
          </w:p>
        </w:tc>
      </w:tr>
      <w:tr>
        <w:trPr>
          <w:trHeight w:val="108"/>
        </w:trPr>
        <w:tc>
          <w:tcPr>
            <w:tcW w:w="3860" w:type="dxa"/>
            <w:vAlign w:val="bottom"/>
          </w:tcPr>
          <w:p>
            <w:pPr>
              <w:spacing w:after="0" w:line="108" w:lineRule="exact"/>
              <w:rPr>
                <w:sz w:val="20"/>
                <w:szCs w:val="20"/>
                <w:color w:val="auto"/>
              </w:rPr>
            </w:pPr>
            <w:r>
              <w:rPr>
                <w:rFonts w:ascii="Arial" w:cs="Arial" w:eastAsia="Arial" w:hAnsi="Arial"/>
                <w:sz w:val="10"/>
                <w:szCs w:val="10"/>
                <w:color w:val="auto"/>
              </w:rPr>
              <w:t>Sales Natural Gas Liquids (MBPD)</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114</w:t>
            </w:r>
          </w:p>
        </w:tc>
        <w:tc>
          <w:tcPr>
            <w:tcW w:w="180" w:type="dxa"/>
            <w:vAlign w:val="bottom"/>
          </w:tcPr>
          <w:p>
            <w:pPr>
              <w:spacing w:after="0"/>
              <w:rPr>
                <w:sz w:val="9"/>
                <w:szCs w:val="9"/>
                <w:color w:val="auto"/>
              </w:rPr>
            </w:pPr>
          </w:p>
        </w:tc>
        <w:tc>
          <w:tcPr>
            <w:tcW w:w="420" w:type="dxa"/>
            <w:vAlign w:val="bottom"/>
          </w:tcPr>
          <w:p>
            <w:pPr>
              <w:jc w:val="right"/>
              <w:ind w:right="109"/>
              <w:spacing w:after="0" w:line="108" w:lineRule="exact"/>
              <w:rPr>
                <w:sz w:val="20"/>
                <w:szCs w:val="20"/>
                <w:color w:val="auto"/>
              </w:rPr>
            </w:pPr>
            <w:r>
              <w:rPr>
                <w:rFonts w:ascii="Arial" w:cs="Arial" w:eastAsia="Arial" w:hAnsi="Arial"/>
                <w:sz w:val="10"/>
                <w:szCs w:val="10"/>
                <w:color w:val="auto"/>
              </w:rPr>
              <w:t>118</w:t>
            </w:r>
          </w:p>
        </w:tc>
        <w:tc>
          <w:tcPr>
            <w:tcW w:w="2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Revenues From Liftings</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95"/>
              </w:rPr>
              <w:t>86.51</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60" w:type="dxa"/>
            <w:vAlign w:val="bottom"/>
          </w:tcPr>
          <w:p>
            <w:pPr>
              <w:ind w:left="100"/>
              <w:spacing w:after="0" w:line="104" w:lineRule="exact"/>
              <w:rPr>
                <w:sz w:val="20"/>
                <w:szCs w:val="20"/>
                <w:color w:val="auto"/>
              </w:rPr>
            </w:pPr>
            <w:r>
              <w:rPr>
                <w:rFonts w:ascii="Arial" w:cs="Arial" w:eastAsia="Arial" w:hAnsi="Arial"/>
                <w:sz w:val="10"/>
                <w:szCs w:val="10"/>
                <w:color w:val="auto"/>
              </w:rPr>
              <w:t>Liquids ($/Bbl)</w:t>
            </w:r>
          </w:p>
        </w:tc>
        <w:tc>
          <w:tcPr>
            <w:tcW w:w="80" w:type="dxa"/>
            <w:vAlign w:val="bottom"/>
            <w:vMerge w:val="continue"/>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w w:val="95"/>
              </w:rPr>
              <w:t>65.01</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w w:val="95"/>
              </w:rPr>
              <w:t>57.65</w:t>
            </w:r>
          </w:p>
        </w:tc>
        <w:tc>
          <w:tcPr>
            <w:tcW w:w="0" w:type="dxa"/>
            <w:vAlign w:val="bottom"/>
          </w:tcPr>
          <w:p>
            <w:pPr>
              <w:spacing w:after="0"/>
              <w:rPr>
                <w:sz w:val="1"/>
                <w:szCs w:val="1"/>
                <w:color w:val="auto"/>
              </w:rPr>
            </w:pPr>
          </w:p>
        </w:tc>
      </w:tr>
      <w:tr>
        <w:trPr>
          <w:trHeight w:val="131"/>
        </w:trPr>
        <w:tc>
          <w:tcPr>
            <w:tcW w:w="3860" w:type="dxa"/>
            <w:vAlign w:val="bottom"/>
          </w:tcPr>
          <w:p>
            <w:pPr>
              <w:ind w:left="100"/>
              <w:spacing w:after="0"/>
              <w:rPr>
                <w:sz w:val="20"/>
                <w:szCs w:val="20"/>
                <w:color w:val="auto"/>
              </w:rPr>
            </w:pPr>
            <w:r>
              <w:rPr>
                <w:rFonts w:ascii="Arial" w:cs="Arial" w:eastAsia="Arial" w:hAnsi="Arial"/>
                <w:sz w:val="10"/>
                <w:szCs w:val="10"/>
                <w:color w:val="auto"/>
              </w:rPr>
              <w:t>Natural Gas ($/MCF)</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5.19</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109"/>
              <w:spacing w:after="0"/>
              <w:rPr>
                <w:sz w:val="20"/>
                <w:szCs w:val="20"/>
                <w:color w:val="auto"/>
              </w:rPr>
            </w:pPr>
            <w:r>
              <w:rPr>
                <w:rFonts w:ascii="Arial" w:cs="Arial" w:eastAsia="Arial" w:hAnsi="Arial"/>
                <w:sz w:val="10"/>
                <w:szCs w:val="10"/>
                <w:color w:val="auto"/>
              </w:rPr>
              <w:t>3.90</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3.73</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20"/>
                <w:szCs w:val="20"/>
                <w:color w:val="auto"/>
              </w:rPr>
            </w:pPr>
            <w:r>
              <w:rPr>
                <w:rFonts w:ascii="Arial" w:cs="Arial" w:eastAsia="Arial" w:hAnsi="Arial"/>
                <w:sz w:val="10"/>
                <w:szCs w:val="10"/>
                <w:b w:val="1"/>
                <w:bCs w:val="1"/>
                <w:color w:val="auto"/>
              </w:rPr>
              <w:t>Worldwide Upstream</w:t>
            </w:r>
          </w:p>
        </w:tc>
        <w:tc>
          <w:tcPr>
            <w:tcW w:w="80" w:type="dxa"/>
            <w:vAlign w:val="bottom"/>
          </w:tcPr>
          <w:p>
            <w:pPr>
              <w:spacing w:after="0"/>
              <w:rPr>
                <w:sz w:val="16"/>
                <w:szCs w:val="16"/>
                <w:color w:val="auto"/>
              </w:rPr>
            </w:pPr>
          </w:p>
        </w:tc>
        <w:tc>
          <w:tcPr>
            <w:tcW w:w="440" w:type="dxa"/>
            <w:vAlign w:val="bottom"/>
            <w:tcBorders>
              <w:right w:val="single" w:sz="8" w:color="0077C0"/>
            </w:tcBorders>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Net Oil-Equivalent Production (MBOEPD)</w:t>
            </w:r>
            <w:r>
              <w:rPr>
                <w:rFonts w:ascii="Arial" w:cs="Arial" w:eastAsia="Arial" w:hAnsi="Arial"/>
                <w:sz w:val="8"/>
                <w:szCs w:val="8"/>
                <w:color w:val="auto"/>
              </w:rPr>
              <w:t>3,4</w:t>
            </w:r>
          </w:p>
        </w:tc>
        <w:tc>
          <w:tcPr>
            <w:tcW w:w="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671</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60" w:type="dxa"/>
            <w:vAlign w:val="bottom"/>
          </w:tcPr>
          <w:p>
            <w:pPr>
              <w:ind w:left="10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743</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763</w:t>
            </w:r>
          </w:p>
        </w:tc>
        <w:tc>
          <w:tcPr>
            <w:tcW w:w="0" w:type="dxa"/>
            <w:vAlign w:val="bottom"/>
          </w:tcPr>
          <w:p>
            <w:pPr>
              <w:spacing w:after="0"/>
              <w:rPr>
                <w:sz w:val="1"/>
                <w:szCs w:val="1"/>
                <w:color w:val="auto"/>
              </w:rPr>
            </w:pPr>
          </w:p>
        </w:tc>
      </w:tr>
      <w:tr>
        <w:trPr>
          <w:trHeight w:val="120"/>
        </w:trPr>
        <w:tc>
          <w:tcPr>
            <w:tcW w:w="3860" w:type="dxa"/>
            <w:vAlign w:val="bottom"/>
          </w:tcPr>
          <w:p>
            <w:pPr>
              <w:ind w:left="10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1,859</w:t>
            </w:r>
          </w:p>
        </w:tc>
        <w:tc>
          <w:tcPr>
            <w:tcW w:w="1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1,876</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1,904</w:t>
            </w:r>
          </w:p>
        </w:tc>
        <w:tc>
          <w:tcPr>
            <w:tcW w:w="0" w:type="dxa"/>
            <w:vAlign w:val="bottom"/>
          </w:tcPr>
          <w:p>
            <w:pPr>
              <w:spacing w:after="0"/>
              <w:rPr>
                <w:sz w:val="1"/>
                <w:szCs w:val="1"/>
                <w:color w:val="auto"/>
              </w:rPr>
            </w:pPr>
          </w:p>
        </w:tc>
      </w:tr>
      <w:tr>
        <w:trPr>
          <w:trHeight w:val="121"/>
        </w:trPr>
        <w:tc>
          <w:tcPr>
            <w:tcW w:w="3860" w:type="dxa"/>
            <w:vAlign w:val="bottom"/>
          </w:tcPr>
          <w:p>
            <w:pPr>
              <w:ind w:left="180"/>
              <w:spacing w:after="0"/>
              <w:rPr>
                <w:sz w:val="20"/>
                <w:szCs w:val="20"/>
                <w:color w:val="auto"/>
              </w:rPr>
            </w:pPr>
            <w:r>
              <w:rPr>
                <w:rFonts w:ascii="Arial" w:cs="Arial" w:eastAsia="Arial" w:hAnsi="Arial"/>
                <w:sz w:val="10"/>
                <w:szCs w:val="10"/>
                <w:color w:val="auto"/>
              </w:rPr>
              <w:t>Total</w:t>
            </w:r>
          </w:p>
        </w:tc>
        <w:tc>
          <w:tcPr>
            <w:tcW w:w="80" w:type="dxa"/>
            <w:vAlign w:val="bottom"/>
          </w:tcPr>
          <w:p>
            <w:pPr>
              <w:spacing w:after="0"/>
              <w:rPr>
                <w:sz w:val="10"/>
                <w:szCs w:val="10"/>
                <w:color w:val="auto"/>
              </w:rPr>
            </w:pP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2,530</w:t>
            </w:r>
          </w:p>
        </w:tc>
        <w:tc>
          <w:tcPr>
            <w:tcW w:w="180" w:type="dxa"/>
            <w:vAlign w:val="bottom"/>
          </w:tcPr>
          <w:p>
            <w:pPr>
              <w:spacing w:after="0"/>
              <w:rPr>
                <w:sz w:val="10"/>
                <w:szCs w:val="10"/>
                <w:color w:val="auto"/>
              </w:rPr>
            </w:pPr>
          </w:p>
        </w:tc>
        <w:tc>
          <w:tcPr>
            <w:tcW w:w="420" w:type="dxa"/>
            <w:vAlign w:val="bottom"/>
          </w:tcPr>
          <w:p>
            <w:pPr>
              <w:jc w:val="right"/>
              <w:ind w:right="109"/>
              <w:spacing w:after="0"/>
              <w:rPr>
                <w:sz w:val="20"/>
                <w:szCs w:val="20"/>
                <w:color w:val="auto"/>
              </w:rPr>
            </w:pPr>
            <w:r>
              <w:rPr>
                <w:rFonts w:ascii="Arial" w:cs="Arial" w:eastAsia="Arial" w:hAnsi="Arial"/>
                <w:sz w:val="10"/>
                <w:szCs w:val="10"/>
                <w:color w:val="auto"/>
                <w:w w:val="95"/>
              </w:rPr>
              <w:t>2,619</w:t>
            </w:r>
          </w:p>
        </w:tc>
        <w:tc>
          <w:tcPr>
            <w:tcW w:w="2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2,667</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20"/>
                <w:szCs w:val="20"/>
                <w:color w:val="auto"/>
              </w:rPr>
            </w:pPr>
            <w:r>
              <w:rPr>
                <w:rFonts w:ascii="Arial" w:cs="Arial" w:eastAsia="Arial" w:hAnsi="Arial"/>
                <w:sz w:val="10"/>
                <w:szCs w:val="10"/>
                <w:b w:val="1"/>
                <w:bCs w:val="1"/>
                <w:color w:val="auto"/>
              </w:rPr>
              <w:t>U.S. Downstream</w:t>
            </w:r>
          </w:p>
        </w:tc>
        <w:tc>
          <w:tcPr>
            <w:tcW w:w="80" w:type="dxa"/>
            <w:vAlign w:val="bottom"/>
          </w:tcPr>
          <w:p>
            <w:pPr>
              <w:spacing w:after="0"/>
              <w:rPr>
                <w:sz w:val="15"/>
                <w:szCs w:val="15"/>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692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line="104" w:lineRule="exact"/>
              <w:rPr>
                <w:sz w:val="20"/>
                <w:szCs w:val="20"/>
                <w:color w:val="auto"/>
              </w:rPr>
            </w:pPr>
            <w:r>
              <w:rPr>
                <w:rFonts w:ascii="Arial" w:cs="Arial" w:eastAsia="Arial" w:hAnsi="Arial"/>
                <w:sz w:val="10"/>
                <w:szCs w:val="10"/>
                <w:color w:val="auto"/>
              </w:rPr>
              <w:t>Gasoline Sales (MBPD)</w:t>
            </w:r>
            <w:r>
              <w:rPr>
                <w:rFonts w:ascii="Arial" w:cs="Arial" w:eastAsia="Arial" w:hAnsi="Arial"/>
                <w:sz w:val="8"/>
                <w:szCs w:val="8"/>
                <w:color w:val="auto"/>
              </w:rPr>
              <w:t>5</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728</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712</w:t>
            </w:r>
          </w:p>
        </w:tc>
        <w:tc>
          <w:tcPr>
            <w:tcW w:w="0" w:type="dxa"/>
            <w:vAlign w:val="bottom"/>
          </w:tcPr>
          <w:p>
            <w:pPr>
              <w:spacing w:after="0"/>
              <w:rPr>
                <w:sz w:val="1"/>
                <w:szCs w:val="1"/>
                <w:color w:val="auto"/>
              </w:rPr>
            </w:pPr>
          </w:p>
        </w:tc>
      </w:tr>
      <w:tr>
        <w:trPr>
          <w:trHeight w:val="120"/>
        </w:trPr>
        <w:tc>
          <w:tcPr>
            <w:tcW w:w="3860" w:type="dxa"/>
            <w:vAlign w:val="bottom"/>
          </w:tcPr>
          <w:p>
            <w:pPr>
              <w:spacing w:after="0"/>
              <w:rPr>
                <w:sz w:val="20"/>
                <w:szCs w:val="20"/>
                <w:color w:val="auto"/>
              </w:rPr>
            </w:pPr>
            <w:r>
              <w:rPr>
                <w:rFonts w:ascii="Arial" w:cs="Arial" w:eastAsia="Arial" w:hAnsi="Arial"/>
                <w:sz w:val="10"/>
                <w:szCs w:val="10"/>
                <w:color w:val="auto"/>
              </w:rPr>
              <w:t>Other Refined-Product Sales (MBPD)</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721</w:t>
            </w:r>
          </w:p>
        </w:tc>
        <w:tc>
          <w:tcPr>
            <w:tcW w:w="1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729</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782</w:t>
            </w:r>
          </w:p>
        </w:tc>
        <w:tc>
          <w:tcPr>
            <w:tcW w:w="0" w:type="dxa"/>
            <w:vAlign w:val="bottom"/>
          </w:tcPr>
          <w:p>
            <w:pPr>
              <w:spacing w:after="0"/>
              <w:rPr>
                <w:sz w:val="1"/>
                <w:szCs w:val="1"/>
                <w:color w:val="auto"/>
              </w:rPr>
            </w:pPr>
          </w:p>
        </w:tc>
      </w:tr>
      <w:tr>
        <w:trPr>
          <w:trHeight w:val="90"/>
        </w:trPr>
        <w:tc>
          <w:tcPr>
            <w:tcW w:w="3860" w:type="dxa"/>
            <w:vAlign w:val="bottom"/>
          </w:tcPr>
          <w:p>
            <w:pPr>
              <w:ind w:left="100"/>
              <w:spacing w:after="0" w:line="91" w:lineRule="exact"/>
              <w:rPr>
                <w:sz w:val="20"/>
                <w:szCs w:val="20"/>
                <w:color w:val="auto"/>
              </w:rPr>
            </w:pPr>
            <w:r>
              <w:rPr>
                <w:rFonts w:ascii="Arial" w:cs="Arial" w:eastAsia="Arial" w:hAnsi="Arial"/>
                <w:sz w:val="10"/>
                <w:szCs w:val="10"/>
                <w:color w:val="auto"/>
              </w:rPr>
              <w:t>Total (MBPD)</w:t>
            </w:r>
            <w:r>
              <w:rPr>
                <w:rFonts w:ascii="Arial" w:cs="Arial" w:eastAsia="Arial" w:hAnsi="Arial"/>
                <w:sz w:val="8"/>
                <w:szCs w:val="8"/>
                <w:color w:val="auto"/>
              </w:rPr>
              <w:t>6</w:t>
            </w:r>
          </w:p>
        </w:tc>
        <w:tc>
          <w:tcPr>
            <w:tcW w:w="80" w:type="dxa"/>
            <w:vAlign w:val="bottom"/>
          </w:tcPr>
          <w:p>
            <w:pPr>
              <w:spacing w:after="0"/>
              <w:rPr>
                <w:sz w:val="7"/>
                <w:szCs w:val="7"/>
                <w:color w:val="auto"/>
              </w:rPr>
            </w:pP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1,413</w:t>
            </w:r>
          </w:p>
        </w:tc>
        <w:tc>
          <w:tcPr>
            <w:tcW w:w="180" w:type="dxa"/>
            <w:vAlign w:val="bottom"/>
          </w:tcPr>
          <w:p>
            <w:pPr>
              <w:spacing w:after="0"/>
              <w:rPr>
                <w:sz w:val="7"/>
                <w:szCs w:val="7"/>
                <w:color w:val="auto"/>
              </w:rPr>
            </w:pPr>
          </w:p>
        </w:tc>
        <w:tc>
          <w:tcPr>
            <w:tcW w:w="420" w:type="dxa"/>
            <w:vAlign w:val="bottom"/>
          </w:tcPr>
          <w:p>
            <w:pPr>
              <w:jc w:val="right"/>
              <w:ind w:right="109"/>
              <w:spacing w:after="0" w:line="91" w:lineRule="exact"/>
              <w:rPr>
                <w:sz w:val="20"/>
                <w:szCs w:val="20"/>
                <w:color w:val="auto"/>
              </w:rPr>
            </w:pPr>
            <w:r>
              <w:rPr>
                <w:rFonts w:ascii="Arial" w:cs="Arial" w:eastAsia="Arial" w:hAnsi="Arial"/>
                <w:sz w:val="10"/>
                <w:szCs w:val="10"/>
                <w:color w:val="auto"/>
                <w:w w:val="95"/>
              </w:rPr>
              <w:t>1,457</w:t>
            </w:r>
          </w:p>
        </w:tc>
        <w:tc>
          <w:tcPr>
            <w:tcW w:w="220" w:type="dxa"/>
            <w:vAlign w:val="bottom"/>
          </w:tcPr>
          <w:p>
            <w:pPr>
              <w:spacing w:after="0"/>
              <w:rPr>
                <w:sz w:val="7"/>
                <w:szCs w:val="7"/>
                <w:color w:val="auto"/>
              </w:rPr>
            </w:pP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5"/>
              </w:rPr>
              <w:t>1,494</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20"/>
                <w:szCs w:val="20"/>
                <w:color w:val="auto"/>
              </w:rPr>
            </w:pPr>
            <w:r>
              <w:rPr>
                <w:rFonts w:ascii="Arial" w:cs="Arial" w:eastAsia="Arial" w:hAnsi="Arial"/>
                <w:sz w:val="10"/>
                <w:szCs w:val="10"/>
                <w:color w:val="auto"/>
              </w:rPr>
              <w:t>Refinery Input (MBPD)</w:t>
            </w:r>
          </w:p>
        </w:tc>
        <w:tc>
          <w:tcPr>
            <w:tcW w:w="80" w:type="dxa"/>
            <w:vAlign w:val="bottom"/>
          </w:tcPr>
          <w:p>
            <w:pPr>
              <w:spacing w:after="0"/>
              <w:rPr>
                <w:sz w:val="11"/>
                <w:szCs w:val="11"/>
                <w:color w:val="auto"/>
              </w:rPr>
            </w:pP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891</w:t>
            </w:r>
          </w:p>
        </w:tc>
        <w:tc>
          <w:tcPr>
            <w:tcW w:w="180" w:type="dxa"/>
            <w:vAlign w:val="bottom"/>
          </w:tcPr>
          <w:p>
            <w:pPr>
              <w:spacing w:after="0"/>
              <w:rPr>
                <w:sz w:val="11"/>
                <w:szCs w:val="11"/>
                <w:color w:val="auto"/>
              </w:rPr>
            </w:pPr>
          </w:p>
        </w:tc>
        <w:tc>
          <w:tcPr>
            <w:tcW w:w="420" w:type="dxa"/>
            <w:vAlign w:val="bottom"/>
          </w:tcPr>
          <w:p>
            <w:pPr>
              <w:jc w:val="right"/>
              <w:ind w:right="109"/>
              <w:spacing w:after="0"/>
              <w:rPr>
                <w:sz w:val="20"/>
                <w:szCs w:val="20"/>
                <w:color w:val="auto"/>
              </w:rPr>
            </w:pPr>
            <w:r>
              <w:rPr>
                <w:rFonts w:ascii="Arial" w:cs="Arial" w:eastAsia="Arial" w:hAnsi="Arial"/>
                <w:sz w:val="10"/>
                <w:szCs w:val="10"/>
                <w:color w:val="auto"/>
              </w:rPr>
              <w:t>812</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939</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20"/>
                <w:szCs w:val="20"/>
                <w:color w:val="auto"/>
              </w:rPr>
            </w:pPr>
            <w:r>
              <w:rPr>
                <w:rFonts w:ascii="Arial" w:cs="Arial" w:eastAsia="Arial" w:hAnsi="Arial"/>
                <w:sz w:val="10"/>
                <w:szCs w:val="10"/>
                <w:b w:val="1"/>
                <w:bCs w:val="1"/>
                <w:color w:val="auto"/>
              </w:rPr>
              <w:t>International Downstream</w:t>
            </w:r>
          </w:p>
        </w:tc>
        <w:tc>
          <w:tcPr>
            <w:tcW w:w="80" w:type="dxa"/>
            <w:vAlign w:val="bottom"/>
          </w:tcPr>
          <w:p>
            <w:pPr>
              <w:spacing w:after="0"/>
              <w:rPr>
                <w:sz w:val="16"/>
                <w:szCs w:val="16"/>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589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860" w:type="dxa"/>
            <w:vAlign w:val="bottom"/>
          </w:tcPr>
          <w:p>
            <w:pPr>
              <w:spacing w:after="0" w:line="104" w:lineRule="exact"/>
              <w:rPr>
                <w:sz w:val="20"/>
                <w:szCs w:val="20"/>
                <w:color w:val="auto"/>
              </w:rPr>
            </w:pPr>
            <w:r>
              <w:rPr>
                <w:rFonts w:ascii="Arial" w:cs="Arial" w:eastAsia="Arial" w:hAnsi="Arial"/>
                <w:sz w:val="10"/>
                <w:szCs w:val="10"/>
                <w:color w:val="auto"/>
              </w:rPr>
              <w:t>Gasoline Sales (MBPD)</w:t>
            </w:r>
            <w:r>
              <w:rPr>
                <w:rFonts w:ascii="Arial" w:cs="Arial" w:eastAsia="Arial" w:hAnsi="Arial"/>
                <w:sz w:val="8"/>
                <w:szCs w:val="8"/>
                <w:color w:val="auto"/>
              </w:rPr>
              <w:t>5</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581</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595</w:t>
            </w:r>
          </w:p>
        </w:tc>
        <w:tc>
          <w:tcPr>
            <w:tcW w:w="0" w:type="dxa"/>
            <w:vAlign w:val="bottom"/>
          </w:tcPr>
          <w:p>
            <w:pPr>
              <w:spacing w:after="0"/>
              <w:rPr>
                <w:sz w:val="1"/>
                <w:szCs w:val="1"/>
                <w:color w:val="auto"/>
              </w:rPr>
            </w:pPr>
          </w:p>
        </w:tc>
      </w:tr>
      <w:tr>
        <w:trPr>
          <w:trHeight w:val="120"/>
        </w:trPr>
        <w:tc>
          <w:tcPr>
            <w:tcW w:w="3860" w:type="dxa"/>
            <w:vAlign w:val="bottom"/>
          </w:tcPr>
          <w:p>
            <w:pPr>
              <w:spacing w:after="0"/>
              <w:rPr>
                <w:sz w:val="20"/>
                <w:szCs w:val="20"/>
                <w:color w:val="auto"/>
              </w:rPr>
            </w:pPr>
            <w:r>
              <w:rPr>
                <w:rFonts w:ascii="Arial" w:cs="Arial" w:eastAsia="Arial" w:hAnsi="Arial"/>
                <w:sz w:val="10"/>
                <w:szCs w:val="10"/>
                <w:color w:val="auto"/>
              </w:rPr>
              <w:t>Other Refined-Product Sales (MBPD)</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1,427</w:t>
            </w:r>
          </w:p>
        </w:tc>
        <w:tc>
          <w:tcPr>
            <w:tcW w:w="1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1,446</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1,532</w:t>
            </w:r>
          </w:p>
        </w:tc>
        <w:tc>
          <w:tcPr>
            <w:tcW w:w="0" w:type="dxa"/>
            <w:vAlign w:val="bottom"/>
          </w:tcPr>
          <w:p>
            <w:pPr>
              <w:spacing w:after="0"/>
              <w:rPr>
                <w:sz w:val="1"/>
                <w:szCs w:val="1"/>
                <w:color w:val="auto"/>
              </w:rPr>
            </w:pPr>
          </w:p>
        </w:tc>
      </w:tr>
      <w:tr>
        <w:trPr>
          <w:trHeight w:val="90"/>
        </w:trPr>
        <w:tc>
          <w:tcPr>
            <w:tcW w:w="3860" w:type="dxa"/>
            <w:vAlign w:val="bottom"/>
          </w:tcPr>
          <w:p>
            <w:pPr>
              <w:ind w:left="100"/>
              <w:spacing w:after="0" w:line="91" w:lineRule="exact"/>
              <w:rPr>
                <w:sz w:val="20"/>
                <w:szCs w:val="20"/>
                <w:color w:val="auto"/>
              </w:rPr>
            </w:pPr>
            <w:r>
              <w:rPr>
                <w:rFonts w:ascii="Arial" w:cs="Arial" w:eastAsia="Arial" w:hAnsi="Arial"/>
                <w:sz w:val="10"/>
                <w:szCs w:val="10"/>
                <w:color w:val="auto"/>
              </w:rPr>
              <w:t>Total (MBPD)</w:t>
            </w:r>
            <w:r>
              <w:rPr>
                <w:rFonts w:ascii="Arial" w:cs="Arial" w:eastAsia="Arial" w:hAnsi="Arial"/>
                <w:sz w:val="8"/>
                <w:szCs w:val="8"/>
                <w:color w:val="auto"/>
              </w:rPr>
              <w:t>6, 7</w:t>
            </w:r>
          </w:p>
        </w:tc>
        <w:tc>
          <w:tcPr>
            <w:tcW w:w="80" w:type="dxa"/>
            <w:vAlign w:val="bottom"/>
          </w:tcPr>
          <w:p>
            <w:pPr>
              <w:spacing w:after="0"/>
              <w:rPr>
                <w:sz w:val="7"/>
                <w:szCs w:val="7"/>
                <w:color w:val="auto"/>
              </w:rPr>
            </w:pP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2,016</w:t>
            </w:r>
          </w:p>
        </w:tc>
        <w:tc>
          <w:tcPr>
            <w:tcW w:w="180" w:type="dxa"/>
            <w:vAlign w:val="bottom"/>
          </w:tcPr>
          <w:p>
            <w:pPr>
              <w:spacing w:after="0"/>
              <w:rPr>
                <w:sz w:val="7"/>
                <w:szCs w:val="7"/>
                <w:color w:val="auto"/>
              </w:rPr>
            </w:pPr>
          </w:p>
        </w:tc>
        <w:tc>
          <w:tcPr>
            <w:tcW w:w="420" w:type="dxa"/>
            <w:vAlign w:val="bottom"/>
          </w:tcPr>
          <w:p>
            <w:pPr>
              <w:jc w:val="right"/>
              <w:ind w:right="109"/>
              <w:spacing w:after="0" w:line="91" w:lineRule="exact"/>
              <w:rPr>
                <w:sz w:val="20"/>
                <w:szCs w:val="20"/>
                <w:color w:val="auto"/>
              </w:rPr>
            </w:pPr>
            <w:r>
              <w:rPr>
                <w:rFonts w:ascii="Arial" w:cs="Arial" w:eastAsia="Arial" w:hAnsi="Arial"/>
                <w:sz w:val="10"/>
                <w:szCs w:val="10"/>
                <w:color w:val="auto"/>
                <w:w w:val="95"/>
              </w:rPr>
              <w:t>2,027</w:t>
            </w:r>
          </w:p>
        </w:tc>
        <w:tc>
          <w:tcPr>
            <w:tcW w:w="220" w:type="dxa"/>
            <w:vAlign w:val="bottom"/>
          </w:tcPr>
          <w:p>
            <w:pPr>
              <w:spacing w:after="0"/>
              <w:rPr>
                <w:sz w:val="7"/>
                <w:szCs w:val="7"/>
                <w:color w:val="auto"/>
              </w:rPr>
            </w:pP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5"/>
              </w:rPr>
              <w:t>2,127</w:t>
            </w:r>
          </w:p>
        </w:tc>
        <w:tc>
          <w:tcPr>
            <w:tcW w:w="0" w:type="dxa"/>
            <w:vAlign w:val="bottom"/>
          </w:tcPr>
          <w:p>
            <w:pPr>
              <w:spacing w:after="0"/>
              <w:rPr>
                <w:sz w:val="1"/>
                <w:szCs w:val="1"/>
                <w:color w:val="auto"/>
              </w:rPr>
            </w:pPr>
          </w:p>
        </w:tc>
      </w:tr>
      <w:tr>
        <w:trPr>
          <w:trHeight w:val="129"/>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Refinery Input (MBPD)</w:t>
            </w:r>
          </w:p>
        </w:tc>
        <w:tc>
          <w:tcPr>
            <w:tcW w:w="8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967</w:t>
            </w:r>
          </w:p>
        </w:tc>
        <w:tc>
          <w:tcPr>
            <w:tcW w:w="18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1,021</w:t>
            </w:r>
          </w:p>
        </w:tc>
        <w:tc>
          <w:tcPr>
            <w:tcW w:w="220" w:type="dxa"/>
            <w:vAlign w:val="bottom"/>
            <w:tcBorders>
              <w:bottom w:val="single" w:sz="8" w:color="0077C0"/>
            </w:tcBorders>
          </w:tcPr>
          <w:p>
            <w:pPr>
              <w:spacing w:after="0"/>
              <w:rPr>
                <w:sz w:val="11"/>
                <w:szCs w:val="11"/>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1,050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3" w:hanging="63"/>
        <w:spacing w:after="0"/>
        <w:tabs>
          <w:tab w:leader="none" w:pos="63" w:val="left"/>
        </w:tabs>
        <w:numPr>
          <w:ilvl w:val="0"/>
          <w:numId w:val="32"/>
        </w:numPr>
        <w:rPr>
          <w:rFonts w:ascii="Arial" w:cs="Arial" w:eastAsia="Arial" w:hAnsi="Arial"/>
          <w:sz w:val="7"/>
          <w:szCs w:val="7"/>
          <w:color w:val="auto"/>
        </w:rPr>
      </w:pPr>
      <w:r>
        <w:rPr>
          <w:rFonts w:ascii="Arial" w:cs="Arial" w:eastAsia="Arial" w:hAnsi="Arial"/>
          <w:sz w:val="8"/>
          <w:szCs w:val="8"/>
          <w:color w:val="auto"/>
        </w:rPr>
        <w:t>Includes interest in affiliates.</w:t>
      </w:r>
    </w:p>
    <w:p>
      <w:pPr>
        <w:spacing w:after="0" w:line="10" w:lineRule="exact"/>
        <w:rPr>
          <w:sz w:val="20"/>
          <w:szCs w:val="20"/>
          <w:color w:val="auto"/>
        </w:rPr>
      </w:pPr>
    </w:p>
    <w:p>
      <w:pPr>
        <w:ind w:left="63" w:right="2660" w:hanging="63"/>
        <w:spacing w:after="0" w:line="250" w:lineRule="auto"/>
        <w:tabs>
          <w:tab w:leader="none" w:pos="56" w:val="left"/>
        </w:tabs>
        <w:numPr>
          <w:ilvl w:val="0"/>
          <w:numId w:val="33"/>
        </w:numPr>
        <w:rPr>
          <w:rFonts w:ascii="Arial" w:cs="Arial" w:eastAsia="Arial" w:hAnsi="Arial"/>
          <w:sz w:val="7"/>
          <w:szCs w:val="7"/>
          <w:color w:val="auto"/>
        </w:rPr>
      </w:pPr>
      <w:r>
        <w:rPr>
          <w:rFonts w:ascii="Arial" w:cs="Arial" w:eastAsia="Arial" w:hAnsi="Arial"/>
          <w:sz w:val="8"/>
          <w:szCs w:val="8"/>
          <w:color w:val="auto"/>
        </w:rPr>
        <w:t>MBPD = Thousands of barrels per day; MMCFPD = Millions of cubic feet per day; MBOEPD = Thousands of barrels of oil-equivalents per day; Bbl = Barrel;</w:t>
      </w:r>
    </w:p>
    <w:p>
      <w:pPr>
        <w:ind w:left="63" w:right="2280"/>
        <w:spacing w:after="0" w:line="250" w:lineRule="auto"/>
        <w:rPr>
          <w:rFonts w:ascii="Arial" w:cs="Arial" w:eastAsia="Arial" w:hAnsi="Arial"/>
          <w:sz w:val="7"/>
          <w:szCs w:val="7"/>
          <w:color w:val="auto"/>
        </w:rPr>
      </w:pPr>
      <w:r>
        <w:rPr>
          <w:rFonts w:ascii="Arial" w:cs="Arial" w:eastAsia="Arial" w:hAnsi="Arial"/>
          <w:sz w:val="8"/>
          <w:szCs w:val="8"/>
          <w:color w:val="auto"/>
        </w:rPr>
        <w:t>MCF = Thousands of cubic feet. Oil-equivalent gas (OEG) conversion ratio is 6,000 cubic feet of gas = 1 barrel of oil.</w:t>
      </w:r>
    </w:p>
    <w:p>
      <w:pPr>
        <w:spacing w:after="0" w:line="1" w:lineRule="exact"/>
        <w:rPr>
          <w:sz w:val="20"/>
          <w:szCs w:val="20"/>
          <w:color w:val="auto"/>
        </w:rPr>
      </w:pPr>
    </w:p>
    <w:p>
      <w:pPr>
        <w:ind w:left="63" w:hanging="63"/>
        <w:spacing w:after="0"/>
        <w:tabs>
          <w:tab w:leader="none" w:pos="63" w:val="left"/>
        </w:tabs>
        <w:numPr>
          <w:ilvl w:val="0"/>
          <w:numId w:val="34"/>
        </w:numPr>
        <w:rPr>
          <w:rFonts w:ascii="Arial" w:cs="Arial" w:eastAsia="Arial" w:hAnsi="Arial"/>
          <w:sz w:val="7"/>
          <w:szCs w:val="7"/>
          <w:color w:val="auto"/>
        </w:rPr>
      </w:pPr>
      <w:r>
        <w:rPr>
          <w:rFonts w:ascii="Arial" w:cs="Arial" w:eastAsia="Arial" w:hAnsi="Arial"/>
          <w:sz w:val="8"/>
          <w:szCs w:val="8"/>
          <w:color w:val="auto"/>
        </w:rPr>
        <w:t>Includes natural gas consumed in operations (MMCFPD):</w:t>
      </w:r>
    </w:p>
    <w:tbl>
      <w:tblPr>
        <w:tblLayout w:type="fixed"/>
        <w:tblInd w:w="3" w:type="dxa"/>
        <w:tblCellMar>
          <w:top w:w="0" w:type="dxa"/>
          <w:left w:w="0" w:type="dxa"/>
          <w:bottom w:w="0" w:type="dxa"/>
          <w:right w:w="0" w:type="dxa"/>
        </w:tblCellMar>
      </w:tblPr>
      <w:tr>
        <w:trPr>
          <w:trHeight w:val="92"/>
        </w:trPr>
        <w:tc>
          <w:tcPr>
            <w:tcW w:w="40" w:type="dxa"/>
            <w:vAlign w:val="bottom"/>
          </w:tcPr>
          <w:p>
            <w:pPr>
              <w:spacing w:after="0"/>
              <w:rPr>
                <w:sz w:val="8"/>
                <w:szCs w:val="8"/>
                <w:color w:val="auto"/>
              </w:rPr>
            </w:pPr>
          </w:p>
        </w:tc>
        <w:tc>
          <w:tcPr>
            <w:tcW w:w="3760" w:type="dxa"/>
            <w:vAlign w:val="bottom"/>
          </w:tcPr>
          <w:p>
            <w:pPr>
              <w:ind w:left="160"/>
              <w:spacing w:after="0"/>
              <w:rPr>
                <w:sz w:val="20"/>
                <w:szCs w:val="20"/>
                <w:color w:val="auto"/>
              </w:rPr>
            </w:pPr>
            <w:r>
              <w:rPr>
                <w:rFonts w:ascii="Arial" w:cs="Arial" w:eastAsia="Arial" w:hAnsi="Arial"/>
                <w:sz w:val="8"/>
                <w:szCs w:val="8"/>
                <w:color w:val="auto"/>
              </w:rPr>
              <w:t>United States</w:t>
            </w:r>
          </w:p>
        </w:tc>
        <w:tc>
          <w:tcPr>
            <w:tcW w:w="620" w:type="dxa"/>
            <w:vAlign w:val="bottom"/>
          </w:tcPr>
          <w:p>
            <w:pPr>
              <w:jc w:val="right"/>
              <w:ind w:right="238"/>
              <w:spacing w:after="0"/>
              <w:rPr>
                <w:sz w:val="20"/>
                <w:szCs w:val="20"/>
                <w:color w:val="auto"/>
              </w:rPr>
            </w:pPr>
            <w:r>
              <w:rPr>
                <w:rFonts w:ascii="Arial" w:cs="Arial" w:eastAsia="Arial" w:hAnsi="Arial"/>
                <w:sz w:val="8"/>
                <w:szCs w:val="8"/>
                <w:b w:val="1"/>
                <w:bCs w:val="1"/>
                <w:color w:val="auto"/>
              </w:rPr>
              <w:t>70</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65</w:t>
            </w:r>
          </w:p>
        </w:tc>
        <w:tc>
          <w:tcPr>
            <w:tcW w:w="420" w:type="dxa"/>
            <w:vAlign w:val="bottom"/>
          </w:tcPr>
          <w:p>
            <w:pPr>
              <w:jc w:val="right"/>
              <w:spacing w:after="0"/>
              <w:rPr>
                <w:sz w:val="20"/>
                <w:szCs w:val="20"/>
                <w:color w:val="auto"/>
              </w:rPr>
            </w:pPr>
            <w:r>
              <w:rPr>
                <w:rFonts w:ascii="Arial" w:cs="Arial" w:eastAsia="Arial" w:hAnsi="Arial"/>
                <w:sz w:val="8"/>
                <w:szCs w:val="8"/>
                <w:color w:val="auto"/>
              </w:rPr>
              <w:t>56</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760" w:type="dxa"/>
            <w:vAlign w:val="bottom"/>
          </w:tcPr>
          <w:p>
            <w:pPr>
              <w:ind w:left="160"/>
              <w:spacing w:after="0"/>
              <w:rPr>
                <w:sz w:val="20"/>
                <w:szCs w:val="20"/>
                <w:color w:val="auto"/>
              </w:rPr>
            </w:pPr>
            <w:r>
              <w:rPr>
                <w:rFonts w:ascii="Arial" w:cs="Arial" w:eastAsia="Arial" w:hAnsi="Arial"/>
                <w:sz w:val="8"/>
                <w:szCs w:val="8"/>
                <w:color w:val="auto"/>
              </w:rPr>
              <w:t>International</w:t>
            </w:r>
          </w:p>
        </w:tc>
        <w:tc>
          <w:tcPr>
            <w:tcW w:w="620" w:type="dxa"/>
            <w:vAlign w:val="bottom"/>
          </w:tcPr>
          <w:p>
            <w:pPr>
              <w:jc w:val="right"/>
              <w:ind w:right="238"/>
              <w:spacing w:after="0"/>
              <w:rPr>
                <w:sz w:val="20"/>
                <w:szCs w:val="20"/>
                <w:color w:val="auto"/>
              </w:rPr>
            </w:pPr>
            <w:r>
              <w:rPr>
                <w:rFonts w:ascii="Arial" w:cs="Arial" w:eastAsia="Arial" w:hAnsi="Arial"/>
                <w:sz w:val="8"/>
                <w:szCs w:val="8"/>
                <w:b w:val="1"/>
                <w:bCs w:val="1"/>
                <w:color w:val="auto"/>
              </w:rPr>
              <w:t>450</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433</w:t>
            </w:r>
          </w:p>
        </w:tc>
        <w:tc>
          <w:tcPr>
            <w:tcW w:w="420" w:type="dxa"/>
            <w:vAlign w:val="bottom"/>
          </w:tcPr>
          <w:p>
            <w:pPr>
              <w:jc w:val="right"/>
              <w:spacing w:after="0"/>
              <w:rPr>
                <w:sz w:val="20"/>
                <w:szCs w:val="20"/>
                <w:color w:val="auto"/>
              </w:rPr>
            </w:pPr>
            <w:r>
              <w:rPr>
                <w:rFonts w:ascii="Arial" w:cs="Arial" w:eastAsia="Arial" w:hAnsi="Arial"/>
                <w:sz w:val="8"/>
                <w:szCs w:val="8"/>
                <w:color w:val="auto"/>
              </w:rPr>
              <w:t>419</w:t>
            </w:r>
          </w:p>
        </w:tc>
        <w:tc>
          <w:tcPr>
            <w:tcW w:w="0" w:type="dxa"/>
            <w:vAlign w:val="bottom"/>
          </w:tcPr>
          <w:p>
            <w:pPr>
              <w:spacing w:after="0"/>
              <w:rPr>
                <w:sz w:val="1"/>
                <w:szCs w:val="1"/>
                <w:color w:val="auto"/>
              </w:rPr>
            </w:pPr>
          </w:p>
        </w:tc>
      </w:tr>
      <w:tr>
        <w:trPr>
          <w:trHeight w:val="96"/>
        </w:trPr>
        <w:tc>
          <w:tcPr>
            <w:tcW w:w="40" w:type="dxa"/>
            <w:vAlign w:val="bottom"/>
          </w:tcPr>
          <w:p>
            <w:pPr>
              <w:jc w:val="right"/>
              <w:spacing w:after="0"/>
              <w:rPr>
                <w:sz w:val="20"/>
                <w:szCs w:val="20"/>
                <w:color w:val="auto"/>
              </w:rPr>
            </w:pPr>
            <w:r>
              <w:rPr>
                <w:rFonts w:ascii="Arial" w:cs="Arial" w:eastAsia="Arial" w:hAnsi="Arial"/>
                <w:sz w:val="5"/>
                <w:szCs w:val="5"/>
                <w:color w:val="auto"/>
                <w:w w:val="70"/>
              </w:rPr>
              <w:t>4</w:t>
            </w:r>
          </w:p>
        </w:tc>
        <w:tc>
          <w:tcPr>
            <w:tcW w:w="3760" w:type="dxa"/>
            <w:vAlign w:val="bottom"/>
          </w:tcPr>
          <w:p>
            <w:pPr>
              <w:ind w:left="20"/>
              <w:spacing w:after="0"/>
              <w:rPr>
                <w:sz w:val="20"/>
                <w:szCs w:val="20"/>
                <w:color w:val="auto"/>
              </w:rPr>
            </w:pPr>
            <w:r>
              <w:rPr>
                <w:rFonts w:ascii="Arial" w:cs="Arial" w:eastAsia="Arial" w:hAnsi="Arial"/>
                <w:sz w:val="8"/>
                <w:szCs w:val="8"/>
                <w:color w:val="auto"/>
              </w:rPr>
              <w:t>Includes other produced volumes (MBPD):</w:t>
            </w:r>
          </w:p>
        </w:tc>
        <w:tc>
          <w:tcPr>
            <w:tcW w:w="620" w:type="dxa"/>
            <w:vAlign w:val="bottom"/>
            <w:vMerge w:val="restart"/>
          </w:tcPr>
          <w:p>
            <w:pPr>
              <w:jc w:val="right"/>
              <w:ind w:right="238"/>
              <w:spacing w:after="0"/>
              <w:rPr>
                <w:sz w:val="20"/>
                <w:szCs w:val="20"/>
                <w:color w:val="auto"/>
              </w:rPr>
            </w:pPr>
            <w:r>
              <w:rPr>
                <w:rFonts w:ascii="Arial" w:cs="Arial" w:eastAsia="Arial" w:hAnsi="Arial"/>
                <w:sz w:val="8"/>
                <w:szCs w:val="8"/>
                <w:b w:val="1"/>
                <w:bCs w:val="1"/>
                <w:color w:val="auto"/>
              </w:rPr>
              <w:t>27</w:t>
            </w: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760" w:type="dxa"/>
            <w:vAlign w:val="bottom"/>
          </w:tcPr>
          <w:p>
            <w:pPr>
              <w:ind w:left="160"/>
              <w:spacing w:after="0"/>
              <w:rPr>
                <w:sz w:val="20"/>
                <w:szCs w:val="20"/>
                <w:color w:val="auto"/>
              </w:rPr>
            </w:pPr>
            <w:r>
              <w:rPr>
                <w:rFonts w:ascii="Arial" w:cs="Arial" w:eastAsia="Arial" w:hAnsi="Arial"/>
                <w:sz w:val="8"/>
                <w:szCs w:val="8"/>
                <w:color w:val="auto"/>
              </w:rPr>
              <w:t>Athabasca Oil Sands – Net</w:t>
            </w:r>
          </w:p>
        </w:tc>
        <w:tc>
          <w:tcPr>
            <w:tcW w:w="620" w:type="dxa"/>
            <w:vAlign w:val="bottom"/>
            <w:vMerge w:val="continue"/>
          </w:tcPr>
          <w:p>
            <w:pPr>
              <w:spacing w:after="0"/>
              <w:rPr>
                <w:sz w:val="8"/>
                <w:szCs w:val="8"/>
                <w:color w:val="auto"/>
              </w:rPr>
            </w:pP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27</w:t>
            </w:r>
          </w:p>
        </w:tc>
        <w:tc>
          <w:tcPr>
            <w:tcW w:w="420" w:type="dxa"/>
            <w:vAlign w:val="bottom"/>
          </w:tcPr>
          <w:p>
            <w:pPr>
              <w:jc w:val="right"/>
              <w:spacing w:after="0"/>
              <w:rPr>
                <w:sz w:val="20"/>
                <w:szCs w:val="20"/>
                <w:color w:val="auto"/>
              </w:rPr>
            </w:pPr>
            <w:r>
              <w:rPr>
                <w:rFonts w:ascii="Arial" w:cs="Arial" w:eastAsia="Arial" w:hAnsi="Arial"/>
                <w:sz w:val="8"/>
                <w:szCs w:val="8"/>
                <w:color w:val="auto"/>
              </w:rPr>
              <w:t>27</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760" w:type="dxa"/>
            <w:vAlign w:val="bottom"/>
          </w:tcPr>
          <w:p>
            <w:pPr>
              <w:ind w:left="160"/>
              <w:spacing w:after="0"/>
              <w:rPr>
                <w:sz w:val="20"/>
                <w:szCs w:val="20"/>
                <w:color w:val="auto"/>
              </w:rPr>
            </w:pPr>
            <w:r>
              <w:rPr>
                <w:rFonts w:ascii="Arial" w:cs="Arial" w:eastAsia="Arial" w:hAnsi="Arial"/>
                <w:sz w:val="8"/>
                <w:szCs w:val="8"/>
                <w:color w:val="auto"/>
              </w:rPr>
              <w:t>Boscan Operating Service Agreement</w:t>
            </w:r>
          </w:p>
        </w:tc>
        <w:tc>
          <w:tcPr>
            <w:tcW w:w="620" w:type="dxa"/>
            <w:vAlign w:val="bottom"/>
            <w:tcBorders>
              <w:bottom w:val="single" w:sz="8" w:color="0077C0"/>
            </w:tcBorders>
          </w:tcPr>
          <w:p>
            <w:pPr>
              <w:jc w:val="right"/>
              <w:ind w:right="238"/>
              <w:spacing w:after="0"/>
              <w:rPr>
                <w:sz w:val="20"/>
                <w:szCs w:val="20"/>
                <w:color w:val="auto"/>
              </w:rPr>
            </w:pPr>
            <w:r>
              <w:rPr>
                <w:rFonts w:ascii="Arial" w:cs="Arial" w:eastAsia="Arial" w:hAnsi="Arial"/>
                <w:sz w:val="8"/>
                <w:szCs w:val="8"/>
                <w:b w:val="1"/>
                <w:bCs w:val="1"/>
                <w:color w:val="auto"/>
              </w:rPr>
              <w:t>–</w:t>
            </w:r>
          </w:p>
        </w:tc>
        <w:tc>
          <w:tcPr>
            <w:tcW w:w="660" w:type="dxa"/>
            <w:vAlign w:val="bottom"/>
            <w:tcBorders>
              <w:bottom w:val="single" w:sz="8" w:color="0077C0"/>
            </w:tcBorders>
          </w:tcPr>
          <w:p>
            <w:pPr>
              <w:jc w:val="right"/>
              <w:ind w:right="218"/>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8"/>
                <w:szCs w:val="8"/>
                <w:color w:val="auto"/>
              </w:rPr>
              <w:t>82</w:t>
            </w:r>
          </w:p>
        </w:tc>
        <w:tc>
          <w:tcPr>
            <w:tcW w:w="0" w:type="dxa"/>
            <w:vAlign w:val="bottom"/>
          </w:tcPr>
          <w:p>
            <w:pPr>
              <w:spacing w:after="0"/>
              <w:rPr>
                <w:sz w:val="1"/>
                <w:szCs w:val="1"/>
                <w:color w:val="auto"/>
              </w:rPr>
            </w:pPr>
          </w:p>
        </w:tc>
      </w:tr>
      <w:tr>
        <w:trPr>
          <w:trHeight w:val="100"/>
        </w:trPr>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5</w:t>
            </w:r>
          </w:p>
        </w:tc>
        <w:tc>
          <w:tcPr>
            <w:tcW w:w="3760" w:type="dxa"/>
            <w:vAlign w:val="bottom"/>
            <w:vMerge w:val="restart"/>
          </w:tcPr>
          <w:p>
            <w:pPr>
              <w:ind w:left="20"/>
              <w:spacing w:after="0"/>
              <w:rPr>
                <w:sz w:val="20"/>
                <w:szCs w:val="20"/>
                <w:color w:val="auto"/>
              </w:rPr>
            </w:pPr>
            <w:r>
              <w:rPr>
                <w:rFonts w:ascii="Arial" w:cs="Arial" w:eastAsia="Arial" w:hAnsi="Arial"/>
                <w:sz w:val="8"/>
                <w:szCs w:val="8"/>
                <w:color w:val="auto"/>
              </w:rPr>
              <w:t>Includes branded and unbranded gasoline.</w:t>
            </w:r>
          </w:p>
        </w:tc>
        <w:tc>
          <w:tcPr>
            <w:tcW w:w="620" w:type="dxa"/>
            <w:vAlign w:val="bottom"/>
          </w:tcPr>
          <w:p>
            <w:pPr>
              <w:jc w:val="right"/>
              <w:ind w:right="238"/>
              <w:spacing w:after="0"/>
              <w:rPr>
                <w:sz w:val="20"/>
                <w:szCs w:val="20"/>
                <w:color w:val="auto"/>
              </w:rPr>
            </w:pPr>
            <w:r>
              <w:rPr>
                <w:rFonts w:ascii="Arial" w:cs="Arial" w:eastAsia="Arial" w:hAnsi="Arial"/>
                <w:sz w:val="8"/>
                <w:szCs w:val="8"/>
                <w:b w:val="1"/>
                <w:bCs w:val="1"/>
                <w:color w:val="auto"/>
              </w:rPr>
              <w:t>27</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27</w:t>
            </w:r>
          </w:p>
        </w:tc>
        <w:tc>
          <w:tcPr>
            <w:tcW w:w="420" w:type="dxa"/>
            <w:vAlign w:val="bottom"/>
          </w:tcPr>
          <w:p>
            <w:pPr>
              <w:jc w:val="right"/>
              <w:spacing w:after="0"/>
              <w:rPr>
                <w:sz w:val="20"/>
                <w:szCs w:val="20"/>
                <w:color w:val="auto"/>
              </w:rPr>
            </w:pPr>
            <w:r>
              <w:rPr>
                <w:rFonts w:ascii="Arial" w:cs="Arial" w:eastAsia="Arial" w:hAnsi="Arial"/>
                <w:sz w:val="8"/>
                <w:szCs w:val="8"/>
                <w:color w:val="auto"/>
              </w:rPr>
              <w:t>109</w:t>
            </w:r>
          </w:p>
        </w:tc>
        <w:tc>
          <w:tcPr>
            <w:tcW w:w="0" w:type="dxa"/>
            <w:vAlign w:val="bottom"/>
          </w:tcPr>
          <w:p>
            <w:pPr>
              <w:spacing w:after="0"/>
              <w:rPr>
                <w:sz w:val="1"/>
                <w:szCs w:val="1"/>
                <w:color w:val="auto"/>
              </w:rPr>
            </w:pPr>
          </w:p>
        </w:tc>
      </w:tr>
      <w:tr>
        <w:trPr>
          <w:trHeight w:val="94"/>
        </w:trPr>
        <w:tc>
          <w:tcPr>
            <w:tcW w:w="4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3" w:hanging="63"/>
        <w:spacing w:after="0"/>
        <w:tabs>
          <w:tab w:leader="none" w:pos="63" w:val="left"/>
        </w:tabs>
        <w:numPr>
          <w:ilvl w:val="0"/>
          <w:numId w:val="35"/>
        </w:numPr>
        <w:rPr>
          <w:rFonts w:ascii="Arial" w:cs="Arial" w:eastAsia="Arial" w:hAnsi="Arial"/>
          <w:sz w:val="7"/>
          <w:szCs w:val="7"/>
          <w:color w:val="auto"/>
        </w:rPr>
      </w:pPr>
      <w:r>
        <w:rPr>
          <w:rFonts w:ascii="Arial" w:cs="Arial" w:eastAsia="Arial" w:hAnsi="Arial"/>
          <w:sz w:val="8"/>
          <w:szCs w:val="8"/>
          <w:color w:val="auto"/>
        </w:rPr>
        <w:t>Includes volumes for buy/sell contracts (MBPD):</w:t>
      </w:r>
    </w:p>
    <w:tbl>
      <w:tblPr>
        <w:tblLayout w:type="fixed"/>
        <w:tblInd w:w="3" w:type="dxa"/>
        <w:tblCellMar>
          <w:top w:w="0" w:type="dxa"/>
          <w:left w:w="0" w:type="dxa"/>
          <w:bottom w:w="0" w:type="dxa"/>
          <w:right w:w="0" w:type="dxa"/>
        </w:tblCellMar>
      </w:tblPr>
      <w:tr>
        <w:trPr>
          <w:trHeight w:val="92"/>
        </w:trPr>
        <w:tc>
          <w:tcPr>
            <w:tcW w:w="2640" w:type="dxa"/>
            <w:vAlign w:val="bottom"/>
          </w:tcPr>
          <w:p>
            <w:pPr>
              <w:ind w:left="200"/>
              <w:spacing w:after="0"/>
              <w:rPr>
                <w:sz w:val="20"/>
                <w:szCs w:val="20"/>
                <w:color w:val="auto"/>
              </w:rPr>
            </w:pPr>
            <w:r>
              <w:rPr>
                <w:rFonts w:ascii="Arial" w:cs="Arial" w:eastAsia="Arial" w:hAnsi="Arial"/>
                <w:sz w:val="8"/>
                <w:szCs w:val="8"/>
                <w:color w:val="auto"/>
              </w:rPr>
              <w:t>United States</w:t>
            </w:r>
          </w:p>
        </w:tc>
        <w:tc>
          <w:tcPr>
            <w:tcW w:w="1780" w:type="dxa"/>
            <w:vAlign w:val="bottom"/>
          </w:tcPr>
          <w:p>
            <w:pPr>
              <w:jc w:val="right"/>
              <w:ind w:right="238"/>
              <w:spacing w:after="0"/>
              <w:rPr>
                <w:sz w:val="20"/>
                <w:szCs w:val="20"/>
                <w:color w:val="auto"/>
              </w:rPr>
            </w:pPr>
            <w:r>
              <w:rPr>
                <w:rFonts w:ascii="Arial" w:cs="Arial" w:eastAsia="Arial" w:hAnsi="Arial"/>
                <w:sz w:val="8"/>
                <w:szCs w:val="8"/>
                <w:b w:val="1"/>
                <w:bCs w:val="1"/>
                <w:color w:val="auto"/>
              </w:rPr>
              <w:t>–</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26</w:t>
            </w:r>
          </w:p>
        </w:tc>
      </w:tr>
      <w:tr>
        <w:trPr>
          <w:trHeight w:val="96"/>
        </w:trPr>
        <w:tc>
          <w:tcPr>
            <w:tcW w:w="2640" w:type="dxa"/>
            <w:vAlign w:val="bottom"/>
          </w:tcPr>
          <w:p>
            <w:pPr>
              <w:ind w:left="200"/>
              <w:spacing w:after="0"/>
              <w:rPr>
                <w:sz w:val="20"/>
                <w:szCs w:val="20"/>
                <w:color w:val="auto"/>
              </w:rPr>
            </w:pPr>
            <w:r>
              <w:rPr>
                <w:rFonts w:ascii="Arial" w:cs="Arial" w:eastAsia="Arial" w:hAnsi="Arial"/>
                <w:sz w:val="8"/>
                <w:szCs w:val="8"/>
                <w:color w:val="auto"/>
              </w:rPr>
              <w:t>International</w:t>
            </w:r>
          </w:p>
        </w:tc>
        <w:tc>
          <w:tcPr>
            <w:tcW w:w="1780" w:type="dxa"/>
            <w:vAlign w:val="bottom"/>
          </w:tcPr>
          <w:p>
            <w:pPr>
              <w:jc w:val="right"/>
              <w:ind w:right="238"/>
              <w:spacing w:after="0"/>
              <w:rPr>
                <w:sz w:val="20"/>
                <w:szCs w:val="20"/>
                <w:color w:val="auto"/>
              </w:rPr>
            </w:pPr>
            <w:r>
              <w:rPr>
                <w:rFonts w:ascii="Arial" w:cs="Arial" w:eastAsia="Arial" w:hAnsi="Arial"/>
                <w:sz w:val="8"/>
                <w:szCs w:val="8"/>
                <w:b w:val="1"/>
                <w:bCs w:val="1"/>
                <w:color w:val="auto"/>
              </w:rPr>
              <w:t>–</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24</w:t>
            </w:r>
          </w:p>
        </w:tc>
      </w:tr>
      <w:tr>
        <w:trPr>
          <w:trHeight w:val="106"/>
        </w:trPr>
        <w:tc>
          <w:tcPr>
            <w:tcW w:w="2640" w:type="dxa"/>
            <w:vAlign w:val="bottom"/>
          </w:tcPr>
          <w:p>
            <w:pPr>
              <w:spacing w:after="0"/>
              <w:rPr>
                <w:sz w:val="20"/>
                <w:szCs w:val="20"/>
                <w:color w:val="auto"/>
              </w:rPr>
            </w:pPr>
            <w:r>
              <w:rPr>
                <w:rFonts w:ascii="Arial" w:cs="Arial" w:eastAsia="Arial" w:hAnsi="Arial"/>
                <w:sz w:val="7"/>
                <w:szCs w:val="7"/>
                <w:color w:val="auto"/>
              </w:rPr>
              <w:t xml:space="preserve">7 </w:t>
            </w:r>
            <w:r>
              <w:rPr>
                <w:rFonts w:ascii="Arial" w:cs="Arial" w:eastAsia="Arial" w:hAnsi="Arial"/>
                <w:sz w:val="8"/>
                <w:szCs w:val="8"/>
                <w:color w:val="auto"/>
              </w:rPr>
              <w:t>Includes sales of affiliates (MBPD):</w:t>
            </w:r>
          </w:p>
        </w:tc>
        <w:tc>
          <w:tcPr>
            <w:tcW w:w="1780" w:type="dxa"/>
            <w:vAlign w:val="bottom"/>
          </w:tcPr>
          <w:p>
            <w:pPr>
              <w:jc w:val="right"/>
              <w:ind w:right="238"/>
              <w:spacing w:after="0"/>
              <w:rPr>
                <w:sz w:val="20"/>
                <w:szCs w:val="20"/>
                <w:color w:val="auto"/>
              </w:rPr>
            </w:pPr>
            <w:r>
              <w:rPr>
                <w:rFonts w:ascii="Arial" w:cs="Arial" w:eastAsia="Arial" w:hAnsi="Arial"/>
                <w:sz w:val="8"/>
                <w:szCs w:val="8"/>
                <w:b w:val="1"/>
                <w:bCs w:val="1"/>
                <w:color w:val="auto"/>
              </w:rPr>
              <w:t>512</w:t>
            </w:r>
          </w:p>
        </w:tc>
        <w:tc>
          <w:tcPr>
            <w:tcW w:w="660" w:type="dxa"/>
            <w:vAlign w:val="bottom"/>
          </w:tcPr>
          <w:p>
            <w:pPr>
              <w:jc w:val="right"/>
              <w:ind w:right="218"/>
              <w:spacing w:after="0"/>
              <w:rPr>
                <w:sz w:val="20"/>
                <w:szCs w:val="20"/>
                <w:color w:val="auto"/>
              </w:rPr>
            </w:pPr>
            <w:r>
              <w:rPr>
                <w:rFonts w:ascii="Arial" w:cs="Arial" w:eastAsia="Arial" w:hAnsi="Arial"/>
                <w:sz w:val="8"/>
                <w:szCs w:val="8"/>
                <w:color w:val="auto"/>
              </w:rPr>
              <w:t>492</w:t>
            </w:r>
          </w:p>
        </w:tc>
        <w:tc>
          <w:tcPr>
            <w:tcW w:w="380" w:type="dxa"/>
            <w:vAlign w:val="bottom"/>
          </w:tcPr>
          <w:p>
            <w:pPr>
              <w:jc w:val="right"/>
              <w:spacing w:after="0"/>
              <w:rPr>
                <w:sz w:val="20"/>
                <w:szCs w:val="20"/>
                <w:color w:val="auto"/>
              </w:rPr>
            </w:pPr>
            <w:r>
              <w:rPr>
                <w:rFonts w:ascii="Arial" w:cs="Arial" w:eastAsia="Arial" w:hAnsi="Arial"/>
                <w:sz w:val="8"/>
                <w:szCs w:val="8"/>
                <w:color w:val="auto"/>
              </w:rPr>
              <w:t>492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-782955</wp:posOffset>
            </wp:positionV>
            <wp:extent cx="7285990" cy="457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102" w:lineRule="exact"/>
        <w:rPr>
          <w:sz w:val="20"/>
          <w:szCs w:val="20"/>
          <w:color w:val="auto"/>
        </w:rPr>
      </w:pPr>
    </w:p>
    <w:p>
      <w:pPr>
        <w:ind w:right="320"/>
        <w:spacing w:after="0" w:line="272" w:lineRule="auto"/>
        <w:rPr>
          <w:sz w:val="20"/>
          <w:szCs w:val="20"/>
          <w:color w:val="auto"/>
        </w:rPr>
      </w:pPr>
      <w:r>
        <w:rPr>
          <w:rFonts w:ascii="Arial" w:cs="Arial" w:eastAsia="Arial" w:hAnsi="Arial"/>
          <w:sz w:val="12"/>
          <w:szCs w:val="12"/>
          <w:i w:val="1"/>
          <w:iCs w:val="1"/>
          <w:color w:val="E51837"/>
        </w:rPr>
        <w:t xml:space="preserve">Cash, cash equivalents and marketable securities </w:t>
      </w:r>
      <w:r>
        <w:rPr>
          <w:rFonts w:ascii="Arial" w:cs="Arial" w:eastAsia="Arial" w:hAnsi="Arial"/>
          <w:sz w:val="12"/>
          <w:szCs w:val="12"/>
          <w:color w:val="000000"/>
        </w:rPr>
        <w:t>Total balances were $9.6 billion and $8.1 billion at</w:t>
      </w:r>
      <w:r>
        <w:rPr>
          <w:rFonts w:ascii="Arial" w:cs="Arial" w:eastAsia="Arial" w:hAnsi="Arial"/>
          <w:sz w:val="12"/>
          <w:szCs w:val="12"/>
          <w:i w:val="1"/>
          <w:iCs w:val="1"/>
          <w:color w:val="E51837"/>
        </w:rPr>
        <w:t xml:space="preserve"> </w:t>
      </w:r>
      <w:r>
        <w:rPr>
          <w:rFonts w:ascii="Arial" w:cs="Arial" w:eastAsia="Arial" w:hAnsi="Arial"/>
          <w:sz w:val="12"/>
          <w:szCs w:val="12"/>
          <w:color w:val="000000"/>
        </w:rPr>
        <w:t>December 31, 2008 and 2007, respectively. Cash provided by operating activities in 2008 was $29.6 billion, compared with $25.0 billion in 2007 and $24.3 billion in 2006.</w:t>
      </w:r>
    </w:p>
    <w:p>
      <w:pPr>
        <w:ind w:right="120" w:firstLine="160"/>
        <w:spacing w:after="0" w:line="246" w:lineRule="auto"/>
        <w:rPr>
          <w:sz w:val="20"/>
          <w:szCs w:val="20"/>
          <w:color w:val="auto"/>
        </w:rPr>
      </w:pPr>
      <w:r>
        <w:rPr>
          <w:rFonts w:ascii="Arial" w:cs="Arial" w:eastAsia="Arial" w:hAnsi="Arial"/>
          <w:sz w:val="13"/>
          <w:szCs w:val="13"/>
          <w:color w:val="auto"/>
        </w:rPr>
        <w:t>Cash provided by operating activities was net of contributions to employee pension plans of approximately $800 million, $300 million and $400 million in 2008, 2007 and 2006, respectively. Cash provided by investing activities included proceeds from asset sales of $1.5 billion in 2008, $3.3 billion in 2007 and $1.0 billion in 2006.</w:t>
      </w:r>
    </w:p>
    <w:p>
      <w:pPr>
        <w:spacing w:after="0" w:line="2" w:lineRule="exact"/>
        <w:rPr>
          <w:sz w:val="20"/>
          <w:szCs w:val="20"/>
          <w:color w:val="auto"/>
        </w:rPr>
      </w:pPr>
    </w:p>
    <w:p>
      <w:pPr>
        <w:ind w:firstLine="153"/>
        <w:spacing w:after="0" w:line="246" w:lineRule="auto"/>
        <w:rPr>
          <w:sz w:val="20"/>
          <w:szCs w:val="20"/>
          <w:color w:val="auto"/>
        </w:rPr>
      </w:pPr>
      <w:r>
        <w:rPr>
          <w:rFonts w:ascii="Arial" w:cs="Arial" w:eastAsia="Arial" w:hAnsi="Arial"/>
          <w:sz w:val="13"/>
          <w:szCs w:val="13"/>
          <w:color w:val="auto"/>
        </w:rPr>
        <w:t>At December 31, 2008, restricted cash of $367 million associated with capital-investment projects at the company’s Pascagoula, Mississippi, refinery and Angola liquefied natural gas project was invested in short-term marketable securities and reclassified from cash equivalents to a long-term asset on the Consolidated Balance Sheet.</w:t>
      </w:r>
    </w:p>
    <w:p>
      <w:pPr>
        <w:spacing w:after="0" w:line="2" w:lineRule="exact"/>
        <w:rPr>
          <w:sz w:val="20"/>
          <w:szCs w:val="20"/>
          <w:color w:val="auto"/>
        </w:rPr>
      </w:pPr>
    </w:p>
    <w:p>
      <w:pPr>
        <w:ind w:right="60" w:firstLine="160"/>
        <w:spacing w:after="0" w:line="246" w:lineRule="auto"/>
        <w:rPr>
          <w:sz w:val="20"/>
          <w:szCs w:val="20"/>
          <w:color w:val="auto"/>
        </w:rPr>
      </w:pPr>
      <w:r>
        <w:rPr>
          <w:rFonts w:ascii="Arial" w:cs="Arial" w:eastAsia="Arial" w:hAnsi="Arial"/>
          <w:sz w:val="13"/>
          <w:szCs w:val="13"/>
          <w:i w:val="1"/>
          <w:iCs w:val="1"/>
          <w:color w:val="E51837"/>
        </w:rPr>
        <w:t xml:space="preserve">Dividends </w:t>
      </w:r>
      <w:r>
        <w:rPr>
          <w:rFonts w:ascii="Arial" w:cs="Arial" w:eastAsia="Arial" w:hAnsi="Arial"/>
          <w:sz w:val="13"/>
          <w:szCs w:val="13"/>
          <w:color w:val="000000"/>
        </w:rPr>
        <w:t>The company paid dividends of approximately $5.2 billion in 2008, $4.8 billion in 2007 and</w:t>
      </w:r>
      <w:r>
        <w:rPr>
          <w:rFonts w:ascii="Arial" w:cs="Arial" w:eastAsia="Arial" w:hAnsi="Arial"/>
          <w:sz w:val="13"/>
          <w:szCs w:val="13"/>
          <w:i w:val="1"/>
          <w:iCs w:val="1"/>
          <w:color w:val="E51837"/>
        </w:rPr>
        <w:t xml:space="preserve"> </w:t>
      </w:r>
      <w:r>
        <w:rPr>
          <w:rFonts w:ascii="Arial" w:cs="Arial" w:eastAsia="Arial" w:hAnsi="Arial"/>
          <w:sz w:val="13"/>
          <w:szCs w:val="13"/>
          <w:color w:val="000000"/>
        </w:rPr>
        <w:t>$4.4 billion in 2006. In April 2008, the company increased its quarterly common stock dividend by 12.1 percent to $0.65 per share.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E51837"/>
        </w:rPr>
        <w:t xml:space="preserve">Debt, capital lease and minority interest obligations </w:t>
      </w:r>
      <w:r>
        <w:rPr>
          <w:rFonts w:ascii="Arial" w:cs="Arial" w:eastAsia="Arial" w:hAnsi="Arial"/>
          <w:sz w:val="12"/>
          <w:szCs w:val="12"/>
          <w:color w:val="000000"/>
        </w:rPr>
        <w:t>Total debt and capital lease balances were</w:t>
      </w:r>
    </w:p>
    <w:p>
      <w:pPr>
        <w:spacing w:after="0" w:line="16"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$8.9 billion at December 31, 2008, up from $7.2 billion at year-end 2007. The company also had minority interest obligations of $469 million and $204 million at December 31, 2008 and 2007, respectively.</w:t>
      </w:r>
    </w:p>
    <w:p>
      <w:pPr>
        <w:spacing w:after="0" w:line="1" w:lineRule="exact"/>
        <w:rPr>
          <w:sz w:val="20"/>
          <w:szCs w:val="20"/>
          <w:color w:val="auto"/>
        </w:rPr>
      </w:pPr>
    </w:p>
    <w:p>
      <w:pPr>
        <w:ind w:right="20" w:firstLine="158"/>
        <w:spacing w:after="0" w:line="291" w:lineRule="auto"/>
        <w:rPr>
          <w:sz w:val="20"/>
          <w:szCs w:val="20"/>
          <w:color w:val="auto"/>
        </w:rPr>
      </w:pPr>
      <w:r>
        <w:rPr>
          <w:rFonts w:ascii="Arial" w:cs="Arial" w:eastAsia="Arial" w:hAnsi="Arial"/>
          <w:sz w:val="11"/>
          <w:szCs w:val="11"/>
          <w:color w:val="auto"/>
        </w:rPr>
        <w:t>The $1.7 billion increase in total debt and capital lease obligations during 2008 included the net effect of an approximate $2.7 billion increase in commercial paper and $749 million of Chevron Canada Funding Company bonds that matured. The company’s debt and capital lease obligations due within one year, consisting primarily of commercial paper and the current portion of long-term debt, totaled $7.8 billion at December 31, 2008, up from $5.5 billion at year-end 2007. Of these amounts, $5.0 billion and $4.4 billion were reclassified to long-term at the end of each period, respectively. At year-end 2008, settlement of these obligations was not expected to require the use of working capital within one year, as the company had the intent and the ability, as evidenced by committed credit facilities, to refinance them on a long-term basis.</w:t>
      </w:r>
    </w:p>
    <w:p>
      <w:pPr>
        <w:spacing w:after="0" w:line="3" w:lineRule="exact"/>
        <w:rPr>
          <w:sz w:val="20"/>
          <w:szCs w:val="20"/>
          <w:color w:val="auto"/>
        </w:rPr>
      </w:pPr>
    </w:p>
    <w:p>
      <w:pPr>
        <w:ind w:right="40" w:firstLine="153"/>
        <w:spacing w:after="0" w:line="249" w:lineRule="auto"/>
        <w:rPr>
          <w:sz w:val="20"/>
          <w:szCs w:val="20"/>
          <w:color w:val="auto"/>
        </w:rPr>
      </w:pPr>
      <w:r>
        <w:rPr>
          <w:rFonts w:ascii="Arial" w:cs="Arial" w:eastAsia="Arial" w:hAnsi="Arial"/>
          <w:sz w:val="13"/>
          <w:szCs w:val="13"/>
          <w:color w:val="auto"/>
        </w:rPr>
        <w:t>At year-end 2008, the company had $5 billion in committed credit facilities with various major banks, which permit the refinancing of short-term obligations on a long-term basis. These facilities support commercial-paper borrowing and also can be used for general corporate purposes. The company’s practice has been to continually</w:t>
      </w:r>
    </w:p>
    <w:p>
      <w:pPr>
        <w:spacing w:after="0" w:line="1727" w:lineRule="exact"/>
        <w:rPr>
          <w:sz w:val="20"/>
          <w:szCs w:val="20"/>
          <w:color w:val="auto"/>
        </w:rPr>
      </w:pPr>
    </w:p>
    <w:p>
      <w:pPr>
        <w:sectPr>
          <w:pgSz w:w="11900" w:h="16838" w:orient="portrait"/>
          <w:cols w:equalWidth="0" w:num="2">
            <w:col w:w="5503" w:space="460"/>
            <w:col w:w="5500"/>
          </w:cols>
          <w:pgMar w:left="217" w:top="339" w:right="219" w:bottom="1440" w:gutter="0" w:footer="0" w:header="0"/>
        </w:sectPr>
      </w:pPr>
    </w:p>
    <w:p>
      <w:pPr>
        <w:spacing w:after="0" w:line="77"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9297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9" w:right="219" w:bottom="1440" w:gutter="0" w:footer="0" w:header="0"/>
          <w:type w:val="continuous"/>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color w:val="auto"/>
        </w:rPr>
        <w:t>replace expiring commitments with new commitments on substantially the same terms, maintaining levels management believes appropriate. Terms of new commitments in the future will be subject to market conditions at the time of renewal. Any borrowings under the facilities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2099310" cy="2184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9931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unsecured indebtedness at interest rates based on London Interbank Offered Rate or an average of base lending rates published by specified banks and on terms reflecting the company’s strong credit rating. No borrowings were outstanding under these facilities at December 31, 2008. In addition, the company has an automatic shelf registration statement that expires in March 2010 for an unspecified amount of nonconvertible debt securities issued or guaranteed by the company. In January 2009, the company’s Board of Directors authorized the issuance of one or more series of notes or debentures in an aggregate amount up to $5 billion for a term not to exceed ten years.</w:t>
      </w:r>
    </w:p>
    <w:p>
      <w:pPr>
        <w:spacing w:after="0" w:line="108" w:lineRule="exact"/>
        <w:rPr>
          <w:sz w:val="20"/>
          <w:szCs w:val="20"/>
          <w:color w:val="auto"/>
        </w:rPr>
      </w:pPr>
    </w:p>
    <w:p>
      <w:pPr>
        <w:ind w:right="80" w:firstLine="153"/>
        <w:spacing w:after="0" w:line="249" w:lineRule="auto"/>
        <w:rPr>
          <w:sz w:val="20"/>
          <w:szCs w:val="20"/>
          <w:color w:val="auto"/>
        </w:rPr>
      </w:pPr>
      <w:r>
        <w:rPr>
          <w:rFonts w:ascii="Arial" w:cs="Arial" w:eastAsia="Arial" w:hAnsi="Arial"/>
          <w:sz w:val="13"/>
          <w:szCs w:val="13"/>
          <w:color w:val="auto"/>
        </w:rPr>
        <w:t>At December 31, 2008, the company had outstanding public bonds issued by Chevron Corporation Profit Sharing/Savings Plan Trust Fund, Texaco Capital Inc. and Union Oil Company of California. All of these securities are guaranteed by Chevron Corporation and are rated AA by Standard and Poor’s Corporation and Aa1 by Moody’s Investors Service. The company’s U.S. commercial paper is rated A-1+ by Standard and Poor’s and P-1 by Moody’s. All of these ratings denote high-quality, investment-grade securities.</w:t>
      </w:r>
    </w:p>
    <w:p>
      <w:pPr>
        <w:ind w:right="20" w:firstLine="158"/>
        <w:spacing w:after="0" w:line="274" w:lineRule="auto"/>
        <w:rPr>
          <w:sz w:val="20"/>
          <w:szCs w:val="20"/>
          <w:color w:val="auto"/>
        </w:rPr>
      </w:pPr>
      <w:r>
        <w:rPr>
          <w:rFonts w:ascii="Arial" w:cs="Arial" w:eastAsia="Arial" w:hAnsi="Arial"/>
          <w:sz w:val="12"/>
          <w:szCs w:val="12"/>
          <w:color w:val="auto"/>
        </w:rPr>
        <w:t>The company’s future debt level is dependent primarily on results of operations, the capital-spending program and cash that may be generated from asset dispositions. During periods of low prices for crude oil and natural gas and narrow margins for refined products and commodity chemicals, the company has the flexibility to increase borrowings and/or modify capital-spending plans to continue paying the common stock dividend and maintain the company’s high-quality debt ratings.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firstLine="160"/>
        <w:spacing w:after="0" w:line="269" w:lineRule="auto"/>
        <w:rPr>
          <w:sz w:val="20"/>
          <w:szCs w:val="20"/>
          <w:color w:val="auto"/>
        </w:rPr>
      </w:pPr>
      <w:r>
        <w:rPr>
          <w:rFonts w:ascii="Arial" w:cs="Arial" w:eastAsia="Arial" w:hAnsi="Arial"/>
          <w:sz w:val="12"/>
          <w:szCs w:val="12"/>
          <w:i w:val="1"/>
          <w:iCs w:val="1"/>
          <w:color w:val="E51837"/>
        </w:rPr>
        <w:t xml:space="preserve">Common stock repurchase program </w:t>
      </w:r>
      <w:r>
        <w:rPr>
          <w:rFonts w:ascii="Arial" w:cs="Arial" w:eastAsia="Arial" w:hAnsi="Arial"/>
          <w:sz w:val="12"/>
          <w:szCs w:val="12"/>
          <w:color w:val="000000"/>
        </w:rPr>
        <w:t>In September 2007, the company authorized the acquisition of up to</w:t>
      </w:r>
      <w:r>
        <w:rPr>
          <w:rFonts w:ascii="Arial" w:cs="Arial" w:eastAsia="Arial" w:hAnsi="Arial"/>
          <w:sz w:val="12"/>
          <w:szCs w:val="12"/>
          <w:i w:val="1"/>
          <w:iCs w:val="1"/>
          <w:color w:val="E51837"/>
        </w:rPr>
        <w:t xml:space="preserve"> </w:t>
      </w:r>
      <w:r>
        <w:rPr>
          <w:rFonts w:ascii="Arial" w:cs="Arial" w:eastAsia="Arial" w:hAnsi="Arial"/>
          <w:sz w:val="12"/>
          <w:szCs w:val="12"/>
          <w:color w:val="000000"/>
        </w:rPr>
        <w:t>$15 billion of additional common shares from time to time at prevailing prices, as permitted by securities laws and other legal requirements and subject to market conditions and other factors. The program is for a period of up to three years and may be discontinued at any time. Through December 31, 2008, 119 million shares had been acquired under the program for $10.1 billion, including $8.0 billion in 2008. These amounts include shares acquired in October 2008 as part of an asset-exchange transaction described in Note 2 beginning on page FS-34. The company did not acquire any shares in early 2009 and does not plan to acquire any shares in the 2009 first quarter.</w:t>
      </w:r>
    </w:p>
    <w:p>
      <w:pPr>
        <w:spacing w:after="0" w:line="1" w:lineRule="exact"/>
        <w:rPr>
          <w:sz w:val="20"/>
          <w:szCs w:val="20"/>
          <w:color w:val="auto"/>
        </w:rPr>
      </w:pPr>
    </w:p>
    <w:p>
      <w:pPr>
        <w:ind w:right="20" w:firstLine="160"/>
        <w:spacing w:after="0" w:line="291" w:lineRule="auto"/>
        <w:rPr>
          <w:sz w:val="20"/>
          <w:szCs w:val="20"/>
          <w:color w:val="auto"/>
        </w:rPr>
      </w:pPr>
      <w:r>
        <w:rPr>
          <w:rFonts w:ascii="Arial" w:cs="Arial" w:eastAsia="Arial" w:hAnsi="Arial"/>
          <w:sz w:val="11"/>
          <w:szCs w:val="11"/>
          <w:i w:val="1"/>
          <w:iCs w:val="1"/>
          <w:color w:val="E51837"/>
        </w:rPr>
        <w:t xml:space="preserve">Capital and exploratory expenditures </w:t>
      </w:r>
      <w:r>
        <w:rPr>
          <w:rFonts w:ascii="Arial" w:cs="Arial" w:eastAsia="Arial" w:hAnsi="Arial"/>
          <w:sz w:val="11"/>
          <w:szCs w:val="11"/>
          <w:color w:val="000000"/>
        </w:rPr>
        <w:t>Total reported expenditures for 2008 were $22.8 billion, including</w:t>
      </w:r>
      <w:r>
        <w:rPr>
          <w:rFonts w:ascii="Arial" w:cs="Arial" w:eastAsia="Arial" w:hAnsi="Arial"/>
          <w:sz w:val="11"/>
          <w:szCs w:val="11"/>
          <w:i w:val="1"/>
          <w:iCs w:val="1"/>
          <w:color w:val="E51837"/>
        </w:rPr>
        <w:t xml:space="preserve"> </w:t>
      </w:r>
      <w:r>
        <w:rPr>
          <w:rFonts w:ascii="Arial" w:cs="Arial" w:eastAsia="Arial" w:hAnsi="Arial"/>
          <w:sz w:val="11"/>
          <w:szCs w:val="11"/>
          <w:color w:val="000000"/>
        </w:rPr>
        <w:t>$2.3 billion for the company’s share of affiliates’ expenditures, which did not require cash outlays by the company. In 2007 and 2006, expenditures were $20.0 billion and $16.6 billion, respectively, including the company’s share of affiliates’ expenditures of $2.3 billion and $1.9 billion in the corresponding periods.</w:t>
      </w:r>
    </w:p>
    <w:p>
      <w:pPr>
        <w:spacing w:after="0" w:line="2" w:lineRule="exact"/>
        <w:rPr>
          <w:sz w:val="20"/>
          <w:szCs w:val="20"/>
          <w:color w:val="auto"/>
        </w:rPr>
      </w:pPr>
    </w:p>
    <w:p>
      <w:pPr>
        <w:ind w:right="120" w:firstLine="160"/>
        <w:spacing w:after="0" w:line="267" w:lineRule="auto"/>
        <w:rPr>
          <w:sz w:val="20"/>
          <w:szCs w:val="20"/>
          <w:color w:val="auto"/>
        </w:rPr>
      </w:pPr>
      <w:r>
        <w:rPr>
          <w:rFonts w:ascii="Arial" w:cs="Arial" w:eastAsia="Arial" w:hAnsi="Arial"/>
          <w:sz w:val="12"/>
          <w:szCs w:val="12"/>
          <w:color w:val="auto"/>
        </w:rPr>
        <w:t>Of the $22.8 billion in expenditures for 2008, about three-fourths, or $17.5 billion, related to upstream activities. Approximately the same percentage was also expended for upstream operations in 2007 and 2006. International upstream accounted for about 70 percent of the worldwide</w:t>
      </w:r>
    </w:p>
    <w:p>
      <w:pPr>
        <w:spacing w:after="0" w:line="1" w:lineRule="exact"/>
        <w:rPr>
          <w:sz w:val="20"/>
          <w:szCs w:val="20"/>
          <w:color w:val="auto"/>
        </w:rPr>
      </w:pPr>
    </w:p>
    <w:p>
      <w:pPr>
        <w:ind w:right="2960"/>
        <w:spacing w:after="0" w:line="246" w:lineRule="auto"/>
        <w:rPr>
          <w:sz w:val="20"/>
          <w:szCs w:val="20"/>
          <w:color w:val="auto"/>
        </w:rPr>
      </w:pPr>
      <w:r>
        <w:rPr>
          <w:rFonts w:ascii="Arial" w:cs="Arial" w:eastAsia="Arial" w:hAnsi="Arial"/>
          <w:sz w:val="13"/>
          <w:szCs w:val="13"/>
          <w:color w:val="auto"/>
        </w:rPr>
        <w:t>upstream investment in each of the three years, reflecting the company’s continuing focus on opportunities that are available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-302895</wp:posOffset>
            </wp:positionV>
            <wp:extent cx="1019175" cy="2300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19175" cy="2300605"/>
                    </a:xfrm>
                    <a:prstGeom prst="rect">
                      <a:avLst/>
                    </a:prstGeom>
                    <a:noFill/>
                  </pic:spPr>
                </pic:pic>
              </a:graphicData>
            </a:graphic>
          </wp:anchor>
        </w:drawing>
      </w:r>
    </w:p>
    <w:p>
      <w:pPr>
        <w:ind w:right="2880" w:firstLine="158"/>
        <w:spacing w:after="0" w:line="269" w:lineRule="auto"/>
        <w:rPr>
          <w:sz w:val="20"/>
          <w:szCs w:val="20"/>
          <w:color w:val="auto"/>
        </w:rPr>
      </w:pPr>
      <w:r>
        <w:rPr>
          <w:rFonts w:ascii="Arial" w:cs="Arial" w:eastAsia="Arial" w:hAnsi="Arial"/>
          <w:sz w:val="12"/>
          <w:szCs w:val="12"/>
          <w:color w:val="auto"/>
        </w:rPr>
        <w:t>The company estimates that in 2009, capital and exploratory expenditures will be $22.8 billion, including $1.8 billion of spending by affiliates. About three-fourths of the total, or $17.5 billion, is budgeted for exploration and production activities, with $13.9 billion of this amount outside the United States. Spending in 2009 is primarily targeted for exploratory prospects in the deepwater U.S. Gulf of Mexico, western Africa, and the Gulf of Thailand and major development projects in Angola, Australia, Brazil, Indonesia, Nigeria, Thailand and the deepwater U.S. Gulf of Mexico. Also included are one-time payments associated with upstream operating agreements in China and the Partitioned Neutral Zone between Saudi Arabia and Kuwait.</w:t>
      </w:r>
    </w:p>
    <w:p>
      <w:pPr>
        <w:spacing w:after="0" w:line="2337" w:lineRule="exact"/>
        <w:rPr>
          <w:sz w:val="20"/>
          <w:szCs w:val="20"/>
          <w:color w:val="auto"/>
        </w:rPr>
      </w:pPr>
    </w:p>
    <w:p>
      <w:pPr>
        <w:sectPr>
          <w:pgSz w:w="11900" w:h="16838" w:orient="portrait"/>
          <w:cols w:equalWidth="0" w:num="2">
            <w:col w:w="5500" w:space="460"/>
            <w:col w:w="5520"/>
          </w:cols>
          <w:pgMar w:left="220" w:top="339" w:right="19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Capital and Exploratory Expenditures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6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Millions of dollars</w:t>
            </w:r>
          </w:p>
        </w:tc>
        <w:tc>
          <w:tcPr>
            <w:tcW w:w="20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2008</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2007</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jc w:val="right"/>
              <w:ind w:right="169"/>
              <w:spacing w:after="0" w:line="95" w:lineRule="exact"/>
              <w:rPr>
                <w:sz w:val="20"/>
                <w:szCs w:val="20"/>
                <w:color w:val="auto"/>
              </w:rPr>
            </w:pPr>
            <w:r>
              <w:rPr>
                <w:rFonts w:ascii="Arial" w:cs="Arial" w:eastAsia="Arial" w:hAnsi="Arial"/>
                <w:sz w:val="10"/>
                <w:szCs w:val="10"/>
                <w:color w:val="auto"/>
              </w:rPr>
              <w:t>U.S.</w:t>
            </w:r>
          </w:p>
        </w:tc>
        <w:tc>
          <w:tcPr>
            <w:tcW w:w="400" w:type="dxa"/>
            <w:vAlign w:val="bottom"/>
          </w:tcPr>
          <w:p>
            <w:pPr>
              <w:spacing w:after="0"/>
              <w:rPr>
                <w:sz w:val="8"/>
                <w:szCs w:val="8"/>
                <w:color w:val="auto"/>
              </w:rPr>
            </w:pPr>
          </w:p>
        </w:tc>
        <w:tc>
          <w:tcPr>
            <w:tcW w:w="640" w:type="dxa"/>
            <w:vAlign w:val="bottom"/>
          </w:tcPr>
          <w:p>
            <w:pPr>
              <w:jc w:val="right"/>
              <w:ind w:right="189"/>
              <w:spacing w:after="0" w:line="95" w:lineRule="exact"/>
              <w:rPr>
                <w:sz w:val="20"/>
                <w:szCs w:val="20"/>
                <w:color w:val="auto"/>
              </w:rPr>
            </w:pPr>
            <w:r>
              <w:rPr>
                <w:rFonts w:ascii="Arial" w:cs="Arial" w:eastAsia="Arial" w:hAnsi="Arial"/>
                <w:sz w:val="10"/>
                <w:szCs w:val="10"/>
                <w:color w:val="auto"/>
              </w:rPr>
              <w:t>Int’l.</w:t>
            </w:r>
          </w:p>
        </w:tc>
        <w:tc>
          <w:tcPr>
            <w:tcW w:w="400" w:type="dxa"/>
            <w:vAlign w:val="bottom"/>
          </w:tcPr>
          <w:p>
            <w:pPr>
              <w:spacing w:after="0"/>
              <w:rPr>
                <w:sz w:val="8"/>
                <w:szCs w:val="8"/>
                <w:color w:val="auto"/>
              </w:rPr>
            </w:pPr>
          </w:p>
        </w:tc>
        <w:tc>
          <w:tcPr>
            <w:tcW w:w="640" w:type="dxa"/>
            <w:vAlign w:val="bottom"/>
          </w:tcPr>
          <w:p>
            <w:pPr>
              <w:jc w:val="right"/>
              <w:ind w:right="190"/>
              <w:spacing w:after="0" w:line="95" w:lineRule="exact"/>
              <w:rPr>
                <w:sz w:val="20"/>
                <w:szCs w:val="20"/>
                <w:color w:val="auto"/>
              </w:rPr>
            </w:pPr>
            <w:r>
              <w:rPr>
                <w:rFonts w:ascii="Arial" w:cs="Arial" w:eastAsia="Arial" w:hAnsi="Arial"/>
                <w:sz w:val="10"/>
                <w:szCs w:val="10"/>
                <w:color w:val="auto"/>
              </w:rPr>
              <w:t>Total</w:t>
            </w:r>
          </w:p>
        </w:tc>
        <w:tc>
          <w:tcPr>
            <w:tcW w:w="320" w:type="dxa"/>
            <w:vAlign w:val="bottom"/>
          </w:tcPr>
          <w:p>
            <w:pPr>
              <w:spacing w:after="0"/>
              <w:rPr>
                <w:sz w:val="8"/>
                <w:szCs w:val="8"/>
                <w:color w:val="auto"/>
              </w:rPr>
            </w:pPr>
          </w:p>
        </w:tc>
        <w:tc>
          <w:tcPr>
            <w:tcW w:w="600" w:type="dxa"/>
            <w:vAlign w:val="bottom"/>
          </w:tcPr>
          <w:p>
            <w:pPr>
              <w:jc w:val="right"/>
              <w:ind w:right="189"/>
              <w:spacing w:after="0" w:line="95" w:lineRule="exact"/>
              <w:rPr>
                <w:sz w:val="20"/>
                <w:szCs w:val="20"/>
                <w:color w:val="auto"/>
              </w:rPr>
            </w:pPr>
            <w:r>
              <w:rPr>
                <w:rFonts w:ascii="Arial" w:cs="Arial" w:eastAsia="Arial" w:hAnsi="Arial"/>
                <w:sz w:val="10"/>
                <w:szCs w:val="10"/>
                <w:color w:val="auto"/>
              </w:rPr>
              <w:t>U.S.</w:t>
            </w:r>
          </w:p>
        </w:tc>
        <w:tc>
          <w:tcPr>
            <w:tcW w:w="400" w:type="dxa"/>
            <w:vAlign w:val="bottom"/>
          </w:tcPr>
          <w:p>
            <w:pPr>
              <w:spacing w:after="0"/>
              <w:rPr>
                <w:sz w:val="8"/>
                <w:szCs w:val="8"/>
                <w:color w:val="auto"/>
              </w:rPr>
            </w:pPr>
          </w:p>
        </w:tc>
        <w:tc>
          <w:tcPr>
            <w:tcW w:w="640" w:type="dxa"/>
            <w:vAlign w:val="bottom"/>
          </w:tcPr>
          <w:p>
            <w:pPr>
              <w:jc w:val="right"/>
              <w:ind w:right="189"/>
              <w:spacing w:after="0" w:line="95" w:lineRule="exact"/>
              <w:rPr>
                <w:sz w:val="20"/>
                <w:szCs w:val="20"/>
                <w:color w:val="auto"/>
              </w:rPr>
            </w:pPr>
            <w:r>
              <w:rPr>
                <w:rFonts w:ascii="Arial" w:cs="Arial" w:eastAsia="Arial" w:hAnsi="Arial"/>
                <w:sz w:val="10"/>
                <w:szCs w:val="10"/>
                <w:color w:val="auto"/>
              </w:rPr>
              <w:t>Int’l.</w:t>
            </w:r>
          </w:p>
        </w:tc>
        <w:tc>
          <w:tcPr>
            <w:tcW w:w="400" w:type="dxa"/>
            <w:vAlign w:val="bottom"/>
          </w:tcPr>
          <w:p>
            <w:pPr>
              <w:spacing w:after="0"/>
              <w:rPr>
                <w:sz w:val="8"/>
                <w:szCs w:val="8"/>
                <w:color w:val="auto"/>
              </w:rPr>
            </w:pPr>
          </w:p>
        </w:tc>
        <w:tc>
          <w:tcPr>
            <w:tcW w:w="640" w:type="dxa"/>
            <w:vAlign w:val="bottom"/>
          </w:tcPr>
          <w:p>
            <w:pPr>
              <w:jc w:val="right"/>
              <w:ind w:right="190"/>
              <w:spacing w:after="0" w:line="95" w:lineRule="exact"/>
              <w:rPr>
                <w:sz w:val="20"/>
                <w:szCs w:val="20"/>
                <w:color w:val="auto"/>
              </w:rPr>
            </w:pPr>
            <w:r>
              <w:rPr>
                <w:rFonts w:ascii="Arial" w:cs="Arial" w:eastAsia="Arial" w:hAnsi="Arial"/>
                <w:sz w:val="10"/>
                <w:szCs w:val="10"/>
                <w:color w:val="auto"/>
              </w:rPr>
              <w:t>Total</w:t>
            </w:r>
          </w:p>
        </w:tc>
        <w:tc>
          <w:tcPr>
            <w:tcW w:w="320" w:type="dxa"/>
            <w:vAlign w:val="bottom"/>
          </w:tcPr>
          <w:p>
            <w:pPr>
              <w:spacing w:after="0"/>
              <w:rPr>
                <w:sz w:val="8"/>
                <w:szCs w:val="8"/>
                <w:color w:val="auto"/>
              </w:rPr>
            </w:pPr>
          </w:p>
        </w:tc>
        <w:tc>
          <w:tcPr>
            <w:tcW w:w="600" w:type="dxa"/>
            <w:vAlign w:val="bottom"/>
          </w:tcPr>
          <w:p>
            <w:pPr>
              <w:jc w:val="right"/>
              <w:ind w:right="189"/>
              <w:spacing w:after="0" w:line="95" w:lineRule="exact"/>
              <w:rPr>
                <w:sz w:val="20"/>
                <w:szCs w:val="20"/>
                <w:color w:val="auto"/>
              </w:rPr>
            </w:pPr>
            <w:r>
              <w:rPr>
                <w:rFonts w:ascii="Arial" w:cs="Arial" w:eastAsia="Arial" w:hAnsi="Arial"/>
                <w:sz w:val="10"/>
                <w:szCs w:val="10"/>
                <w:color w:val="auto"/>
              </w:rPr>
              <w:t>U.S.</w:t>
            </w:r>
          </w:p>
        </w:tc>
        <w:tc>
          <w:tcPr>
            <w:tcW w:w="400" w:type="dxa"/>
            <w:vAlign w:val="bottom"/>
          </w:tcPr>
          <w:p>
            <w:pPr>
              <w:spacing w:after="0"/>
              <w:rPr>
                <w:sz w:val="8"/>
                <w:szCs w:val="8"/>
                <w:color w:val="auto"/>
              </w:rPr>
            </w:pPr>
          </w:p>
        </w:tc>
        <w:tc>
          <w:tcPr>
            <w:tcW w:w="6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Int’l.</w:t>
            </w:r>
          </w:p>
        </w:tc>
        <w:tc>
          <w:tcPr>
            <w:tcW w:w="400" w:type="dxa"/>
            <w:vAlign w:val="bottom"/>
          </w:tcPr>
          <w:p>
            <w:pPr>
              <w:spacing w:after="0"/>
              <w:rPr>
                <w:sz w:val="8"/>
                <w:szCs w:val="8"/>
                <w:color w:val="auto"/>
              </w:rPr>
            </w:pPr>
          </w:p>
        </w:tc>
        <w:tc>
          <w:tcPr>
            <w:tcW w:w="38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40" w:type="dxa"/>
            <w:vAlign w:val="bottom"/>
            <w:tcBorders>
              <w:top w:val="single" w:sz="8" w:color="0077C0"/>
            </w:tcBorders>
          </w:tcPr>
          <w:p>
            <w:pPr>
              <w:spacing w:after="0" w:line="91" w:lineRule="exact"/>
              <w:rPr>
                <w:sz w:val="20"/>
                <w:szCs w:val="20"/>
                <w:color w:val="auto"/>
              </w:rPr>
            </w:pPr>
            <w:r>
              <w:rPr>
                <w:rFonts w:ascii="Arial" w:cs="Arial" w:eastAsia="Arial" w:hAnsi="Arial"/>
                <w:sz w:val="10"/>
                <w:szCs w:val="10"/>
                <w:color w:val="auto"/>
              </w:rPr>
              <w:t>Upstream – Exploration and Production</w:t>
            </w:r>
          </w:p>
        </w:tc>
        <w:tc>
          <w:tcPr>
            <w:tcW w:w="200" w:type="dxa"/>
            <w:vAlign w:val="bottom"/>
            <w:tcBorders>
              <w:top w:val="single" w:sz="8" w:color="0077C0"/>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5,516</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11,944</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right w:val="single" w:sz="8" w:color="0077C0"/>
            </w:tcBorders>
          </w:tcPr>
          <w:p>
            <w:pPr>
              <w:jc w:val="right"/>
              <w:ind w:right="190"/>
              <w:spacing w:after="0" w:line="91" w:lineRule="exact"/>
              <w:rPr>
                <w:sz w:val="20"/>
                <w:szCs w:val="20"/>
                <w:color w:val="auto"/>
              </w:rPr>
            </w:pPr>
            <w:r>
              <w:rPr>
                <w:rFonts w:ascii="Arial" w:cs="Arial" w:eastAsia="Arial" w:hAnsi="Arial"/>
                <w:sz w:val="10"/>
                <w:szCs w:val="10"/>
                <w:b w:val="1"/>
                <w:bCs w:val="1"/>
                <w:color w:val="auto"/>
              </w:rPr>
              <w:t>17,460</w:t>
            </w:r>
          </w:p>
        </w:tc>
        <w:tc>
          <w:tcPr>
            <w:tcW w:w="32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color w:val="auto"/>
              </w:rPr>
              <w:t>4,558</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color w:val="auto"/>
              </w:rPr>
              <w:t>10,980</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right w:val="single" w:sz="8" w:color="0077C0"/>
            </w:tcBorders>
          </w:tcPr>
          <w:p>
            <w:pPr>
              <w:jc w:val="right"/>
              <w:ind w:right="190"/>
              <w:spacing w:after="0" w:line="91" w:lineRule="exact"/>
              <w:rPr>
                <w:sz w:val="20"/>
                <w:szCs w:val="20"/>
                <w:color w:val="auto"/>
              </w:rPr>
            </w:pPr>
            <w:r>
              <w:rPr>
                <w:rFonts w:ascii="Arial" w:cs="Arial" w:eastAsia="Arial" w:hAnsi="Arial"/>
                <w:sz w:val="10"/>
                <w:szCs w:val="10"/>
                <w:color w:val="auto"/>
              </w:rPr>
              <w:t>15,538</w:t>
            </w:r>
          </w:p>
        </w:tc>
        <w:tc>
          <w:tcPr>
            <w:tcW w:w="32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color w:val="auto"/>
              </w:rPr>
              <w:t>4,123</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color w:val="auto"/>
              </w:rPr>
              <w:t>8,696</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0077C0"/>
            </w:tcBorders>
            <w:gridSpan w:val="2"/>
          </w:tcPr>
          <w:p>
            <w:pPr>
              <w:jc w:val="right"/>
              <w:ind w:right="20"/>
              <w:spacing w:after="0" w:line="91" w:lineRule="exact"/>
              <w:rPr>
                <w:sz w:val="20"/>
                <w:szCs w:val="20"/>
                <w:color w:val="auto"/>
              </w:rPr>
            </w:pPr>
            <w:r>
              <w:rPr>
                <w:rFonts w:ascii="Arial" w:cs="Arial" w:eastAsia="Arial" w:hAnsi="Arial"/>
                <w:sz w:val="10"/>
                <w:szCs w:val="10"/>
                <w:color w:val="auto"/>
              </w:rPr>
              <w:t>12,819</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Downstream – Refining, Marketing and Transportation</w:t>
            </w:r>
          </w:p>
        </w:tc>
        <w:tc>
          <w:tcPr>
            <w:tcW w:w="20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2,182</w:t>
            </w:r>
          </w:p>
        </w:tc>
        <w:tc>
          <w:tcPr>
            <w:tcW w:w="40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2,023</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4,205</w:t>
            </w:r>
          </w:p>
        </w:tc>
        <w:tc>
          <w:tcPr>
            <w:tcW w:w="32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1,576</w:t>
            </w:r>
          </w:p>
        </w:tc>
        <w:tc>
          <w:tcPr>
            <w:tcW w:w="40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1,867</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color w:val="auto"/>
              </w:rPr>
              <w:t>3,443</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1,176</w:t>
            </w:r>
          </w:p>
        </w:tc>
        <w:tc>
          <w:tcPr>
            <w:tcW w:w="40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1,999</w:t>
            </w:r>
          </w:p>
        </w:tc>
        <w:tc>
          <w:tcPr>
            <w:tcW w:w="40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3,175</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Chemicals</w:t>
            </w:r>
          </w:p>
        </w:tc>
        <w:tc>
          <w:tcPr>
            <w:tcW w:w="20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407</w:t>
            </w:r>
          </w:p>
        </w:tc>
        <w:tc>
          <w:tcPr>
            <w:tcW w:w="40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78</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485</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218</w:t>
            </w:r>
          </w:p>
        </w:tc>
        <w:tc>
          <w:tcPr>
            <w:tcW w:w="40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53</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color w:val="auto"/>
              </w:rPr>
              <w:t>271</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146</w:t>
            </w:r>
          </w:p>
        </w:tc>
        <w:tc>
          <w:tcPr>
            <w:tcW w:w="40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54</w:t>
            </w:r>
          </w:p>
        </w:tc>
        <w:tc>
          <w:tcPr>
            <w:tcW w:w="4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200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All Other</w:t>
            </w:r>
          </w:p>
        </w:tc>
        <w:tc>
          <w:tcPr>
            <w:tcW w:w="20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618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7</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625</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768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6</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right w:val="single" w:sz="8" w:color="0077C0"/>
            </w:tcBorders>
          </w:tcPr>
          <w:p>
            <w:pPr>
              <w:jc w:val="right"/>
              <w:ind w:right="190"/>
              <w:spacing w:after="0"/>
              <w:rPr>
                <w:sz w:val="20"/>
                <w:szCs w:val="20"/>
                <w:color w:val="auto"/>
              </w:rPr>
            </w:pPr>
            <w:r>
              <w:rPr>
                <w:rFonts w:ascii="Arial" w:cs="Arial" w:eastAsia="Arial" w:hAnsi="Arial"/>
                <w:sz w:val="10"/>
                <w:szCs w:val="10"/>
                <w:color w:val="auto"/>
              </w:rPr>
              <w:t>774</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403</w:t>
            </w:r>
          </w:p>
        </w:tc>
        <w:tc>
          <w:tcPr>
            <w:tcW w:w="40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14</w:t>
            </w:r>
          </w:p>
        </w:tc>
        <w:tc>
          <w:tcPr>
            <w:tcW w:w="4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76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Total</w:t>
            </w:r>
          </w:p>
        </w:tc>
        <w:tc>
          <w:tcPr>
            <w:tcW w:w="200" w:type="dxa"/>
            <w:vAlign w:val="bottom"/>
            <w:tcBorders>
              <w:bottom w:val="single" w:sz="8" w:color="0077C0"/>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8,723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14,052</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right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22,775</w:t>
            </w:r>
          </w:p>
        </w:tc>
        <w:tc>
          <w:tcPr>
            <w:tcW w:w="3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7,120</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12,906</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right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20,026</w:t>
            </w:r>
          </w:p>
        </w:tc>
        <w:tc>
          <w:tcPr>
            <w:tcW w:w="3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5,848</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10,763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16,611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line="105" w:lineRule="exact"/>
              <w:rPr>
                <w:sz w:val="20"/>
                <w:szCs w:val="20"/>
                <w:color w:val="auto"/>
              </w:rPr>
            </w:pPr>
            <w:r>
              <w:rPr>
                <w:rFonts w:ascii="Arial" w:cs="Arial" w:eastAsia="Arial" w:hAnsi="Arial"/>
                <w:sz w:val="10"/>
                <w:szCs w:val="10"/>
                <w:color w:val="auto"/>
              </w:rPr>
              <w:t>Total, Excluding Equity in Affiliates</w:t>
            </w:r>
          </w:p>
        </w:tc>
        <w:tc>
          <w:tcPr>
            <w:tcW w:w="200" w:type="dxa"/>
            <w:vAlign w:val="bottom"/>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ind w:right="169"/>
              <w:spacing w:after="0" w:line="105" w:lineRule="exact"/>
              <w:rPr>
                <w:sz w:val="20"/>
                <w:szCs w:val="20"/>
                <w:color w:val="auto"/>
              </w:rPr>
            </w:pPr>
            <w:r>
              <w:rPr>
                <w:rFonts w:ascii="Arial" w:cs="Arial" w:eastAsia="Arial" w:hAnsi="Arial"/>
                <w:sz w:val="10"/>
                <w:szCs w:val="10"/>
                <w:b w:val="1"/>
                <w:bCs w:val="1"/>
                <w:color w:val="auto"/>
              </w:rPr>
              <w:t>8,241</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189"/>
              <w:spacing w:after="0" w:line="105" w:lineRule="exact"/>
              <w:rPr>
                <w:sz w:val="20"/>
                <w:szCs w:val="20"/>
                <w:color w:val="auto"/>
              </w:rPr>
            </w:pPr>
            <w:r>
              <w:rPr>
                <w:rFonts w:ascii="Arial" w:cs="Arial" w:eastAsia="Arial" w:hAnsi="Arial"/>
                <w:sz w:val="10"/>
                <w:szCs w:val="10"/>
                <w:b w:val="1"/>
                <w:bCs w:val="1"/>
                <w:color w:val="auto"/>
              </w:rPr>
              <w:t>12,228</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right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20,469</w:t>
            </w:r>
          </w:p>
        </w:tc>
        <w:tc>
          <w:tcPr>
            <w:tcW w:w="32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6,900</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10,790</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right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17,690</w:t>
            </w:r>
          </w:p>
        </w:tc>
        <w:tc>
          <w:tcPr>
            <w:tcW w:w="32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5,642</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9,050</w:t>
            </w:r>
          </w:p>
        </w:tc>
        <w:tc>
          <w:tcPr>
            <w:tcW w:w="40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105" w:lineRule="exact"/>
              <w:rPr>
                <w:sz w:val="20"/>
                <w:szCs w:val="20"/>
                <w:color w:val="auto"/>
              </w:rPr>
            </w:pPr>
            <w:r>
              <w:rPr>
                <w:rFonts w:ascii="Arial" w:cs="Arial" w:eastAsia="Arial" w:hAnsi="Arial"/>
                <w:sz w:val="10"/>
                <w:szCs w:val="10"/>
                <w:color w:val="auto"/>
              </w:rPr>
              <w:t>14,692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40" w:type="dxa"/>
            <w:vAlign w:val="bottom"/>
            <w:shd w:val="clear" w:color="auto" w:fill="0077C0"/>
          </w:tcPr>
          <w:p>
            <w:pPr>
              <w:spacing w:after="0"/>
              <w:rPr>
                <w:sz w:val="2"/>
                <w:szCs w:val="2"/>
                <w:color w:val="auto"/>
              </w:rPr>
            </w:pPr>
          </w:p>
        </w:tc>
        <w:tc>
          <w:tcPr>
            <w:tcW w:w="200" w:type="dxa"/>
            <w:vAlign w:val="bottom"/>
            <w:shd w:val="clear" w:color="auto" w:fill="0077C0"/>
          </w:tcPr>
          <w:p>
            <w:pPr>
              <w:spacing w:after="0"/>
              <w:rPr>
                <w:sz w:val="2"/>
                <w:szCs w:val="2"/>
                <w:color w:val="auto"/>
              </w:rPr>
            </w:pPr>
          </w:p>
        </w:tc>
        <w:tc>
          <w:tcPr>
            <w:tcW w:w="60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64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64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60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64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64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60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62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80"/>
          </w:cols>
          <w:pgMar w:left="220" w:top="338" w:right="199" w:bottom="1440" w:gutter="0" w:footer="0" w:header="0"/>
        </w:sectPr>
      </w:pPr>
    </w:p>
    <w:p>
      <w:pPr>
        <w:spacing w:after="0" w:line="89" w:lineRule="exact"/>
        <w:rPr>
          <w:sz w:val="20"/>
          <w:szCs w:val="20"/>
          <w:color w:val="auto"/>
        </w:rPr>
      </w:pPr>
    </w:p>
    <w:p>
      <w:pPr>
        <w:ind w:right="60" w:firstLine="192"/>
        <w:spacing w:after="0" w:line="288" w:lineRule="auto"/>
        <w:rPr>
          <w:sz w:val="20"/>
          <w:szCs w:val="20"/>
          <w:color w:val="auto"/>
        </w:rPr>
      </w:pPr>
      <w:r>
        <w:rPr>
          <w:rFonts w:ascii="Arial" w:cs="Arial" w:eastAsia="Arial" w:hAnsi="Arial"/>
          <w:sz w:val="12"/>
          <w:szCs w:val="12"/>
          <w:color w:val="auto"/>
        </w:rPr>
        <w:t>Worldwide downstream spending in 2009 is estimated at $4.3 billion, with about $2.0 billion for projects in the United States. Capital projects include upgrades to refineries in the United States and South Korea and construction of a gas-to-liquids facility in support of associated upstream projects.</w:t>
      </w:r>
    </w:p>
    <w:p>
      <w:pPr>
        <w:spacing w:after="0" w:line="89" w:lineRule="exact"/>
        <w:rPr>
          <w:sz w:val="20"/>
          <w:szCs w:val="20"/>
          <w:color w:val="auto"/>
        </w:rPr>
      </w:pPr>
    </w:p>
    <w:p>
      <w:pPr>
        <w:ind w:right="120" w:firstLine="160"/>
        <w:spacing w:after="0" w:line="272" w:lineRule="auto"/>
        <w:rPr>
          <w:sz w:val="20"/>
          <w:szCs w:val="20"/>
          <w:color w:val="auto"/>
        </w:rPr>
      </w:pPr>
      <w:r>
        <w:rPr>
          <w:rFonts w:ascii="Arial" w:cs="Arial" w:eastAsia="Arial" w:hAnsi="Arial"/>
          <w:sz w:val="12"/>
          <w:szCs w:val="12"/>
          <w:color w:val="auto"/>
        </w:rPr>
        <w:t>Investments in chemicals, technology and other corporate businesses in 2009 are budgeted at $1.0 billion. Technology investments include projects related to unconventional hydrocarbon technologies, oil and gas reservoir management, and gas-fired and renewable power generation.</w:t>
      </w:r>
    </w:p>
    <w:p>
      <w:pPr>
        <w:ind w:right="80" w:firstLine="160"/>
        <w:spacing w:after="0" w:line="302" w:lineRule="auto"/>
        <w:rPr>
          <w:sz w:val="20"/>
          <w:szCs w:val="20"/>
          <w:color w:val="auto"/>
        </w:rPr>
      </w:pPr>
      <w:r>
        <w:rPr>
          <w:rFonts w:ascii="Arial" w:cs="Arial" w:eastAsia="Arial" w:hAnsi="Arial"/>
          <w:sz w:val="11"/>
          <w:szCs w:val="11"/>
          <w:i w:val="1"/>
          <w:iCs w:val="1"/>
          <w:color w:val="E51837"/>
        </w:rPr>
        <w:t xml:space="preserve">Pension Obligations </w:t>
      </w:r>
      <w:r>
        <w:rPr>
          <w:rFonts w:ascii="Arial" w:cs="Arial" w:eastAsia="Arial" w:hAnsi="Arial"/>
          <w:sz w:val="11"/>
          <w:szCs w:val="11"/>
          <w:color w:val="000000"/>
        </w:rPr>
        <w:t>In 2008, the company’s pension plan contributions were $839 million (including</w:t>
      </w:r>
      <w:r>
        <w:rPr>
          <w:rFonts w:ascii="Arial" w:cs="Arial" w:eastAsia="Arial" w:hAnsi="Arial"/>
          <w:sz w:val="11"/>
          <w:szCs w:val="11"/>
          <w:i w:val="1"/>
          <w:iCs w:val="1"/>
          <w:color w:val="E51837"/>
        </w:rPr>
        <w:t xml:space="preserve"> </w:t>
      </w:r>
      <w:r>
        <w:rPr>
          <w:rFonts w:ascii="Arial" w:cs="Arial" w:eastAsia="Arial" w:hAnsi="Arial"/>
          <w:sz w:val="11"/>
          <w:szCs w:val="11"/>
          <w:color w:val="000000"/>
        </w:rPr>
        <w:t>$577 million to the U.S. plans). The company estimates contributions in 2009 will be approximately $800 million. Actual contribution amounts are dependent upon plan-investment results, changes in pension obligations, regulatory requirements and other economic factors. Additional funding may be required if investment returns are insufficient to offset increases in plan obligations. Refer also to the discussion of pension accounting in “Critical Accounting Estimates and Assumptions,” beginning on page FS-18.</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Ratios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Ratios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0"/>
                <w:szCs w:val="10"/>
                <w:color w:val="auto"/>
              </w:rPr>
              <w:t>At December 31</w:t>
            </w:r>
          </w:p>
        </w:tc>
      </w:tr>
      <w:tr>
        <w:trPr>
          <w:trHeight w:val="95"/>
        </w:trPr>
        <w:tc>
          <w:tcPr>
            <w:tcW w:w="3800" w:type="dxa"/>
            <w:vAlign w:val="bottom"/>
            <w:tcBorders>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jc w:val="right"/>
              <w:ind w:right="170"/>
              <w:spacing w:after="0" w:line="95"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0077C0"/>
              <w:bottom w:val="single" w:sz="8" w:color="0077C0"/>
            </w:tcBorders>
          </w:tcPr>
          <w:p>
            <w:pPr>
              <w:jc w:val="right"/>
              <w:ind w:right="230"/>
              <w:spacing w:after="0" w:line="95" w:lineRule="exact"/>
              <w:rPr>
                <w:sz w:val="20"/>
                <w:szCs w:val="20"/>
                <w:color w:val="auto"/>
              </w:rPr>
            </w:pPr>
            <w:r>
              <w:rPr>
                <w:rFonts w:ascii="Arial" w:cs="Arial" w:eastAsia="Arial" w:hAnsi="Arial"/>
                <w:sz w:val="10"/>
                <w:szCs w:val="10"/>
                <w:color w:val="auto"/>
              </w:rPr>
              <w:t>2007</w:t>
            </w:r>
          </w:p>
        </w:tc>
        <w:tc>
          <w:tcPr>
            <w:tcW w:w="40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80" w:type="dxa"/>
            <w:vAlign w:val="bottom"/>
          </w:tcPr>
          <w:p>
            <w:pPr>
              <w:spacing w:after="0"/>
              <w:rPr>
                <w:sz w:val="8"/>
                <w:szCs w:val="8"/>
                <w:color w:val="auto"/>
              </w:rPr>
            </w:pPr>
          </w:p>
        </w:tc>
      </w:tr>
      <w:tr>
        <w:trPr>
          <w:trHeight w:val="90"/>
        </w:trPr>
        <w:tc>
          <w:tcPr>
            <w:tcW w:w="3800" w:type="dxa"/>
            <w:vAlign w:val="bottom"/>
          </w:tcPr>
          <w:p>
            <w:pPr>
              <w:spacing w:after="0" w:line="91" w:lineRule="exact"/>
              <w:rPr>
                <w:sz w:val="20"/>
                <w:szCs w:val="20"/>
                <w:color w:val="auto"/>
              </w:rPr>
            </w:pPr>
            <w:r>
              <w:rPr>
                <w:rFonts w:ascii="Arial" w:cs="Arial" w:eastAsia="Arial" w:hAnsi="Arial"/>
                <w:sz w:val="10"/>
                <w:szCs w:val="10"/>
                <w:color w:val="auto"/>
              </w:rPr>
              <w:t>Current Ratio</w:t>
            </w:r>
          </w:p>
        </w:tc>
        <w:tc>
          <w:tcPr>
            <w:tcW w:w="540" w:type="dxa"/>
            <w:vAlign w:val="bottom"/>
            <w:tcBorders>
              <w:right w:val="single" w:sz="8" w:color="0077C0"/>
            </w:tcBorders>
          </w:tcPr>
          <w:p>
            <w:pPr>
              <w:jc w:val="right"/>
              <w:ind w:right="170"/>
              <w:spacing w:after="0" w:line="91" w:lineRule="exact"/>
              <w:rPr>
                <w:sz w:val="20"/>
                <w:szCs w:val="20"/>
                <w:color w:val="auto"/>
              </w:rPr>
            </w:pPr>
            <w:r>
              <w:rPr>
                <w:rFonts w:ascii="Arial" w:cs="Arial" w:eastAsia="Arial" w:hAnsi="Arial"/>
                <w:sz w:val="10"/>
                <w:szCs w:val="10"/>
                <w:b w:val="1"/>
                <w:bCs w:val="1"/>
                <w:color w:val="auto"/>
              </w:rPr>
              <w:t>1.1</w:t>
            </w:r>
          </w:p>
        </w:tc>
        <w:tc>
          <w:tcPr>
            <w:tcW w:w="680" w:type="dxa"/>
            <w:vAlign w:val="bottom"/>
          </w:tcPr>
          <w:p>
            <w:pPr>
              <w:jc w:val="right"/>
              <w:ind w:right="230"/>
              <w:spacing w:after="0" w:line="91" w:lineRule="exact"/>
              <w:rPr>
                <w:sz w:val="20"/>
                <w:szCs w:val="20"/>
                <w:color w:val="auto"/>
              </w:rPr>
            </w:pPr>
            <w:r>
              <w:rPr>
                <w:rFonts w:ascii="Arial" w:cs="Arial" w:eastAsia="Arial" w:hAnsi="Arial"/>
                <w:sz w:val="10"/>
                <w:szCs w:val="10"/>
                <w:color w:val="auto"/>
              </w:rPr>
              <w:t>1.2</w:t>
            </w:r>
          </w:p>
        </w:tc>
        <w:tc>
          <w:tcPr>
            <w:tcW w:w="400" w:type="dxa"/>
            <w:vAlign w:val="bottom"/>
          </w:tcPr>
          <w:p>
            <w:pPr>
              <w:jc w:val="right"/>
              <w:spacing w:after="0" w:line="91" w:lineRule="exact"/>
              <w:rPr>
                <w:sz w:val="20"/>
                <w:szCs w:val="20"/>
                <w:color w:val="auto"/>
              </w:rPr>
            </w:pPr>
            <w:r>
              <w:rPr>
                <w:rFonts w:ascii="Arial" w:cs="Arial" w:eastAsia="Arial" w:hAnsi="Arial"/>
                <w:sz w:val="10"/>
                <w:szCs w:val="10"/>
                <w:color w:val="auto"/>
              </w:rPr>
              <w:t>1.3</w:t>
            </w:r>
          </w:p>
        </w:tc>
        <w:tc>
          <w:tcPr>
            <w:tcW w:w="80" w:type="dxa"/>
            <w:vAlign w:val="bottom"/>
          </w:tcPr>
          <w:p>
            <w:pPr>
              <w:spacing w:after="0"/>
              <w:rPr>
                <w:sz w:val="7"/>
                <w:szCs w:val="7"/>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Interest Coverage Ratio</w:t>
            </w:r>
          </w:p>
        </w:tc>
        <w:tc>
          <w:tcPr>
            <w:tcW w:w="540" w:type="dxa"/>
            <w:vAlign w:val="bottom"/>
            <w:tcBorders>
              <w:right w:val="single" w:sz="8" w:color="0077C0"/>
            </w:tcBorders>
          </w:tcPr>
          <w:p>
            <w:pPr>
              <w:jc w:val="right"/>
              <w:ind w:right="170"/>
              <w:spacing w:after="0" w:line="106" w:lineRule="exact"/>
              <w:rPr>
                <w:sz w:val="20"/>
                <w:szCs w:val="20"/>
                <w:color w:val="auto"/>
              </w:rPr>
            </w:pPr>
            <w:r>
              <w:rPr>
                <w:rFonts w:ascii="Arial" w:cs="Arial" w:eastAsia="Arial" w:hAnsi="Arial"/>
                <w:sz w:val="10"/>
                <w:szCs w:val="10"/>
                <w:b w:val="1"/>
                <w:bCs w:val="1"/>
                <w:color w:val="auto"/>
              </w:rPr>
              <w:t>166.9</w:t>
            </w:r>
          </w:p>
        </w:tc>
        <w:tc>
          <w:tcPr>
            <w:tcW w:w="680" w:type="dxa"/>
            <w:vAlign w:val="bottom"/>
          </w:tcPr>
          <w:p>
            <w:pPr>
              <w:jc w:val="right"/>
              <w:ind w:right="230"/>
              <w:spacing w:after="0" w:line="106" w:lineRule="exact"/>
              <w:rPr>
                <w:sz w:val="20"/>
                <w:szCs w:val="20"/>
                <w:color w:val="auto"/>
              </w:rPr>
            </w:pPr>
            <w:r>
              <w:rPr>
                <w:rFonts w:ascii="Arial" w:cs="Arial" w:eastAsia="Arial" w:hAnsi="Arial"/>
                <w:sz w:val="10"/>
                <w:szCs w:val="10"/>
                <w:color w:val="auto"/>
              </w:rPr>
              <w:t>69.2</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53.5</w:t>
            </w:r>
          </w:p>
        </w:tc>
        <w:tc>
          <w:tcPr>
            <w:tcW w:w="80" w:type="dxa"/>
            <w:vAlign w:val="bottom"/>
          </w:tcPr>
          <w:p>
            <w:pPr>
              <w:spacing w:after="0"/>
              <w:rPr>
                <w:sz w:val="9"/>
                <w:szCs w:val="9"/>
                <w:color w:val="auto"/>
              </w:rPr>
            </w:pPr>
          </w:p>
        </w:tc>
      </w:tr>
      <w:tr>
        <w:trPr>
          <w:trHeight w:val="120"/>
        </w:trPr>
        <w:tc>
          <w:tcPr>
            <w:tcW w:w="3800" w:type="dxa"/>
            <w:vAlign w:val="bottom"/>
          </w:tcPr>
          <w:p>
            <w:pPr>
              <w:spacing w:after="0"/>
              <w:rPr>
                <w:sz w:val="20"/>
                <w:szCs w:val="20"/>
                <w:color w:val="auto"/>
              </w:rPr>
            </w:pPr>
            <w:r>
              <w:rPr>
                <w:rFonts w:ascii="Arial" w:cs="Arial" w:eastAsia="Arial" w:hAnsi="Arial"/>
                <w:sz w:val="10"/>
                <w:szCs w:val="10"/>
                <w:color w:val="auto"/>
              </w:rPr>
              <w:t>Debt Ratio</w:t>
            </w:r>
          </w:p>
        </w:tc>
        <w:tc>
          <w:tcPr>
            <w:tcW w:w="540" w:type="dxa"/>
            <w:vAlign w:val="bottom"/>
            <w:tcBorders>
              <w:right w:val="single" w:sz="8" w:color="0077C0"/>
            </w:tcBorders>
          </w:tcPr>
          <w:p>
            <w:pPr>
              <w:jc w:val="right"/>
              <w:ind w:right="70"/>
              <w:spacing w:after="0"/>
              <w:rPr>
                <w:sz w:val="20"/>
                <w:szCs w:val="20"/>
                <w:color w:val="auto"/>
              </w:rPr>
            </w:pPr>
            <w:r>
              <w:rPr>
                <w:rFonts w:ascii="Arial" w:cs="Arial" w:eastAsia="Arial" w:hAnsi="Arial"/>
                <w:sz w:val="10"/>
                <w:szCs w:val="10"/>
                <w:b w:val="1"/>
                <w:bCs w:val="1"/>
                <w:color w:val="auto"/>
              </w:rPr>
              <w:t>9.3%</w:t>
            </w:r>
          </w:p>
        </w:tc>
        <w:tc>
          <w:tcPr>
            <w:tcW w:w="680" w:type="dxa"/>
            <w:vAlign w:val="bottom"/>
          </w:tcPr>
          <w:p>
            <w:pPr>
              <w:jc w:val="right"/>
              <w:ind w:right="130"/>
              <w:spacing w:after="0"/>
              <w:rPr>
                <w:sz w:val="20"/>
                <w:szCs w:val="20"/>
                <w:color w:val="auto"/>
              </w:rPr>
            </w:pPr>
            <w:r>
              <w:rPr>
                <w:rFonts w:ascii="Arial" w:cs="Arial" w:eastAsia="Arial" w:hAnsi="Arial"/>
                <w:sz w:val="10"/>
                <w:szCs w:val="10"/>
                <w:color w:val="auto"/>
              </w:rPr>
              <w:t>8.6%</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12.5%</w:t>
            </w:r>
          </w:p>
        </w:tc>
      </w:tr>
      <w:tr>
        <w:trPr>
          <w:trHeight w:val="29"/>
        </w:trPr>
        <w:tc>
          <w:tcPr>
            <w:tcW w:w="3800" w:type="dxa"/>
            <w:vAlign w:val="bottom"/>
            <w:shd w:val="clear" w:color="auto" w:fill="0077C0"/>
          </w:tcPr>
          <w:p>
            <w:pPr>
              <w:spacing w:after="0"/>
              <w:rPr>
                <w:sz w:val="2"/>
                <w:szCs w:val="2"/>
                <w:color w:val="auto"/>
              </w:rPr>
            </w:pPr>
          </w:p>
        </w:tc>
        <w:tc>
          <w:tcPr>
            <w:tcW w:w="540" w:type="dxa"/>
            <w:vAlign w:val="bottom"/>
            <w:tcBorders>
              <w:right w:val="single" w:sz="8" w:color="0077C0"/>
            </w:tcBorders>
            <w:shd w:val="clear" w:color="auto" w:fill="0077C0"/>
          </w:tcPr>
          <w:p>
            <w:pPr>
              <w:spacing w:after="0"/>
              <w:rPr>
                <w:sz w:val="2"/>
                <w:szCs w:val="2"/>
                <w:color w:val="auto"/>
              </w:rPr>
            </w:pPr>
          </w:p>
        </w:tc>
        <w:tc>
          <w:tcPr>
            <w:tcW w:w="68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80" w:type="dxa"/>
            <w:vAlign w:val="bottom"/>
          </w:tcPr>
          <w:p>
            <w:pPr>
              <w:spacing w:after="0"/>
              <w:rPr>
                <w:sz w:val="2"/>
                <w:szCs w:val="2"/>
                <w:color w:val="auto"/>
              </w:rPr>
            </w:pPr>
          </w:p>
        </w:tc>
      </w:tr>
    </w:tbl>
    <w:p>
      <w:pPr>
        <w:spacing w:after="0" w:line="126" w:lineRule="exact"/>
        <w:rPr>
          <w:sz w:val="20"/>
          <w:szCs w:val="20"/>
          <w:color w:val="auto"/>
        </w:rPr>
      </w:pPr>
    </w:p>
    <w:p>
      <w:pPr>
        <w:ind w:right="100" w:firstLine="160"/>
        <w:spacing w:after="0" w:line="253" w:lineRule="auto"/>
        <w:rPr>
          <w:sz w:val="20"/>
          <w:szCs w:val="20"/>
          <w:color w:val="auto"/>
        </w:rPr>
      </w:pPr>
      <w:r>
        <w:rPr>
          <w:rFonts w:ascii="Arial" w:cs="Arial" w:eastAsia="Arial" w:hAnsi="Arial"/>
          <w:sz w:val="13"/>
          <w:szCs w:val="13"/>
          <w:i w:val="1"/>
          <w:iCs w:val="1"/>
          <w:color w:val="E51837"/>
        </w:rPr>
        <w:t xml:space="preserve">Current Ratio </w:t>
      </w:r>
      <w:r>
        <w:rPr>
          <w:rFonts w:ascii="Arial" w:cs="Arial" w:eastAsia="Arial" w:hAnsi="Arial"/>
          <w:sz w:val="13"/>
          <w:szCs w:val="13"/>
          <w:color w:val="000000"/>
        </w:rPr>
        <w:t>– current assets divided by current liabilities. The current ratio in all periods was</w:t>
      </w:r>
      <w:r>
        <w:rPr>
          <w:rFonts w:ascii="Arial" w:cs="Arial" w:eastAsia="Arial" w:hAnsi="Arial"/>
          <w:sz w:val="13"/>
          <w:szCs w:val="13"/>
          <w:i w:val="1"/>
          <w:iCs w:val="1"/>
          <w:color w:val="E51837"/>
        </w:rPr>
        <w:t xml:space="preserve"> </w:t>
      </w:r>
      <w:r>
        <w:rPr>
          <w:rFonts w:ascii="Arial" w:cs="Arial" w:eastAsia="Arial" w:hAnsi="Arial"/>
          <w:sz w:val="13"/>
          <w:szCs w:val="13"/>
          <w:color w:val="000000"/>
        </w:rPr>
        <w:t>adversely affected by the fact that Chevron’s inventories are valued on a Last-In, First-Out basis. At year-end 2008, the book value of inventory was lower than replacement costs, based on average acquisition costs during the year, by approximately $9 billion.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860" w:right="40" w:firstLine="160"/>
        <w:spacing w:after="0" w:line="301" w:lineRule="auto"/>
        <w:rPr>
          <w:sz w:val="20"/>
          <w:szCs w:val="20"/>
          <w:color w:val="auto"/>
        </w:rPr>
      </w:pPr>
      <w:r>
        <w:rPr>
          <w:rFonts w:ascii="Arial" w:cs="Arial" w:eastAsia="Arial" w:hAnsi="Arial"/>
          <w:sz w:val="11"/>
          <w:szCs w:val="11"/>
          <w:i w:val="1"/>
          <w:iCs w:val="1"/>
          <w:color w:val="E51837"/>
        </w:rPr>
        <w:t xml:space="preserve">Interest Coverage Ratio </w:t>
      </w:r>
      <w:r>
        <w:rPr>
          <w:rFonts w:ascii="Arial" w:cs="Arial" w:eastAsia="Arial" w:hAnsi="Arial"/>
          <w:sz w:val="11"/>
          <w:szCs w:val="11"/>
          <w:color w:val="000000"/>
        </w:rPr>
        <w:t>– income before</w:t>
      </w:r>
      <w:r>
        <w:rPr>
          <w:rFonts w:ascii="Arial" w:cs="Arial" w:eastAsia="Arial" w:hAnsi="Arial"/>
          <w:sz w:val="11"/>
          <w:szCs w:val="11"/>
          <w:i w:val="1"/>
          <w:iCs w:val="1"/>
          <w:color w:val="E51837"/>
        </w:rPr>
        <w:t xml:space="preserve"> </w:t>
      </w:r>
      <w:r>
        <w:rPr>
          <w:rFonts w:ascii="Arial" w:cs="Arial" w:eastAsia="Arial" w:hAnsi="Arial"/>
          <w:sz w:val="11"/>
          <w:szCs w:val="11"/>
          <w:color w:val="000000"/>
        </w:rPr>
        <w:t>income tax expense, plus interest and debt expense and amortization of capitalized interest, divided by before-tax interest costs. The company’s interest coverage ratio was higher between 2007 and 2008 and between 2006 and 2007, primarily due to higher before-tax income and lower average debt balances in each of the subsequent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1019175" cy="19894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9175" cy="1989455"/>
                    </a:xfrm>
                    <a:prstGeom prst="rect">
                      <a:avLst/>
                    </a:prstGeom>
                    <a:noFill/>
                  </pic:spPr>
                </pic:pic>
              </a:graphicData>
            </a:graphic>
          </wp:anchor>
        </w:drawing>
      </w:r>
    </w:p>
    <w:p>
      <w:pPr>
        <w:spacing w:after="0" w:line="66" w:lineRule="exact"/>
        <w:rPr>
          <w:sz w:val="20"/>
          <w:szCs w:val="20"/>
          <w:color w:val="auto"/>
        </w:rPr>
      </w:pPr>
    </w:p>
    <w:p>
      <w:pPr>
        <w:ind w:left="2860" w:right="60" w:firstLine="160"/>
        <w:spacing w:after="0" w:line="308" w:lineRule="auto"/>
        <w:rPr>
          <w:sz w:val="20"/>
          <w:szCs w:val="20"/>
          <w:color w:val="auto"/>
        </w:rPr>
      </w:pPr>
      <w:r>
        <w:rPr>
          <w:rFonts w:ascii="Arial" w:cs="Arial" w:eastAsia="Arial" w:hAnsi="Arial"/>
          <w:sz w:val="11"/>
          <w:szCs w:val="11"/>
          <w:i w:val="1"/>
          <w:iCs w:val="1"/>
          <w:color w:val="E51837"/>
        </w:rPr>
        <w:t xml:space="preserve">Debt Ratio </w:t>
      </w:r>
      <w:r>
        <w:rPr>
          <w:rFonts w:ascii="Arial" w:cs="Arial" w:eastAsia="Arial" w:hAnsi="Arial"/>
          <w:sz w:val="11"/>
          <w:szCs w:val="11"/>
          <w:color w:val="000000"/>
        </w:rPr>
        <w:t>– total debt as a percentage of total</w:t>
      </w:r>
      <w:r>
        <w:rPr>
          <w:rFonts w:ascii="Arial" w:cs="Arial" w:eastAsia="Arial" w:hAnsi="Arial"/>
          <w:sz w:val="11"/>
          <w:szCs w:val="11"/>
          <w:i w:val="1"/>
          <w:iCs w:val="1"/>
          <w:color w:val="E51837"/>
        </w:rPr>
        <w:t xml:space="preserve"> </w:t>
      </w:r>
      <w:r>
        <w:rPr>
          <w:rFonts w:ascii="Arial" w:cs="Arial" w:eastAsia="Arial" w:hAnsi="Arial"/>
          <w:sz w:val="11"/>
          <w:szCs w:val="11"/>
          <w:color w:val="000000"/>
        </w:rPr>
        <w:t>debt plus equity. The increase between 2007 and 2008 was primarily due to higher debt. The decrease between 2006 and 2007 was due to lower debt and higher stockholders’ equity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Guarantees, Off-Balance-Sheet Arrangements and Contractual Obligations, and Other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 Guarantee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i w:val="1"/>
                <w:iCs w:val="1"/>
                <w:color w:val="auto"/>
              </w:rPr>
              <w:t>Millions of dollars</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4"/>
          </w:tcPr>
          <w:p>
            <w:pPr>
              <w:jc w:val="right"/>
              <w:ind w:right="11"/>
              <w:spacing w:after="0"/>
              <w:rPr>
                <w:sz w:val="20"/>
                <w:szCs w:val="20"/>
                <w:color w:val="auto"/>
              </w:rPr>
            </w:pPr>
            <w:r>
              <w:rPr>
                <w:rFonts w:ascii="Arial" w:cs="Arial" w:eastAsia="Arial" w:hAnsi="Arial"/>
                <w:sz w:val="10"/>
                <w:szCs w:val="10"/>
                <w:color w:val="auto"/>
              </w:rPr>
              <w:t>Commitment Expiration by Period</w:t>
            </w:r>
          </w:p>
        </w:tc>
      </w:tr>
      <w:tr>
        <w:trPr>
          <w:trHeight w:val="88"/>
        </w:trPr>
        <w:tc>
          <w:tcPr>
            <w:tcW w:w="20" w:type="dxa"/>
            <w:vAlign w:val="bottom"/>
          </w:tcPr>
          <w:p>
            <w:pPr>
              <w:spacing w:after="0"/>
              <w:rPr>
                <w:sz w:val="7"/>
                <w:szCs w:val="7"/>
                <w:color w:val="auto"/>
              </w:rPr>
            </w:pPr>
          </w:p>
        </w:tc>
        <w:tc>
          <w:tcPr>
            <w:tcW w:w="2220" w:type="dxa"/>
            <w:vAlign w:val="bottom"/>
            <w:tcBorders>
              <w:top w:val="single" w:sz="8" w:color="0077C0"/>
            </w:tcBorders>
          </w:tcPr>
          <w:p>
            <w:pPr>
              <w:spacing w:after="0"/>
              <w:rPr>
                <w:sz w:val="7"/>
                <w:szCs w:val="7"/>
                <w:color w:val="auto"/>
              </w:rPr>
            </w:pPr>
          </w:p>
        </w:tc>
        <w:tc>
          <w:tcPr>
            <w:tcW w:w="76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0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111"/>
              <w:spacing w:after="0" w:line="89" w:lineRule="exact"/>
              <w:rPr>
                <w:sz w:val="20"/>
                <w:szCs w:val="20"/>
                <w:color w:val="auto"/>
              </w:rPr>
            </w:pPr>
            <w:r>
              <w:rPr>
                <w:rFonts w:ascii="Arial" w:cs="Arial" w:eastAsia="Arial" w:hAnsi="Arial"/>
                <w:sz w:val="10"/>
                <w:szCs w:val="10"/>
                <w:color w:val="auto"/>
                <w:w w:val="86"/>
              </w:rPr>
              <w:t>2010–</w:t>
            </w:r>
          </w:p>
        </w:tc>
        <w:tc>
          <w:tcPr>
            <w:tcW w:w="22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111"/>
              <w:spacing w:after="0" w:line="89" w:lineRule="exact"/>
              <w:rPr>
                <w:sz w:val="20"/>
                <w:szCs w:val="20"/>
                <w:color w:val="auto"/>
              </w:rPr>
            </w:pPr>
            <w:r>
              <w:rPr>
                <w:rFonts w:ascii="Arial" w:cs="Arial" w:eastAsia="Arial" w:hAnsi="Arial"/>
                <w:sz w:val="10"/>
                <w:szCs w:val="10"/>
                <w:color w:val="auto"/>
                <w:w w:val="86"/>
              </w:rPr>
              <w:t>2012–</w:t>
            </w:r>
          </w:p>
        </w:tc>
        <w:tc>
          <w:tcPr>
            <w:tcW w:w="540" w:type="dxa"/>
            <w:vAlign w:val="bottom"/>
            <w:tcBorders>
              <w:top w:val="single" w:sz="8" w:color="0077C0"/>
            </w:tcBorders>
          </w:tcPr>
          <w:p>
            <w:pPr>
              <w:jc w:val="right"/>
              <w:ind w:right="11"/>
              <w:spacing w:after="0" w:line="89" w:lineRule="exact"/>
              <w:rPr>
                <w:sz w:val="20"/>
                <w:szCs w:val="20"/>
                <w:color w:val="auto"/>
              </w:rPr>
            </w:pPr>
            <w:r>
              <w:rPr>
                <w:rFonts w:ascii="Arial" w:cs="Arial" w:eastAsia="Arial" w:hAnsi="Arial"/>
                <w:sz w:val="10"/>
                <w:szCs w:val="10"/>
                <w:color w:val="auto"/>
              </w:rPr>
              <w:t>After</w:t>
            </w:r>
          </w:p>
        </w:tc>
      </w:tr>
      <w:tr>
        <w:trPr>
          <w:trHeight w:val="113"/>
        </w:trPr>
        <w:tc>
          <w:tcPr>
            <w:tcW w:w="20" w:type="dxa"/>
            <w:vAlign w:val="bottom"/>
          </w:tcPr>
          <w:p>
            <w:pPr>
              <w:spacing w:after="0"/>
              <w:rPr>
                <w:sz w:val="9"/>
                <w:szCs w:val="9"/>
                <w:color w:val="auto"/>
              </w:rPr>
            </w:pPr>
          </w:p>
        </w:tc>
        <w:tc>
          <w:tcPr>
            <w:tcW w:w="2220" w:type="dxa"/>
            <w:vAlign w:val="bottom"/>
            <w:tcBorders>
              <w:bottom w:val="single" w:sz="8" w:color="0077C0"/>
            </w:tcBorders>
          </w:tcPr>
          <w:p>
            <w:pPr>
              <w:spacing w:after="0"/>
              <w:rPr>
                <w:sz w:val="9"/>
                <w:szCs w:val="9"/>
                <w:color w:val="auto"/>
              </w:rPr>
            </w:pPr>
          </w:p>
        </w:tc>
        <w:tc>
          <w:tcPr>
            <w:tcW w:w="760" w:type="dxa"/>
            <w:vAlign w:val="bottom"/>
            <w:tcBorders>
              <w:bottom w:val="single" w:sz="8" w:color="0077C0"/>
            </w:tcBorders>
          </w:tcPr>
          <w:p>
            <w:pPr>
              <w:jc w:val="right"/>
              <w:ind w:right="110"/>
              <w:spacing w:after="0" w:line="113" w:lineRule="exact"/>
              <w:rPr>
                <w:sz w:val="20"/>
                <w:szCs w:val="20"/>
                <w:color w:val="auto"/>
              </w:rPr>
            </w:pPr>
            <w:r>
              <w:rPr>
                <w:rFonts w:ascii="Arial" w:cs="Arial" w:eastAsia="Arial" w:hAnsi="Arial"/>
                <w:sz w:val="10"/>
                <w:szCs w:val="10"/>
                <w:color w:val="auto"/>
              </w:rPr>
              <w:t>Total</w:t>
            </w:r>
          </w:p>
        </w:tc>
        <w:tc>
          <w:tcPr>
            <w:tcW w:w="28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10"/>
              <w:spacing w:after="0" w:line="113" w:lineRule="exact"/>
              <w:rPr>
                <w:sz w:val="20"/>
                <w:szCs w:val="20"/>
                <w:color w:val="auto"/>
              </w:rPr>
            </w:pPr>
            <w:r>
              <w:rPr>
                <w:rFonts w:ascii="Arial" w:cs="Arial" w:eastAsia="Arial" w:hAnsi="Arial"/>
                <w:sz w:val="10"/>
                <w:szCs w:val="10"/>
                <w:color w:val="auto"/>
                <w:w w:val="98"/>
              </w:rPr>
              <w:t>2009</w:t>
            </w:r>
          </w:p>
        </w:tc>
        <w:tc>
          <w:tcPr>
            <w:tcW w:w="24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11"/>
              <w:spacing w:after="0" w:line="113" w:lineRule="exact"/>
              <w:rPr>
                <w:sz w:val="20"/>
                <w:szCs w:val="20"/>
                <w:color w:val="auto"/>
              </w:rPr>
            </w:pPr>
            <w:r>
              <w:rPr>
                <w:rFonts w:ascii="Arial" w:cs="Arial" w:eastAsia="Arial" w:hAnsi="Arial"/>
                <w:sz w:val="10"/>
                <w:szCs w:val="10"/>
                <w:color w:val="auto"/>
              </w:rPr>
              <w:t>2011</w:t>
            </w:r>
          </w:p>
        </w:tc>
        <w:tc>
          <w:tcPr>
            <w:tcW w:w="22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11"/>
              <w:spacing w:after="0" w:line="113" w:lineRule="exact"/>
              <w:rPr>
                <w:sz w:val="20"/>
                <w:szCs w:val="20"/>
                <w:color w:val="auto"/>
              </w:rPr>
            </w:pPr>
            <w:r>
              <w:rPr>
                <w:rFonts w:ascii="Arial" w:cs="Arial" w:eastAsia="Arial" w:hAnsi="Arial"/>
                <w:sz w:val="10"/>
                <w:szCs w:val="10"/>
                <w:color w:val="auto"/>
              </w:rPr>
              <w:t>2013</w:t>
            </w:r>
          </w:p>
        </w:tc>
        <w:tc>
          <w:tcPr>
            <w:tcW w:w="540" w:type="dxa"/>
            <w:vAlign w:val="bottom"/>
            <w:tcBorders>
              <w:bottom w:val="single" w:sz="8" w:color="0077C0"/>
            </w:tcBorders>
          </w:tcPr>
          <w:p>
            <w:pPr>
              <w:jc w:val="right"/>
              <w:ind w:right="11"/>
              <w:spacing w:after="0" w:line="113" w:lineRule="exact"/>
              <w:rPr>
                <w:sz w:val="20"/>
                <w:szCs w:val="20"/>
                <w:color w:val="auto"/>
              </w:rPr>
            </w:pPr>
            <w:r>
              <w:rPr>
                <w:rFonts w:ascii="Arial" w:cs="Arial" w:eastAsia="Arial" w:hAnsi="Arial"/>
                <w:sz w:val="10"/>
                <w:szCs w:val="10"/>
                <w:color w:val="auto"/>
              </w:rPr>
              <w:t>2013</w:t>
            </w:r>
          </w:p>
        </w:tc>
      </w:tr>
      <w:tr>
        <w:trPr>
          <w:trHeight w:val="92"/>
        </w:trPr>
        <w:tc>
          <w:tcPr>
            <w:tcW w:w="20" w:type="dxa"/>
            <w:vAlign w:val="bottom"/>
          </w:tcPr>
          <w:p>
            <w:pPr>
              <w:spacing w:after="0"/>
              <w:rPr>
                <w:sz w:val="8"/>
                <w:szCs w:val="8"/>
                <w:color w:val="auto"/>
              </w:rPr>
            </w:pPr>
          </w:p>
        </w:tc>
        <w:tc>
          <w:tcPr>
            <w:tcW w:w="2220" w:type="dxa"/>
            <w:vAlign w:val="bottom"/>
          </w:tcPr>
          <w:p>
            <w:pPr>
              <w:spacing w:after="0" w:line="92" w:lineRule="exact"/>
              <w:rPr>
                <w:sz w:val="20"/>
                <w:szCs w:val="20"/>
                <w:color w:val="auto"/>
              </w:rPr>
            </w:pPr>
            <w:r>
              <w:rPr>
                <w:rFonts w:ascii="Arial" w:cs="Arial" w:eastAsia="Arial" w:hAnsi="Arial"/>
                <w:sz w:val="10"/>
                <w:szCs w:val="10"/>
                <w:color w:val="auto"/>
              </w:rPr>
              <w:t>Guarantee of non-consolidated affiliate or joint-</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7"/>
        </w:trPr>
        <w:tc>
          <w:tcPr>
            <w:tcW w:w="20" w:type="dxa"/>
            <w:vAlign w:val="bottom"/>
          </w:tcPr>
          <w:p>
            <w:pPr>
              <w:spacing w:after="0"/>
              <w:rPr>
                <w:sz w:val="11"/>
                <w:szCs w:val="11"/>
                <w:color w:val="auto"/>
              </w:rPr>
            </w:pPr>
          </w:p>
        </w:tc>
        <w:tc>
          <w:tcPr>
            <w:tcW w:w="222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venture obligation</w:t>
            </w:r>
          </w:p>
        </w:tc>
        <w:tc>
          <w:tcPr>
            <w:tcW w:w="7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   613</w:t>
            </w:r>
          </w:p>
        </w:tc>
        <w:tc>
          <w:tcPr>
            <w:tcW w:w="2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76</w:t>
            </w:r>
          </w:p>
        </w:tc>
        <w:tc>
          <w:tcPr>
            <w:tcW w:w="540" w:type="dxa"/>
            <w:vAlign w:val="bottom"/>
            <w:tcBorders>
              <w:bottom w:val="single" w:sz="8" w:color="0077C0"/>
            </w:tcBorders>
          </w:tcPr>
          <w:p>
            <w:pPr>
              <w:jc w:val="right"/>
              <w:ind w:right="11"/>
              <w:spacing w:after="0"/>
              <w:rPr>
                <w:sz w:val="20"/>
                <w:szCs w:val="20"/>
                <w:color w:val="auto"/>
              </w:rPr>
            </w:pPr>
            <w:r>
              <w:rPr>
                <w:rFonts w:ascii="Arial" w:cs="Arial" w:eastAsia="Arial" w:hAnsi="Arial"/>
                <w:sz w:val="10"/>
                <w:szCs w:val="10"/>
                <w:color w:val="auto"/>
              </w:rPr>
              <w:t>$   537</w:t>
            </w:r>
          </w:p>
        </w:tc>
      </w:tr>
    </w:tbl>
    <w:p>
      <w:pPr>
        <w:spacing w:after="0" w:line="126" w:lineRule="exact"/>
        <w:rPr>
          <w:sz w:val="20"/>
          <w:szCs w:val="20"/>
          <w:color w:val="auto"/>
        </w:rPr>
      </w:pPr>
    </w:p>
    <w:p>
      <w:pPr>
        <w:ind w:right="120" w:firstLine="158"/>
        <w:spacing w:after="0" w:line="253" w:lineRule="auto"/>
        <w:rPr>
          <w:sz w:val="20"/>
          <w:szCs w:val="20"/>
          <w:color w:val="auto"/>
        </w:rPr>
      </w:pPr>
      <w:r>
        <w:rPr>
          <w:rFonts w:ascii="Arial" w:cs="Arial" w:eastAsia="Arial" w:hAnsi="Arial"/>
          <w:sz w:val="13"/>
          <w:szCs w:val="13"/>
          <w:color w:val="auto"/>
        </w:rPr>
        <w:t>The company’s guarantee of approximately $600 million is associated with certain payments under a terminal-use agreement entered into by a company affiliate. The terminal is expected to be operational by 2012. Over the approximate 16-year term of the guarantee, the maximum guarantee amount will be reduced as certain fees are paid by the affiliate.</w:t>
      </w:r>
    </w:p>
    <w:p>
      <w:pPr>
        <w:spacing w:after="0" w:line="200" w:lineRule="exact"/>
        <w:rPr>
          <w:sz w:val="20"/>
          <w:szCs w:val="20"/>
          <w:color w:val="auto"/>
        </w:rPr>
      </w:pPr>
    </w:p>
    <w:p>
      <w:pPr>
        <w:sectPr>
          <w:pgSz w:w="11900" w:h="16838" w:orient="portrait"/>
          <w:cols w:equalWidth="0" w:num="2">
            <w:col w:w="5500" w:space="460"/>
            <w:col w:w="5520"/>
          </w:cols>
          <w:pgMar w:left="220" w:top="338" w:right="19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53" w:name="page54"/>
    <w:bookmarkEnd w:id="53"/>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40"/>
          </w:cols>
          <w:pgMar w:left="220" w:top="339" w:right="239" w:bottom="1440" w:gutter="0" w:footer="0" w:header="0"/>
        </w:sectPr>
      </w:pPr>
    </w:p>
    <w:p>
      <w:pPr>
        <w:spacing w:after="0" w:line="377"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There are numerous cross-indemnity agreements with the affiliate and the other partners to permit recovery of any amounts paid under the guarantee. Chevron has recorded no liability for its obligation under this guarantee.</w:t>
      </w:r>
    </w:p>
    <w:p>
      <w:pPr>
        <w:spacing w:after="0" w:line="108" w:lineRule="exact"/>
        <w:rPr>
          <w:sz w:val="20"/>
          <w:szCs w:val="20"/>
          <w:color w:val="auto"/>
        </w:rPr>
      </w:pPr>
    </w:p>
    <w:p>
      <w:pPr>
        <w:ind w:right="180" w:firstLine="160"/>
        <w:spacing w:after="0" w:line="294" w:lineRule="auto"/>
        <w:rPr>
          <w:sz w:val="20"/>
          <w:szCs w:val="20"/>
          <w:color w:val="auto"/>
        </w:rPr>
      </w:pPr>
      <w:r>
        <w:rPr>
          <w:rFonts w:ascii="Arial" w:cs="Arial" w:eastAsia="Arial" w:hAnsi="Arial"/>
          <w:sz w:val="11"/>
          <w:szCs w:val="11"/>
          <w:i w:val="1"/>
          <w:iCs w:val="1"/>
          <w:color w:val="E51837"/>
        </w:rPr>
        <w:t xml:space="preserve">Indemnifications </w:t>
      </w:r>
      <w:r>
        <w:rPr>
          <w:rFonts w:ascii="Arial" w:cs="Arial" w:eastAsia="Arial" w:hAnsi="Arial"/>
          <w:sz w:val="11"/>
          <w:szCs w:val="11"/>
          <w:color w:val="000000"/>
        </w:rPr>
        <w:t>The company provided certain indemnities of contingent liabilities of Equilon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Motiva to Shell and Saudi Refining, Inc., in connection with the February 2002 sale of the company’s interests in those investments. The company would be required to perform if the indemnified liabilities become actual losses. Were that to occur, the company could be required to make future payments up to $300 million. Through the end of 2008, the company had paid $48 million under these indemnities and continues to be obligated for possible additional indemnification payments in the future.</w:t>
      </w:r>
    </w:p>
    <w:p>
      <w:pPr>
        <w:spacing w:after="0" w:line="1" w:lineRule="exact"/>
        <w:rPr>
          <w:sz w:val="20"/>
          <w:szCs w:val="20"/>
          <w:color w:val="auto"/>
        </w:rPr>
      </w:pPr>
    </w:p>
    <w:p>
      <w:pPr>
        <w:ind w:right="20" w:firstLine="158"/>
        <w:spacing w:after="0" w:line="291" w:lineRule="auto"/>
        <w:rPr>
          <w:sz w:val="20"/>
          <w:szCs w:val="20"/>
          <w:color w:val="auto"/>
        </w:rPr>
      </w:pPr>
      <w:r>
        <w:rPr>
          <w:rFonts w:ascii="Arial" w:cs="Arial" w:eastAsia="Arial" w:hAnsi="Arial"/>
          <w:sz w:val="11"/>
          <w:szCs w:val="11"/>
          <w:color w:val="auto"/>
        </w:rPr>
        <w:t>The company has also provided indemnities relating to contingent environmental liabilities related to assets originally contributed by Texaco to the Equilon and Motiva joint ventures and environmental conditions that existed prior to the formation of Equilon and Motiva or that occurred during the period of Texaco’s ownership interest in the joint ventures. In general, the environmental conditions or events that are subject to these indemnities must have arisen prior to December 2001. Claims must be asserted no later than February 2009 for Equilon indemnities and no later than February 2012 for Motiva indemnities. Under the terms of these indemnities, there is no maximum limit on the amount of potential future payments. In February 2009, Shell delivered a letter to the company purporting to preserve unmatured claims for certain Equilon indemnities. The letter itself provides no estimate of the ultimate claim amount, and management does not believe the letter provides a basis to estimate the amount, if any, of a range of loss or potential range of loss with respect to Equilon or the Motiva indemnities. The company posts no assets as collateral and has made no payments under the indemnities.</w:t>
      </w:r>
    </w:p>
    <w:p>
      <w:pPr>
        <w:spacing w:after="0" w:line="5" w:lineRule="exact"/>
        <w:rPr>
          <w:sz w:val="20"/>
          <w:szCs w:val="20"/>
          <w:color w:val="auto"/>
        </w:rPr>
      </w:pPr>
    </w:p>
    <w:p>
      <w:pPr>
        <w:ind w:right="180" w:firstLine="158"/>
        <w:spacing w:after="0" w:line="246" w:lineRule="auto"/>
        <w:rPr>
          <w:sz w:val="20"/>
          <w:szCs w:val="20"/>
          <w:color w:val="auto"/>
        </w:rPr>
      </w:pPr>
      <w:r>
        <w:rPr>
          <w:rFonts w:ascii="Arial" w:cs="Arial" w:eastAsia="Arial" w:hAnsi="Arial"/>
          <w:sz w:val="13"/>
          <w:szCs w:val="13"/>
          <w:color w:val="auto"/>
        </w:rPr>
        <w:t>The amounts payable for the indemnities described above are to be net of amounts recovered from insurance carriers and others and net of liabilities recorded by Equilon or Motiva prior to September 30, 2001, for any applicable incident.</w:t>
      </w:r>
    </w:p>
    <w:p>
      <w:pPr>
        <w:spacing w:after="0" w:line="2" w:lineRule="exact"/>
        <w:rPr>
          <w:sz w:val="20"/>
          <w:szCs w:val="20"/>
          <w:color w:val="auto"/>
        </w:rPr>
      </w:pPr>
    </w:p>
    <w:p>
      <w:pPr>
        <w:ind w:right="180" w:firstLine="160"/>
        <w:spacing w:after="0" w:line="267" w:lineRule="auto"/>
        <w:rPr>
          <w:sz w:val="20"/>
          <w:szCs w:val="20"/>
          <w:color w:val="auto"/>
        </w:rPr>
      </w:pPr>
      <w:r>
        <w:rPr>
          <w:rFonts w:ascii="Arial" w:cs="Arial" w:eastAsia="Arial" w:hAnsi="Arial"/>
          <w:sz w:val="12"/>
          <w:szCs w:val="12"/>
          <w:color w:val="auto"/>
        </w:rPr>
        <w:t>In the acquisition of Unocal, the company assumed certain indemnities relating to contingent environmental liabilities associated with assets that were sold in 1997. Under the indemnification agreement, the company’s liability is unlimited until April 2022, when the indemnification expires. The acquirer shares in certain environmental remediation costs up to a maximum obligation of $200 million, which had not been reached as of December 31, 2008.</w:t>
      </w:r>
    </w:p>
    <w:p>
      <w:pPr>
        <w:spacing w:after="0" w:line="1" w:lineRule="exact"/>
        <w:rPr>
          <w:sz w:val="20"/>
          <w:szCs w:val="20"/>
          <w:color w:val="auto"/>
        </w:rPr>
      </w:pPr>
    </w:p>
    <w:p>
      <w:pPr>
        <w:ind w:right="340" w:firstLine="160"/>
        <w:spacing w:after="0" w:line="291" w:lineRule="auto"/>
        <w:rPr>
          <w:sz w:val="20"/>
          <w:szCs w:val="20"/>
          <w:color w:val="auto"/>
        </w:rPr>
      </w:pPr>
      <w:r>
        <w:rPr>
          <w:rFonts w:ascii="Arial" w:cs="Arial" w:eastAsia="Arial" w:hAnsi="Arial"/>
          <w:sz w:val="11"/>
          <w:szCs w:val="11"/>
          <w:i w:val="1"/>
          <w:iCs w:val="1"/>
          <w:color w:val="E51837"/>
        </w:rPr>
        <w:t xml:space="preserve">Securitization </w:t>
      </w:r>
      <w:r>
        <w:rPr>
          <w:rFonts w:ascii="Arial" w:cs="Arial" w:eastAsia="Arial" w:hAnsi="Arial"/>
          <w:sz w:val="11"/>
          <w:szCs w:val="11"/>
          <w:color w:val="000000"/>
        </w:rPr>
        <w:t>During 2008, the company terminated the program used to securitize downstream-related trade accounts receivable. At year-end 2007, the balance of securitized receivables was</w:t>
      </w:r>
    </w:p>
    <w:p>
      <w:pPr>
        <w:spacing w:after="0" w:line="1" w:lineRule="exact"/>
        <w:rPr>
          <w:sz w:val="20"/>
          <w:szCs w:val="20"/>
          <w:color w:val="auto"/>
        </w:rPr>
      </w:pPr>
    </w:p>
    <w:p>
      <w:pPr>
        <w:jc w:val="center"/>
        <w:ind w:right="160"/>
        <w:spacing w:after="0" w:line="291" w:lineRule="auto"/>
        <w:rPr>
          <w:sz w:val="20"/>
          <w:szCs w:val="20"/>
          <w:color w:val="auto"/>
        </w:rPr>
      </w:pPr>
      <w:r>
        <w:rPr>
          <w:rFonts w:ascii="Arial" w:cs="Arial" w:eastAsia="Arial" w:hAnsi="Arial"/>
          <w:sz w:val="11"/>
          <w:szCs w:val="11"/>
          <w:color w:val="auto"/>
        </w:rPr>
        <w:t xml:space="preserve">$675 million. As of December 31, 2008, the company had no other securitization arrangements in place. </w:t>
      </w:r>
      <w:r>
        <w:rPr>
          <w:rFonts w:ascii="Arial" w:cs="Arial" w:eastAsia="Arial" w:hAnsi="Arial"/>
          <w:sz w:val="11"/>
          <w:szCs w:val="11"/>
          <w:i w:val="1"/>
          <w:iCs w:val="1"/>
          <w:color w:val="E51837"/>
        </w:rPr>
        <w:t xml:space="preserve">Minority Interests </w:t>
      </w:r>
      <w:r>
        <w:rPr>
          <w:rFonts w:ascii="Arial" w:cs="Arial" w:eastAsia="Arial" w:hAnsi="Arial"/>
          <w:sz w:val="11"/>
          <w:szCs w:val="11"/>
          <w:color w:val="000000"/>
        </w:rPr>
        <w:t>The company has commitments of $469 million related to minority interests in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subsidiary companies.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firstLine="160"/>
        <w:spacing w:after="0" w:line="299" w:lineRule="auto"/>
        <w:rPr>
          <w:sz w:val="20"/>
          <w:szCs w:val="20"/>
          <w:color w:val="auto"/>
        </w:rPr>
      </w:pPr>
      <w:r>
        <w:rPr>
          <w:rFonts w:ascii="Arial" w:cs="Arial" w:eastAsia="Arial" w:hAnsi="Arial"/>
          <w:sz w:val="11"/>
          <w:szCs w:val="11"/>
          <w:i w:val="1"/>
          <w:iCs w:val="1"/>
          <w:color w:val="E51837"/>
        </w:rPr>
        <w:t xml:space="preserve">Long-Term Unconditional Purchase Obligations and Commitments, Including Throughput and Take-or-Pay Agreements </w:t>
      </w:r>
      <w:r>
        <w:rPr>
          <w:rFonts w:ascii="Arial" w:cs="Arial" w:eastAsia="Arial" w:hAnsi="Arial"/>
          <w:sz w:val="11"/>
          <w:szCs w:val="11"/>
          <w:color w:val="000000"/>
        </w:rPr>
        <w:t>The company and its subsidiaries have certain other contingent liabilities relating to long-term unconditional purchase obligations and commitments, including throughput and take-or-pay agreements, some of which relate to suppliers’ financing arrangements. The agreements typically provide goods and services, such as pipeline and storage capacity, drilling rigs, utilities, and petroleum products, to be used or sold in the ordinary course of the company’s business. The aggregate approximate amounts of required payments under these various commitments are: 2009 – $6.4 billion; 2010 – $4.0 billion; 2011 – $3.6 billion; 2012 – $1.5 billion; 2013 – $1.3 billion; 2014 and after – $4.3 billion. A portion of these commitments may ultimately be shared with project partners. Total payments under the agreements were approximately $5.1 billion in 2008, $3.7 billion in 2007 and $3.0 billion in 2006.</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table summarizes the company’s significant contractual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Contractual Obligations</w:t>
      </w:r>
      <w:r>
        <w:rPr>
          <w:rFonts w:ascii="Arial" w:cs="Arial" w:eastAsia="Arial" w:hAnsi="Arial"/>
          <w:sz w:val="19"/>
          <w:szCs w:val="19"/>
          <w:i w:val="1"/>
          <w:iCs w:val="1"/>
          <w:color w:val="auto"/>
          <w:vertAlign w:val="superscript"/>
        </w:rPr>
        <w:t>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0" w:type="dxa"/>
            <w:vAlign w:val="bottom"/>
            <w:gridSpan w:val="2"/>
          </w:tcPr>
          <w:p>
            <w:pPr>
              <w:spacing w:after="0"/>
              <w:rPr>
                <w:sz w:val="20"/>
                <w:szCs w:val="20"/>
                <w:color w:val="auto"/>
              </w:rPr>
            </w:pPr>
            <w:r>
              <w:rPr>
                <w:rFonts w:ascii="Arial" w:cs="Arial" w:eastAsia="Arial" w:hAnsi="Arial"/>
                <w:sz w:val="10"/>
                <w:szCs w:val="10"/>
                <w:i w:val="1"/>
                <w:iCs w:val="1"/>
                <w:color w:val="auto"/>
              </w:rPr>
              <w:t>Millions of dollars</w:t>
            </w: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4"/>
          </w:tcPr>
          <w:p>
            <w:pPr>
              <w:jc w:val="right"/>
              <w:spacing w:after="0"/>
              <w:rPr>
                <w:sz w:val="20"/>
                <w:szCs w:val="20"/>
                <w:color w:val="auto"/>
              </w:rPr>
            </w:pPr>
            <w:r>
              <w:rPr>
                <w:rFonts w:ascii="Arial" w:cs="Arial" w:eastAsia="Arial" w:hAnsi="Arial"/>
                <w:sz w:val="10"/>
                <w:szCs w:val="10"/>
                <w:color w:val="auto"/>
                <w:w w:val="99"/>
              </w:rPr>
              <w:t>Payments Due by Period</w:t>
            </w:r>
          </w:p>
        </w:tc>
      </w:tr>
      <w:tr>
        <w:trPr>
          <w:trHeight w:val="88"/>
        </w:trPr>
        <w:tc>
          <w:tcPr>
            <w:tcW w:w="20" w:type="dxa"/>
            <w:vAlign w:val="bottom"/>
          </w:tcPr>
          <w:p>
            <w:pPr>
              <w:spacing w:after="0"/>
              <w:rPr>
                <w:sz w:val="7"/>
                <w:szCs w:val="7"/>
                <w:color w:val="auto"/>
              </w:rPr>
            </w:pPr>
          </w:p>
        </w:tc>
        <w:tc>
          <w:tcPr>
            <w:tcW w:w="218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spacing w:after="0"/>
              <w:rPr>
                <w:sz w:val="7"/>
                <w:szCs w:val="7"/>
                <w:color w:val="auto"/>
              </w:rPr>
            </w:pPr>
          </w:p>
        </w:tc>
        <w:tc>
          <w:tcPr>
            <w:tcW w:w="66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109"/>
              <w:spacing w:after="0" w:line="89" w:lineRule="exact"/>
              <w:rPr>
                <w:sz w:val="20"/>
                <w:szCs w:val="20"/>
                <w:color w:val="auto"/>
              </w:rPr>
            </w:pPr>
            <w:r>
              <w:rPr>
                <w:rFonts w:ascii="Arial" w:cs="Arial" w:eastAsia="Arial" w:hAnsi="Arial"/>
                <w:sz w:val="10"/>
                <w:szCs w:val="10"/>
                <w:color w:val="auto"/>
                <w:w w:val="86"/>
              </w:rPr>
              <w:t>2010–</w:t>
            </w:r>
          </w:p>
        </w:tc>
        <w:tc>
          <w:tcPr>
            <w:tcW w:w="22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109"/>
              <w:spacing w:after="0" w:line="89" w:lineRule="exact"/>
              <w:rPr>
                <w:sz w:val="20"/>
                <w:szCs w:val="20"/>
                <w:color w:val="auto"/>
              </w:rPr>
            </w:pPr>
            <w:r>
              <w:rPr>
                <w:rFonts w:ascii="Arial" w:cs="Arial" w:eastAsia="Arial" w:hAnsi="Arial"/>
                <w:sz w:val="10"/>
                <w:szCs w:val="10"/>
                <w:color w:val="auto"/>
                <w:w w:val="86"/>
              </w:rPr>
              <w:t>2012–</w:t>
            </w:r>
          </w:p>
        </w:tc>
        <w:tc>
          <w:tcPr>
            <w:tcW w:w="22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89" w:lineRule="exact"/>
              <w:rPr>
                <w:sz w:val="20"/>
                <w:szCs w:val="20"/>
                <w:color w:val="auto"/>
              </w:rPr>
            </w:pPr>
            <w:r>
              <w:rPr>
                <w:rFonts w:ascii="Arial" w:cs="Arial" w:eastAsia="Arial" w:hAnsi="Arial"/>
                <w:sz w:val="10"/>
                <w:szCs w:val="10"/>
                <w:color w:val="auto"/>
              </w:rPr>
              <w:t>After</w:t>
            </w:r>
          </w:p>
        </w:tc>
      </w:tr>
      <w:tr>
        <w:trPr>
          <w:trHeight w:val="113"/>
        </w:trPr>
        <w:tc>
          <w:tcPr>
            <w:tcW w:w="20" w:type="dxa"/>
            <w:vAlign w:val="bottom"/>
          </w:tcPr>
          <w:p>
            <w:pPr>
              <w:spacing w:after="0"/>
              <w:rPr>
                <w:sz w:val="9"/>
                <w:szCs w:val="9"/>
                <w:color w:val="auto"/>
              </w:rPr>
            </w:pPr>
          </w:p>
        </w:tc>
        <w:tc>
          <w:tcPr>
            <w:tcW w:w="218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109"/>
              <w:spacing w:after="0" w:line="113" w:lineRule="exact"/>
              <w:rPr>
                <w:sz w:val="20"/>
                <w:szCs w:val="20"/>
                <w:color w:val="auto"/>
              </w:rPr>
            </w:pPr>
            <w:r>
              <w:rPr>
                <w:rFonts w:ascii="Arial" w:cs="Arial" w:eastAsia="Arial" w:hAnsi="Arial"/>
                <w:sz w:val="10"/>
                <w:szCs w:val="10"/>
                <w:color w:val="auto"/>
              </w:rPr>
              <w:t>Total</w:t>
            </w:r>
          </w:p>
        </w:tc>
        <w:tc>
          <w:tcPr>
            <w:tcW w:w="660" w:type="dxa"/>
            <w:vAlign w:val="bottom"/>
            <w:tcBorders>
              <w:bottom w:val="single" w:sz="8" w:color="0077C0"/>
            </w:tcBorders>
          </w:tcPr>
          <w:p>
            <w:pPr>
              <w:jc w:val="right"/>
              <w:ind w:right="89"/>
              <w:spacing w:after="0" w:line="113" w:lineRule="exact"/>
              <w:rPr>
                <w:sz w:val="20"/>
                <w:szCs w:val="20"/>
                <w:color w:val="auto"/>
              </w:rPr>
            </w:pPr>
            <w:r>
              <w:rPr>
                <w:rFonts w:ascii="Arial" w:cs="Arial" w:eastAsia="Arial" w:hAnsi="Arial"/>
                <w:sz w:val="10"/>
                <w:szCs w:val="10"/>
                <w:color w:val="auto"/>
              </w:rPr>
              <w:t>2009</w:t>
            </w:r>
          </w:p>
        </w:tc>
        <w:tc>
          <w:tcPr>
            <w:tcW w:w="24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09"/>
              <w:spacing w:after="0" w:line="113" w:lineRule="exact"/>
              <w:rPr>
                <w:sz w:val="20"/>
                <w:szCs w:val="20"/>
                <w:color w:val="auto"/>
              </w:rPr>
            </w:pPr>
            <w:r>
              <w:rPr>
                <w:rFonts w:ascii="Arial" w:cs="Arial" w:eastAsia="Arial" w:hAnsi="Arial"/>
                <w:sz w:val="10"/>
                <w:szCs w:val="10"/>
                <w:color w:val="auto"/>
              </w:rPr>
              <w:t>2011</w:t>
            </w:r>
          </w:p>
        </w:tc>
        <w:tc>
          <w:tcPr>
            <w:tcW w:w="22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09"/>
              <w:spacing w:after="0" w:line="113" w:lineRule="exact"/>
              <w:rPr>
                <w:sz w:val="20"/>
                <w:szCs w:val="20"/>
                <w:color w:val="auto"/>
              </w:rPr>
            </w:pPr>
            <w:r>
              <w:rPr>
                <w:rFonts w:ascii="Arial" w:cs="Arial" w:eastAsia="Arial" w:hAnsi="Arial"/>
                <w:sz w:val="10"/>
                <w:szCs w:val="10"/>
                <w:color w:val="auto"/>
              </w:rPr>
              <w:t>2013</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13" w:lineRule="exact"/>
              <w:rPr>
                <w:sz w:val="20"/>
                <w:szCs w:val="20"/>
                <w:color w:val="auto"/>
              </w:rPr>
            </w:pPr>
            <w:r>
              <w:rPr>
                <w:rFonts w:ascii="Arial" w:cs="Arial" w:eastAsia="Arial" w:hAnsi="Arial"/>
                <w:sz w:val="10"/>
                <w:szCs w:val="10"/>
                <w:color w:val="auto"/>
              </w:rPr>
              <w:t>2013</w:t>
            </w:r>
          </w:p>
        </w:tc>
      </w:tr>
      <w:tr>
        <w:trPr>
          <w:trHeight w:val="92"/>
        </w:trPr>
        <w:tc>
          <w:tcPr>
            <w:tcW w:w="20" w:type="dxa"/>
            <w:vAlign w:val="bottom"/>
          </w:tcPr>
          <w:p>
            <w:pPr>
              <w:spacing w:after="0"/>
              <w:rPr>
                <w:sz w:val="8"/>
                <w:szCs w:val="8"/>
                <w:color w:val="auto"/>
              </w:rPr>
            </w:pPr>
          </w:p>
        </w:tc>
        <w:tc>
          <w:tcPr>
            <w:tcW w:w="2180" w:type="dxa"/>
            <w:vAlign w:val="bottom"/>
          </w:tcPr>
          <w:p>
            <w:pPr>
              <w:spacing w:after="0" w:line="92" w:lineRule="exact"/>
              <w:rPr>
                <w:sz w:val="20"/>
                <w:szCs w:val="20"/>
                <w:color w:val="auto"/>
              </w:rPr>
            </w:pPr>
            <w:r>
              <w:rPr>
                <w:rFonts w:ascii="Arial" w:cs="Arial" w:eastAsia="Arial" w:hAnsi="Arial"/>
                <w:sz w:val="10"/>
                <w:szCs w:val="10"/>
                <w:color w:val="auto"/>
              </w:rPr>
              <w:t>On Balance Sheet:</w:t>
            </w:r>
            <w:r>
              <w:rPr>
                <w:rFonts w:ascii="Arial" w:cs="Arial" w:eastAsia="Arial" w:hAnsi="Arial"/>
                <w:sz w:val="8"/>
                <w:szCs w:val="8"/>
                <w:color w:val="auto"/>
              </w:rPr>
              <w:t>2</w:t>
            </w: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2180" w:type="dxa"/>
            <w:vAlign w:val="bottom"/>
          </w:tcPr>
          <w:p>
            <w:pPr>
              <w:ind w:left="80"/>
              <w:spacing w:after="0" w:line="106" w:lineRule="exact"/>
              <w:rPr>
                <w:sz w:val="20"/>
                <w:szCs w:val="20"/>
                <w:color w:val="auto"/>
              </w:rPr>
            </w:pPr>
            <w:r>
              <w:rPr>
                <w:rFonts w:ascii="Arial" w:cs="Arial" w:eastAsia="Arial" w:hAnsi="Arial"/>
                <w:sz w:val="10"/>
                <w:szCs w:val="10"/>
                <w:color w:val="auto"/>
              </w:rPr>
              <w:t>Short-Term Debt</w:t>
            </w:r>
            <w:r>
              <w:rPr>
                <w:rFonts w:ascii="Arial" w:cs="Arial" w:eastAsia="Arial" w:hAnsi="Arial"/>
                <w:sz w:val="8"/>
                <w:szCs w:val="8"/>
                <w:color w:val="auto"/>
              </w:rPr>
              <w:t>3</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  2,818</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$ 2,818</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20" w:type="dxa"/>
            <w:vAlign w:val="bottom"/>
          </w:tcPr>
          <w:p>
            <w:pPr>
              <w:spacing w:after="0"/>
              <w:rPr>
                <w:sz w:val="9"/>
                <w:szCs w:val="9"/>
                <w:color w:val="auto"/>
              </w:rPr>
            </w:pPr>
          </w:p>
        </w:tc>
        <w:tc>
          <w:tcPr>
            <w:tcW w:w="2180" w:type="dxa"/>
            <w:vAlign w:val="bottom"/>
          </w:tcPr>
          <w:p>
            <w:pPr>
              <w:ind w:left="80"/>
              <w:spacing w:after="0" w:line="106" w:lineRule="exact"/>
              <w:rPr>
                <w:sz w:val="20"/>
                <w:szCs w:val="20"/>
                <w:color w:val="auto"/>
              </w:rPr>
            </w:pPr>
            <w:r>
              <w:rPr>
                <w:rFonts w:ascii="Arial" w:cs="Arial" w:eastAsia="Arial" w:hAnsi="Arial"/>
                <w:sz w:val="10"/>
                <w:szCs w:val="10"/>
                <w:color w:val="auto"/>
              </w:rPr>
              <w:t>Long-Term Debt</w:t>
            </w:r>
            <w:r>
              <w:rPr>
                <w:rFonts w:ascii="Arial" w:cs="Arial" w:eastAsia="Arial" w:hAnsi="Arial"/>
                <w:sz w:val="8"/>
                <w:szCs w:val="8"/>
                <w:color w:val="auto"/>
              </w:rPr>
              <w:t>3</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5,742</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5,061</w:t>
            </w:r>
          </w:p>
        </w:tc>
        <w:tc>
          <w:tcPr>
            <w:tcW w:w="2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74</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607</w:t>
            </w:r>
          </w:p>
        </w:tc>
      </w:tr>
      <w:tr>
        <w:trPr>
          <w:trHeight w:val="106"/>
        </w:trPr>
        <w:tc>
          <w:tcPr>
            <w:tcW w:w="20" w:type="dxa"/>
            <w:vAlign w:val="bottom"/>
          </w:tcPr>
          <w:p>
            <w:pPr>
              <w:spacing w:after="0"/>
              <w:rPr>
                <w:sz w:val="9"/>
                <w:szCs w:val="9"/>
                <w:color w:val="auto"/>
              </w:rPr>
            </w:pPr>
          </w:p>
        </w:tc>
        <w:tc>
          <w:tcPr>
            <w:tcW w:w="2180" w:type="dxa"/>
            <w:vAlign w:val="bottom"/>
          </w:tcPr>
          <w:p>
            <w:pPr>
              <w:ind w:left="80"/>
              <w:spacing w:after="0" w:line="106" w:lineRule="exact"/>
              <w:rPr>
                <w:sz w:val="20"/>
                <w:szCs w:val="20"/>
                <w:color w:val="auto"/>
              </w:rPr>
            </w:pPr>
            <w:r>
              <w:rPr>
                <w:rFonts w:ascii="Arial" w:cs="Arial" w:eastAsia="Arial" w:hAnsi="Arial"/>
                <w:sz w:val="10"/>
                <w:szCs w:val="10"/>
                <w:color w:val="auto"/>
              </w:rPr>
              <w:t>Noncancelable Capital Lease Obligations</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548</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97</w:t>
            </w:r>
          </w:p>
        </w:tc>
        <w:tc>
          <w:tcPr>
            <w:tcW w:w="24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154</w:t>
            </w:r>
          </w:p>
        </w:tc>
        <w:tc>
          <w:tcPr>
            <w:tcW w:w="2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143</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154</w:t>
            </w:r>
          </w:p>
        </w:tc>
      </w:tr>
      <w:tr>
        <w:trPr>
          <w:trHeight w:val="106"/>
        </w:trPr>
        <w:tc>
          <w:tcPr>
            <w:tcW w:w="2200" w:type="dxa"/>
            <w:vAlign w:val="bottom"/>
            <w:gridSpan w:val="2"/>
          </w:tcPr>
          <w:p>
            <w:pPr>
              <w:spacing w:after="0" w:line="106" w:lineRule="exact"/>
              <w:rPr>
                <w:sz w:val="20"/>
                <w:szCs w:val="20"/>
                <w:color w:val="auto"/>
              </w:rPr>
            </w:pPr>
            <w:r>
              <w:rPr>
                <w:rFonts w:ascii="Arial" w:cs="Arial" w:eastAsia="Arial" w:hAnsi="Arial"/>
                <w:sz w:val="10"/>
                <w:szCs w:val="10"/>
                <w:color w:val="auto"/>
              </w:rPr>
              <w:t>Interest</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2,133</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174</w:t>
            </w:r>
          </w:p>
        </w:tc>
        <w:tc>
          <w:tcPr>
            <w:tcW w:w="24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322</w:t>
            </w:r>
          </w:p>
        </w:tc>
        <w:tc>
          <w:tcPr>
            <w:tcW w:w="2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312</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1,325</w:t>
            </w:r>
          </w:p>
        </w:tc>
      </w:tr>
      <w:tr>
        <w:trPr>
          <w:trHeight w:val="106"/>
        </w:trPr>
        <w:tc>
          <w:tcPr>
            <w:tcW w:w="2200" w:type="dxa"/>
            <w:vAlign w:val="bottom"/>
            <w:gridSpan w:val="2"/>
          </w:tcPr>
          <w:p>
            <w:pPr>
              <w:spacing w:after="0" w:line="106" w:lineRule="exact"/>
              <w:rPr>
                <w:sz w:val="20"/>
                <w:szCs w:val="20"/>
                <w:color w:val="auto"/>
              </w:rPr>
            </w:pPr>
            <w:r>
              <w:rPr>
                <w:rFonts w:ascii="Arial" w:cs="Arial" w:eastAsia="Arial" w:hAnsi="Arial"/>
                <w:sz w:val="10"/>
                <w:szCs w:val="10"/>
                <w:color w:val="auto"/>
              </w:rPr>
              <w:t>Off-Balance-Sheet:</w:t>
            </w: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2180" w:type="dxa"/>
            <w:vAlign w:val="bottom"/>
          </w:tcPr>
          <w:p>
            <w:pPr>
              <w:ind w:left="80"/>
              <w:spacing w:after="0" w:line="106" w:lineRule="exact"/>
              <w:rPr>
                <w:sz w:val="20"/>
                <w:szCs w:val="20"/>
                <w:color w:val="auto"/>
              </w:rPr>
            </w:pPr>
            <w:r>
              <w:rPr>
                <w:rFonts w:ascii="Arial" w:cs="Arial" w:eastAsia="Arial" w:hAnsi="Arial"/>
                <w:sz w:val="10"/>
                <w:szCs w:val="10"/>
                <w:color w:val="auto"/>
              </w:rPr>
              <w:t>Noncancelable Operating Lease Obligations</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2,888</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503</w:t>
            </w:r>
          </w:p>
        </w:tc>
        <w:tc>
          <w:tcPr>
            <w:tcW w:w="24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835</w:t>
            </w:r>
          </w:p>
        </w:tc>
        <w:tc>
          <w:tcPr>
            <w:tcW w:w="2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603</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947</w:t>
            </w:r>
          </w:p>
        </w:tc>
      </w:tr>
      <w:tr>
        <w:trPr>
          <w:trHeight w:val="106"/>
        </w:trPr>
        <w:tc>
          <w:tcPr>
            <w:tcW w:w="20" w:type="dxa"/>
            <w:vAlign w:val="bottom"/>
          </w:tcPr>
          <w:p>
            <w:pPr>
              <w:spacing w:after="0"/>
              <w:rPr>
                <w:sz w:val="9"/>
                <w:szCs w:val="9"/>
                <w:color w:val="auto"/>
              </w:rPr>
            </w:pPr>
          </w:p>
        </w:tc>
        <w:tc>
          <w:tcPr>
            <w:tcW w:w="2180" w:type="dxa"/>
            <w:vAlign w:val="bottom"/>
          </w:tcPr>
          <w:p>
            <w:pPr>
              <w:ind w:left="80"/>
              <w:spacing w:after="0" w:line="106" w:lineRule="exact"/>
              <w:rPr>
                <w:sz w:val="20"/>
                <w:szCs w:val="20"/>
                <w:color w:val="auto"/>
              </w:rPr>
            </w:pPr>
            <w:r>
              <w:rPr>
                <w:rFonts w:ascii="Arial" w:cs="Arial" w:eastAsia="Arial" w:hAnsi="Arial"/>
                <w:sz w:val="10"/>
                <w:szCs w:val="10"/>
                <w:color w:val="auto"/>
              </w:rPr>
              <w:t>Throughput and Take-or-Pay Agreements</w:t>
            </w:r>
          </w:p>
        </w:tc>
        <w:tc>
          <w:tcPr>
            <w:tcW w:w="8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15,726</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5,063</w:t>
            </w:r>
          </w:p>
        </w:tc>
        <w:tc>
          <w:tcPr>
            <w:tcW w:w="24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5,383</w:t>
            </w:r>
          </w:p>
        </w:tc>
        <w:tc>
          <w:tcPr>
            <w:tcW w:w="2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5"/>
              </w:rPr>
              <w:t>1,261</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4,019</w:t>
            </w:r>
          </w:p>
        </w:tc>
      </w:tr>
      <w:tr>
        <w:trPr>
          <w:trHeight w:val="127"/>
        </w:trPr>
        <w:tc>
          <w:tcPr>
            <w:tcW w:w="20" w:type="dxa"/>
            <w:vAlign w:val="bottom"/>
          </w:tcPr>
          <w:p>
            <w:pPr>
              <w:spacing w:after="0"/>
              <w:rPr>
                <w:sz w:val="11"/>
                <w:szCs w:val="11"/>
                <w:color w:val="auto"/>
              </w:rPr>
            </w:pPr>
          </w:p>
        </w:tc>
        <w:tc>
          <w:tcPr>
            <w:tcW w:w="218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 Unconditional Purchase Obligations</w:t>
            </w:r>
            <w:r>
              <w:rPr>
                <w:rFonts w:ascii="Arial" w:cs="Arial" w:eastAsia="Arial" w:hAnsi="Arial"/>
                <w:sz w:val="8"/>
                <w:szCs w:val="8"/>
                <w:color w:val="auto"/>
              </w:rPr>
              <w:t>4</w:t>
            </w:r>
          </w:p>
        </w:tc>
        <w:tc>
          <w:tcPr>
            <w:tcW w:w="8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5,356</w:t>
            </w:r>
          </w:p>
        </w:tc>
        <w:tc>
          <w:tcPr>
            <w:tcW w:w="6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1,342</w:t>
            </w:r>
          </w:p>
        </w:tc>
        <w:tc>
          <w:tcPr>
            <w:tcW w:w="24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2,159</w:t>
            </w:r>
          </w:p>
        </w:tc>
        <w:tc>
          <w:tcPr>
            <w:tcW w:w="22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1,541</w:t>
            </w:r>
          </w:p>
        </w:tc>
        <w:tc>
          <w:tcPr>
            <w:tcW w:w="22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314</w:t>
            </w:r>
          </w:p>
        </w:tc>
      </w:tr>
    </w:tbl>
    <w:p>
      <w:pPr>
        <w:ind w:left="120" w:right="20" w:hanging="97"/>
        <w:spacing w:after="0" w:line="241" w:lineRule="auto"/>
        <w:tabs>
          <w:tab w:leader="none" w:pos="120" w:val="left"/>
        </w:tabs>
        <w:numPr>
          <w:ilvl w:val="0"/>
          <w:numId w:val="36"/>
        </w:numPr>
        <w:rPr>
          <w:rFonts w:ascii="Arial" w:cs="Arial" w:eastAsia="Arial" w:hAnsi="Arial"/>
          <w:sz w:val="8"/>
          <w:szCs w:val="8"/>
          <w:color w:val="auto"/>
        </w:rPr>
      </w:pPr>
      <w:r>
        <w:rPr>
          <w:rFonts w:ascii="Arial" w:cs="Arial" w:eastAsia="Arial" w:hAnsi="Arial"/>
          <w:sz w:val="9"/>
          <w:szCs w:val="9"/>
          <w:color w:val="auto"/>
        </w:rPr>
        <w:t>Excludes contributions for pensions and other postretirement benefit plans. Information on employee benefit plans is contained in Note 22 beginning on page FS-51.</w:t>
      </w:r>
    </w:p>
    <w:p>
      <w:pPr>
        <w:spacing w:after="0" w:line="1" w:lineRule="exact"/>
        <w:rPr>
          <w:sz w:val="20"/>
          <w:szCs w:val="20"/>
          <w:color w:val="auto"/>
        </w:rPr>
      </w:pPr>
    </w:p>
    <w:p>
      <w:pPr>
        <w:ind w:left="120" w:right="100" w:hanging="97"/>
        <w:spacing w:after="0" w:line="259" w:lineRule="auto"/>
        <w:tabs>
          <w:tab w:leader="none" w:pos="120" w:val="left"/>
        </w:tabs>
        <w:numPr>
          <w:ilvl w:val="0"/>
          <w:numId w:val="37"/>
        </w:numPr>
        <w:rPr>
          <w:rFonts w:ascii="Arial" w:cs="Arial" w:eastAsia="Arial" w:hAnsi="Arial"/>
          <w:sz w:val="7"/>
          <w:szCs w:val="7"/>
          <w:color w:val="auto"/>
        </w:rPr>
      </w:pPr>
      <w:r>
        <w:rPr>
          <w:rFonts w:ascii="Arial" w:cs="Arial" w:eastAsia="Arial" w:hAnsi="Arial"/>
          <w:sz w:val="8"/>
          <w:szCs w:val="8"/>
          <w:color w:val="auto"/>
        </w:rPr>
        <w:t>Does not include amounts related to the company’s income tax liabilities associated with uncertain tax positions. The company is unable to make reasonable estimates for the periods in which these liabilities may become payable. The company does not expect settlement of such liabilities will have a material effect on its results of operations, consolidated financial position or liquidity in any single period.</w:t>
      </w:r>
    </w:p>
    <w:p>
      <w:pPr>
        <w:ind w:left="120" w:right="260" w:hanging="97"/>
        <w:spacing w:after="0" w:line="234" w:lineRule="auto"/>
        <w:tabs>
          <w:tab w:leader="none" w:pos="120" w:val="left"/>
        </w:tabs>
        <w:numPr>
          <w:ilvl w:val="0"/>
          <w:numId w:val="38"/>
        </w:numPr>
        <w:rPr>
          <w:rFonts w:ascii="Arial" w:cs="Arial" w:eastAsia="Arial" w:hAnsi="Arial"/>
          <w:sz w:val="8"/>
          <w:szCs w:val="8"/>
          <w:color w:val="auto"/>
        </w:rPr>
      </w:pPr>
      <w:r>
        <w:rPr>
          <w:rFonts w:ascii="Arial" w:cs="Arial" w:eastAsia="Arial" w:hAnsi="Arial"/>
          <w:sz w:val="9"/>
          <w:szCs w:val="9"/>
          <w:color w:val="auto"/>
        </w:rPr>
        <w:t>$5.0 billion of short-term debt that the company expects to refinance is included in long-term debt. The repayment schedule above reflects the projected repayment of the entire amounts in the 2010–2011 period.</w:t>
      </w:r>
    </w:p>
    <w:p>
      <w:pPr>
        <w:ind w:left="120" w:hanging="97"/>
        <w:spacing w:after="0"/>
        <w:tabs>
          <w:tab w:leader="none" w:pos="120" w:val="left"/>
        </w:tabs>
        <w:numPr>
          <w:ilvl w:val="0"/>
          <w:numId w:val="39"/>
        </w:numPr>
        <w:rPr>
          <w:rFonts w:ascii="Arial" w:cs="Arial" w:eastAsia="Arial" w:hAnsi="Arial"/>
          <w:sz w:val="7"/>
          <w:szCs w:val="7"/>
          <w:color w:val="auto"/>
        </w:rPr>
      </w:pPr>
      <w:r>
        <w:rPr>
          <w:rFonts w:ascii="Arial" w:cs="Arial" w:eastAsia="Arial" w:hAnsi="Arial"/>
          <w:sz w:val="8"/>
          <w:szCs w:val="8"/>
          <w:color w:val="auto"/>
        </w:rPr>
        <w:t>Does not include obligations to purchase the company’s share of natural gas liquids and regasified natural gas associated with operations of the</w:t>
      </w:r>
    </w:p>
    <w:p>
      <w:pPr>
        <w:spacing w:after="0" w:line="4" w:lineRule="exact"/>
        <w:rPr>
          <w:rFonts w:ascii="Arial" w:cs="Arial" w:eastAsia="Arial" w:hAnsi="Arial"/>
          <w:sz w:val="7"/>
          <w:szCs w:val="7"/>
          <w:color w:val="auto"/>
        </w:rPr>
      </w:pPr>
    </w:p>
    <w:p>
      <w:pPr>
        <w:ind w:left="120"/>
        <w:spacing w:after="0" w:line="230" w:lineRule="auto"/>
        <w:rPr>
          <w:rFonts w:ascii="Arial" w:cs="Arial" w:eastAsia="Arial" w:hAnsi="Arial"/>
          <w:sz w:val="7"/>
          <w:szCs w:val="7"/>
          <w:color w:val="auto"/>
        </w:rPr>
      </w:pPr>
      <w:r>
        <w:rPr>
          <w:rFonts w:ascii="Arial" w:cs="Arial" w:eastAsia="Arial" w:hAnsi="Arial"/>
          <w:sz w:val="9"/>
          <w:szCs w:val="9"/>
          <w:color w:val="auto"/>
        </w:rPr>
        <w:t>36.4 percent-owned Angola LNG affiliate. The LNG plant is expected to commence operations in 2012 and is designed to produce 5.2 million metric tons of liquefied natural gas and related natural gas liquids per year. Volumes and prices associated with these purchase obligations are neither fixed nor determinable.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and Derivative Instruments</w:t>
      </w:r>
    </w:p>
    <w:p>
      <w:pPr>
        <w:spacing w:after="0" w:line="122" w:lineRule="exact"/>
        <w:rPr>
          <w:sz w:val="20"/>
          <w:szCs w:val="20"/>
          <w:color w:val="auto"/>
        </w:rPr>
      </w:pPr>
    </w:p>
    <w:p>
      <w:pPr>
        <w:ind w:right="100" w:firstLine="158"/>
        <w:spacing w:after="0" w:line="251" w:lineRule="auto"/>
        <w:rPr>
          <w:sz w:val="20"/>
          <w:szCs w:val="20"/>
          <w:color w:val="auto"/>
        </w:rPr>
      </w:pPr>
      <w:r>
        <w:rPr>
          <w:rFonts w:ascii="Arial" w:cs="Arial" w:eastAsia="Arial" w:hAnsi="Arial"/>
          <w:sz w:val="13"/>
          <w:szCs w:val="13"/>
          <w:color w:val="auto"/>
        </w:rPr>
        <w:t>The market risk associated with the company’s portfolio of financial and derivative instruments is discussed below. The estimates of financial exposure to market risk discussed below do not represent the company’s projection of future market changes. The actual impact of future market changes could differ materially due to factors discussed elsewhere in this report, including those set forth under the heading “Risk</w:t>
      </w:r>
    </w:p>
    <w:p>
      <w:pPr>
        <w:spacing w:after="0" w:line="200" w:lineRule="exact"/>
        <w:rPr>
          <w:sz w:val="20"/>
          <w:szCs w:val="20"/>
          <w:color w:val="auto"/>
        </w:rPr>
      </w:pPr>
    </w:p>
    <w:p>
      <w:pPr>
        <w:sectPr>
          <w:pgSz w:w="11900" w:h="16838" w:orient="portrait"/>
          <w:cols w:equalWidth="0" w:num="2">
            <w:col w:w="5500" w:space="460"/>
            <w:col w:w="5480"/>
          </w:cols>
          <w:pgMar w:left="220" w:top="339" w:right="239" w:bottom="1440" w:gutter="0" w:footer="0" w:header="0"/>
          <w:type w:val="continuous"/>
        </w:sectPr>
      </w:pP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9" w:right="239" w:bottom="1440" w:gutter="0" w:footer="0" w:header="0"/>
          <w:type w:val="continuous"/>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80"/>
          </w:cols>
          <w:pgMar w:left="220" w:top="33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Factors” in Part I, Item 1A, of the company’s 2008 Annual Report on Form 10-K.</w:t>
      </w:r>
    </w:p>
    <w:p>
      <w:pPr>
        <w:spacing w:after="0" w:line="129" w:lineRule="exact"/>
        <w:rPr>
          <w:sz w:val="20"/>
          <w:szCs w:val="20"/>
          <w:color w:val="auto"/>
        </w:rPr>
      </w:pPr>
    </w:p>
    <w:p>
      <w:pPr>
        <w:ind w:right="80" w:firstLine="160"/>
        <w:spacing w:after="0" w:line="299" w:lineRule="auto"/>
        <w:rPr>
          <w:sz w:val="20"/>
          <w:szCs w:val="20"/>
          <w:color w:val="auto"/>
        </w:rPr>
      </w:pPr>
      <w:r>
        <w:rPr>
          <w:rFonts w:ascii="Arial" w:cs="Arial" w:eastAsia="Arial" w:hAnsi="Arial"/>
          <w:sz w:val="11"/>
          <w:szCs w:val="11"/>
          <w:i w:val="1"/>
          <w:iCs w:val="1"/>
          <w:color w:val="E51837"/>
        </w:rPr>
        <w:t xml:space="preserve">Derivative Commodity Instruments </w:t>
      </w:r>
      <w:r>
        <w:rPr>
          <w:rFonts w:ascii="Arial" w:cs="Arial" w:eastAsia="Arial" w:hAnsi="Arial"/>
          <w:sz w:val="11"/>
          <w:szCs w:val="11"/>
          <w:color w:val="000000"/>
        </w:rPr>
        <w:t>Chevron is exposed to market risks related to the price volatility of</w:t>
      </w:r>
      <w:r>
        <w:rPr>
          <w:rFonts w:ascii="Arial" w:cs="Arial" w:eastAsia="Arial" w:hAnsi="Arial"/>
          <w:sz w:val="11"/>
          <w:szCs w:val="11"/>
          <w:i w:val="1"/>
          <w:iCs w:val="1"/>
          <w:color w:val="E51837"/>
        </w:rPr>
        <w:t xml:space="preserve"> </w:t>
      </w:r>
      <w:r>
        <w:rPr>
          <w:rFonts w:ascii="Arial" w:cs="Arial" w:eastAsia="Arial" w:hAnsi="Arial"/>
          <w:sz w:val="11"/>
          <w:szCs w:val="11"/>
          <w:color w:val="000000"/>
        </w:rPr>
        <w:t>crude oil, refined products, natural gas, natural gas liquids, liquefied natural gas and refinery feedstocks.</w:t>
      </w:r>
    </w:p>
    <w:p>
      <w:pPr>
        <w:spacing w:after="0" w:line="1" w:lineRule="exact"/>
        <w:rPr>
          <w:sz w:val="20"/>
          <w:szCs w:val="20"/>
          <w:color w:val="auto"/>
        </w:rPr>
      </w:pPr>
    </w:p>
    <w:p>
      <w:pPr>
        <w:ind w:right="260" w:firstLine="158"/>
        <w:spacing w:after="0" w:line="291" w:lineRule="auto"/>
        <w:rPr>
          <w:sz w:val="20"/>
          <w:szCs w:val="20"/>
          <w:color w:val="auto"/>
        </w:rPr>
      </w:pPr>
      <w:r>
        <w:rPr>
          <w:rFonts w:ascii="Arial" w:cs="Arial" w:eastAsia="Arial" w:hAnsi="Arial"/>
          <w:sz w:val="11"/>
          <w:szCs w:val="11"/>
          <w:color w:val="auto"/>
        </w:rPr>
        <w:t>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The company also uses derivative commodity instruments for limited trading purposes. The results of this activity were not material to the company’s financial position, net income or cash flows in 2008.</w:t>
      </w:r>
    </w:p>
    <w:p>
      <w:pPr>
        <w:spacing w:after="0" w:line="2" w:lineRule="exact"/>
        <w:rPr>
          <w:sz w:val="20"/>
          <w:szCs w:val="20"/>
          <w:color w:val="auto"/>
        </w:rPr>
      </w:pPr>
    </w:p>
    <w:p>
      <w:pPr>
        <w:ind w:right="160" w:firstLine="158"/>
        <w:spacing w:after="0" w:line="267" w:lineRule="auto"/>
        <w:rPr>
          <w:sz w:val="20"/>
          <w:szCs w:val="20"/>
          <w:color w:val="auto"/>
        </w:rPr>
      </w:pPr>
      <w:r>
        <w:rPr>
          <w:rFonts w:ascii="Arial" w:cs="Arial" w:eastAsia="Arial" w:hAnsi="Arial"/>
          <w:sz w:val="12"/>
          <w:szCs w:val="12"/>
          <w:color w:val="auto"/>
        </w:rPr>
        <w:t>The company’s market exposure positions are monitored and managed on a daily basis by an internal Risk Control group to ensure compliance with the company’s risk management policies that have been approved by the Audit Committee of the company’s Board of Directors.</w:t>
      </w:r>
    </w:p>
    <w:p>
      <w:pPr>
        <w:spacing w:after="0" w:line="1" w:lineRule="exact"/>
        <w:rPr>
          <w:sz w:val="20"/>
          <w:szCs w:val="20"/>
          <w:color w:val="auto"/>
        </w:rPr>
      </w:pPr>
    </w:p>
    <w:p>
      <w:pPr>
        <w:ind w:firstLine="158"/>
        <w:spacing w:after="0" w:line="246" w:lineRule="auto"/>
        <w:rPr>
          <w:sz w:val="20"/>
          <w:szCs w:val="20"/>
          <w:color w:val="auto"/>
        </w:rPr>
      </w:pPr>
      <w:r>
        <w:rPr>
          <w:rFonts w:ascii="Arial" w:cs="Arial" w:eastAsia="Arial" w:hAnsi="Arial"/>
          <w:sz w:val="13"/>
          <w:szCs w:val="13"/>
          <w:color w:val="auto"/>
        </w:rPr>
        <w:t>The derivative instruments used in the company’s risk management and trading activities consist mainly of futures, options and swap contracts traded on the NYMEX (New York Mercantile Exchange) and on electronic platforms of ICE (Inter-Continental Exchange) and GLOBEX (Chicago Mercantile Exchange). In addition, crude oil, natural gas and refined-product swap contracts and option contracts are entered into principally with major financial institutions and other oil and gas companies in the “over-the-counter” markets.</w:t>
      </w:r>
    </w:p>
    <w:p>
      <w:pPr>
        <w:spacing w:after="0" w:line="3" w:lineRule="exact"/>
        <w:rPr>
          <w:sz w:val="20"/>
          <w:szCs w:val="20"/>
          <w:color w:val="auto"/>
        </w:rPr>
      </w:pPr>
    </w:p>
    <w:p>
      <w:pPr>
        <w:ind w:right="80" w:firstLine="158"/>
        <w:spacing w:after="0" w:line="246" w:lineRule="auto"/>
        <w:rPr>
          <w:sz w:val="20"/>
          <w:szCs w:val="20"/>
          <w:color w:val="auto"/>
        </w:rPr>
      </w:pPr>
      <w:r>
        <w:rPr>
          <w:rFonts w:ascii="Arial" w:cs="Arial" w:eastAsia="Arial" w:hAnsi="Arial"/>
          <w:sz w:val="13"/>
          <w:szCs w:val="13"/>
          <w:color w:val="auto"/>
        </w:rPr>
        <w:t>Virtually all derivatives beyond those designated as normal purchase and normal sale contracts are recorded at fair value on the Consolidated Balance Sheet with resulting gains and losses reflected in income. Fair values are derived principally from published market quotes and other independent third-party quotes. The change in fair value from Chevron’s derivative commodity instruments in 2008 was a quarterly average increase of $160 million in total assets and a quarterly average decrease of $1 million in total liabilities.</w:t>
      </w:r>
    </w:p>
    <w:p>
      <w:pPr>
        <w:spacing w:after="0" w:line="3" w:lineRule="exact"/>
        <w:rPr>
          <w:sz w:val="20"/>
          <w:szCs w:val="20"/>
          <w:color w:val="auto"/>
        </w:rPr>
      </w:pPr>
    </w:p>
    <w:p>
      <w:pPr>
        <w:ind w:right="20" w:firstLine="158"/>
        <w:spacing w:after="0" w:line="271" w:lineRule="auto"/>
        <w:rPr>
          <w:sz w:val="20"/>
          <w:szCs w:val="20"/>
          <w:color w:val="auto"/>
        </w:rPr>
      </w:pPr>
      <w:r>
        <w:rPr>
          <w:rFonts w:ascii="Arial" w:cs="Arial" w:eastAsia="Arial" w:hAnsi="Arial"/>
          <w:sz w:val="12"/>
          <w:szCs w:val="12"/>
          <w:color w:val="auto"/>
        </w:rPr>
        <w:t>The company uses a Value-at-Risk (VaR) model to estimate the potential loss in fair value on a single day from the effect of adverse changes in market conditions on derivative instruments held or issued, which are recorded on the balance sheet at December 31, 2008, as derivative instruments in accordance with FAS Statement No. 133, “Accounting for Derivative Instruments and Hedging Activities,” as amended (FAS 133). VaR is the maximum loss not to be exceeded within a given probability or confidence level over a given period of time. The company’s VaR model uses the Monte Carlo simulation method that involves generating hypothetical scenarios from the specified probability distribution and constructing a full distribution of a portfolio’s potential values.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right="80" w:firstLine="158"/>
        <w:spacing w:after="0" w:line="295" w:lineRule="auto"/>
        <w:rPr>
          <w:sz w:val="20"/>
          <w:szCs w:val="20"/>
          <w:color w:val="auto"/>
        </w:rPr>
      </w:pPr>
      <w:r>
        <w:rPr>
          <w:rFonts w:ascii="Arial" w:cs="Arial" w:eastAsia="Arial" w:hAnsi="Arial"/>
          <w:sz w:val="11"/>
          <w:szCs w:val="11"/>
          <w:color w:val="auto"/>
        </w:rPr>
        <w:t>The VaR model utilizes an exponentially weighted moving average for computing historical volatilities and correlations, a 95 percent confidence level, and a one-day holding period. That is, the company’s 95 percent, one-day VaR corresponds to the unrealized loss in portfolio value that would not be exceeded on average more than one in every 20 trading days, if the portfolio were held constant for one day.</w:t>
      </w:r>
    </w:p>
    <w:p>
      <w:pPr>
        <w:spacing w:after="0" w:line="2" w:lineRule="exact"/>
        <w:rPr>
          <w:sz w:val="20"/>
          <w:szCs w:val="20"/>
          <w:color w:val="auto"/>
        </w:rPr>
      </w:pPr>
    </w:p>
    <w:p>
      <w:pPr>
        <w:ind w:right="140" w:firstLine="158"/>
        <w:spacing w:after="0" w:line="271" w:lineRule="auto"/>
        <w:rPr>
          <w:sz w:val="20"/>
          <w:szCs w:val="20"/>
          <w:color w:val="auto"/>
        </w:rPr>
      </w:pPr>
      <w:r>
        <w:rPr>
          <w:rFonts w:ascii="Arial" w:cs="Arial" w:eastAsia="Arial" w:hAnsi="Arial"/>
          <w:sz w:val="12"/>
          <w:szCs w:val="12"/>
          <w:color w:val="auto"/>
        </w:rPr>
        <w:t>The one-day holding period is based on the assumption that market-risk positions can be liquidated or hedged within one day. For hedging and risk management, the company uses conventional exchange-traded instruments such as futures and options as well as non-exchange-traded swaps, most of which can be liquidated or hedged effectively within one day. The table below presents the 95 percent/one-day VaR for each of the company’s primary risk exposures in the area of derivative commodity instruments at December 31, 2008 and 2007. The higher amounts in 2008 were associated with an increase in price volatility for these commodities during the year.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20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w w:val="98"/>
              </w:rPr>
              <w:t>2008</w:t>
            </w:r>
          </w:p>
        </w:tc>
        <w:tc>
          <w:tcPr>
            <w:tcW w:w="18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w w:val="98"/>
              </w:rPr>
              <w:t>2007</w:t>
            </w:r>
          </w:p>
        </w:tc>
      </w:tr>
      <w:tr>
        <w:trPr>
          <w:trHeight w:val="90"/>
        </w:trPr>
        <w:tc>
          <w:tcPr>
            <w:tcW w:w="2620" w:type="dxa"/>
            <w:vAlign w:val="bottom"/>
          </w:tcPr>
          <w:p>
            <w:pPr>
              <w:spacing w:after="0" w:line="91" w:lineRule="exact"/>
              <w:rPr>
                <w:sz w:val="20"/>
                <w:szCs w:val="20"/>
                <w:color w:val="auto"/>
              </w:rPr>
            </w:pPr>
            <w:r>
              <w:rPr>
                <w:rFonts w:ascii="Arial" w:cs="Arial" w:eastAsia="Arial" w:hAnsi="Arial"/>
                <w:sz w:val="10"/>
                <w:szCs w:val="10"/>
                <w:color w:val="auto"/>
              </w:rPr>
              <w:t>Crude Oil</w:t>
            </w:r>
          </w:p>
        </w:tc>
        <w:tc>
          <w:tcPr>
            <w:tcW w:w="202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w:t>
            </w:r>
          </w:p>
        </w:tc>
        <w:tc>
          <w:tcPr>
            <w:tcW w:w="40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39</w:t>
            </w:r>
          </w:p>
        </w:tc>
        <w:tc>
          <w:tcPr>
            <w:tcW w:w="1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00" w:type="dxa"/>
            <w:vAlign w:val="bottom"/>
          </w:tcPr>
          <w:p>
            <w:pPr>
              <w:jc w:val="right"/>
              <w:ind w:right="10"/>
              <w:spacing w:after="0" w:line="91" w:lineRule="exact"/>
              <w:rPr>
                <w:sz w:val="20"/>
                <w:szCs w:val="20"/>
                <w:color w:val="auto"/>
              </w:rPr>
            </w:pPr>
            <w:r>
              <w:rPr>
                <w:rFonts w:ascii="Arial" w:cs="Arial" w:eastAsia="Arial" w:hAnsi="Arial"/>
                <w:sz w:val="10"/>
                <w:szCs w:val="10"/>
                <w:color w:val="auto"/>
              </w:rPr>
              <w:t>29</w:t>
            </w:r>
          </w:p>
        </w:tc>
      </w:tr>
      <w:tr>
        <w:trPr>
          <w:trHeight w:val="106"/>
        </w:trPr>
        <w:tc>
          <w:tcPr>
            <w:tcW w:w="2620" w:type="dxa"/>
            <w:vAlign w:val="bottom"/>
          </w:tcPr>
          <w:p>
            <w:pPr>
              <w:spacing w:after="0" w:line="106" w:lineRule="exact"/>
              <w:rPr>
                <w:sz w:val="20"/>
                <w:szCs w:val="20"/>
                <w:color w:val="auto"/>
              </w:rPr>
            </w:pPr>
            <w:r>
              <w:rPr>
                <w:rFonts w:ascii="Arial" w:cs="Arial" w:eastAsia="Arial" w:hAnsi="Arial"/>
                <w:sz w:val="10"/>
                <w:szCs w:val="10"/>
                <w:color w:val="auto"/>
              </w:rPr>
              <w:t>Natural Gas</w:t>
            </w:r>
          </w:p>
        </w:tc>
        <w:tc>
          <w:tcPr>
            <w:tcW w:w="2020" w:type="dxa"/>
            <w:vAlign w:val="bottom"/>
          </w:tcPr>
          <w:p>
            <w:pPr>
              <w:spacing w:after="0"/>
              <w:rPr>
                <w:sz w:val="9"/>
                <w:szCs w:val="9"/>
                <w:color w:val="auto"/>
              </w:rPr>
            </w:pPr>
          </w:p>
        </w:tc>
        <w:tc>
          <w:tcPr>
            <w:tcW w:w="40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5</w:t>
            </w:r>
          </w:p>
        </w:tc>
        <w:tc>
          <w:tcPr>
            <w:tcW w:w="180" w:type="dxa"/>
            <w:vAlign w:val="bottom"/>
          </w:tcPr>
          <w:p>
            <w:pPr>
              <w:spacing w:after="0"/>
              <w:rPr>
                <w:sz w:val="9"/>
                <w:szCs w:val="9"/>
                <w:color w:val="auto"/>
              </w:rPr>
            </w:pPr>
          </w:p>
        </w:tc>
        <w:tc>
          <w:tcPr>
            <w:tcW w:w="300" w:type="dxa"/>
            <w:vAlign w:val="bottom"/>
          </w:tcPr>
          <w:p>
            <w:pPr>
              <w:jc w:val="right"/>
              <w:ind w:right="10"/>
              <w:spacing w:after="0" w:line="106" w:lineRule="exact"/>
              <w:rPr>
                <w:sz w:val="20"/>
                <w:szCs w:val="20"/>
                <w:color w:val="auto"/>
              </w:rPr>
            </w:pPr>
            <w:r>
              <w:rPr>
                <w:rFonts w:ascii="Arial" w:cs="Arial" w:eastAsia="Arial" w:hAnsi="Arial"/>
                <w:sz w:val="10"/>
                <w:szCs w:val="10"/>
                <w:color w:val="auto"/>
              </w:rPr>
              <w:t>3</w:t>
            </w:r>
          </w:p>
        </w:tc>
      </w:tr>
      <w:tr>
        <w:trPr>
          <w:trHeight w:val="129"/>
        </w:trPr>
        <w:tc>
          <w:tcPr>
            <w:tcW w:w="26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Refined Products</w:t>
            </w:r>
          </w:p>
        </w:tc>
        <w:tc>
          <w:tcPr>
            <w:tcW w:w="2020" w:type="dxa"/>
            <w:vAlign w:val="bottom"/>
            <w:tcBorders>
              <w:bottom w:val="single" w:sz="8" w:color="0077C0"/>
            </w:tcBorders>
          </w:tcPr>
          <w:p>
            <w:pPr>
              <w:spacing w:after="0"/>
              <w:rPr>
                <w:sz w:val="11"/>
                <w:szCs w:val="11"/>
                <w:color w:val="auto"/>
              </w:rPr>
            </w:pPr>
          </w:p>
        </w:tc>
        <w:tc>
          <w:tcPr>
            <w:tcW w:w="40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45</w:t>
            </w:r>
          </w:p>
        </w:tc>
        <w:tc>
          <w:tcPr>
            <w:tcW w:w="180" w:type="dxa"/>
            <w:vAlign w:val="bottom"/>
            <w:tcBorders>
              <w:bottom w:val="single" w:sz="8" w:color="0077C0"/>
            </w:tcBorders>
          </w:tcPr>
          <w:p>
            <w:pPr>
              <w:spacing w:after="0"/>
              <w:rPr>
                <w:sz w:val="11"/>
                <w:szCs w:val="11"/>
                <w:color w:val="auto"/>
              </w:rPr>
            </w:pPr>
          </w:p>
        </w:tc>
        <w:tc>
          <w:tcPr>
            <w:tcW w:w="300" w:type="dxa"/>
            <w:vAlign w:val="bottom"/>
            <w:tcBorders>
              <w:bottom w:val="single" w:sz="8" w:color="0077C0"/>
            </w:tcBorders>
          </w:tcPr>
          <w:p>
            <w:pPr>
              <w:jc w:val="right"/>
              <w:ind w:right="10"/>
              <w:spacing w:after="0"/>
              <w:rPr>
                <w:sz w:val="20"/>
                <w:szCs w:val="20"/>
                <w:color w:val="auto"/>
              </w:rPr>
            </w:pPr>
            <w:r>
              <w:rPr>
                <w:rFonts w:ascii="Arial" w:cs="Arial" w:eastAsia="Arial" w:hAnsi="Arial"/>
                <w:sz w:val="10"/>
                <w:szCs w:val="10"/>
                <w:color w:val="auto"/>
              </w:rPr>
              <w:t>23</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E51837"/>
        </w:rPr>
        <w:t xml:space="preserve">Foreign Currency </w:t>
      </w:r>
      <w:r>
        <w:rPr>
          <w:rFonts w:ascii="Arial" w:cs="Arial" w:eastAsia="Arial" w:hAnsi="Arial"/>
          <w:sz w:val="12"/>
          <w:szCs w:val="12"/>
          <w:color w:val="000000"/>
        </w:rPr>
        <w:t>The company enters into forward exchange contracts, generally with terms of</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180 days or less, to manage some of its foreign currency exposures. These exposures include revenue and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anticipated purchase transactions, including foreign currency capital expenditures and lease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forecasted to occur within 180 days. The forward exchange contracts are recorded at fair value on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balance sheet with resulting gains and losses reflected in income.</w:t>
      </w:r>
    </w:p>
    <w:p>
      <w:pPr>
        <w:spacing w:after="0" w:line="121" w:lineRule="exact"/>
        <w:rPr>
          <w:sz w:val="20"/>
          <w:szCs w:val="20"/>
          <w:color w:val="auto"/>
        </w:rPr>
      </w:pPr>
    </w:p>
    <w:p>
      <w:pPr>
        <w:ind w:right="200" w:firstLine="158"/>
        <w:spacing w:after="0" w:line="250" w:lineRule="auto"/>
        <w:rPr>
          <w:sz w:val="20"/>
          <w:szCs w:val="20"/>
          <w:color w:val="auto"/>
        </w:rPr>
      </w:pPr>
      <w:r>
        <w:rPr>
          <w:rFonts w:ascii="Arial" w:cs="Arial" w:eastAsia="Arial" w:hAnsi="Arial"/>
          <w:sz w:val="13"/>
          <w:szCs w:val="13"/>
          <w:color w:val="auto"/>
        </w:rPr>
        <w:t>The aggregate effect of a hypothetical 10 percent increase in the value of the U.S. dollar at year-end 2008 would be a reduction in the fair value of the foreign exchange contracts of approximately $100 million. The effect would be the opposite for a hypothetical 10 percent decrease in the value of the U.S. dollar at year-end 2008.</w:t>
      </w:r>
    </w:p>
    <w:p>
      <w:pPr>
        <w:spacing w:after="0" w:line="1" w:lineRule="exact"/>
        <w:rPr>
          <w:sz w:val="20"/>
          <w:szCs w:val="20"/>
          <w:color w:val="auto"/>
        </w:rPr>
      </w:pPr>
    </w:p>
    <w:p>
      <w:pPr>
        <w:ind w:right="60" w:firstLine="160"/>
        <w:spacing w:after="0" w:line="271" w:lineRule="auto"/>
        <w:rPr>
          <w:sz w:val="20"/>
          <w:szCs w:val="20"/>
          <w:color w:val="auto"/>
        </w:rPr>
      </w:pPr>
      <w:r>
        <w:rPr>
          <w:rFonts w:ascii="Arial" w:cs="Arial" w:eastAsia="Arial" w:hAnsi="Arial"/>
          <w:sz w:val="12"/>
          <w:szCs w:val="12"/>
          <w:i w:val="1"/>
          <w:iCs w:val="1"/>
          <w:color w:val="E51837"/>
        </w:rPr>
        <w:t xml:space="preserve">Interest Rates </w:t>
      </w:r>
      <w:r>
        <w:rPr>
          <w:rFonts w:ascii="Arial" w:cs="Arial" w:eastAsia="Arial" w:hAnsi="Arial"/>
          <w:sz w:val="12"/>
          <w:szCs w:val="12"/>
          <w:color w:val="000000"/>
        </w:rPr>
        <w:t>The company enters into interest-rate swaps from time to time as part of its overall</w:t>
      </w:r>
      <w:r>
        <w:rPr>
          <w:rFonts w:ascii="Arial" w:cs="Arial" w:eastAsia="Arial" w:hAnsi="Arial"/>
          <w:sz w:val="12"/>
          <w:szCs w:val="12"/>
          <w:i w:val="1"/>
          <w:iCs w:val="1"/>
          <w:color w:val="E51837"/>
        </w:rPr>
        <w:t xml:space="preserve"> </w:t>
      </w:r>
      <w:r>
        <w:rPr>
          <w:rFonts w:ascii="Arial" w:cs="Arial" w:eastAsia="Arial" w:hAnsi="Arial"/>
          <w:sz w:val="12"/>
          <w:szCs w:val="12"/>
          <w:color w:val="000000"/>
        </w:rPr>
        <w:t>strategy to manage the interest rate risk on its debt. Under the terms of the swaps, net cash settlements are based on the difference between fixed-rate and floating-rate interest amounts calculated by reference to agreed notional principal amounts. Interest rate swaps related to a portion of the company’s fixed-rate debt are accounted for as fair value hedges. Interest rate swaps related to floating-rate debt are recorded at fair value on the balance sheet with resulting gains and losses reflected in income. At year-end 2008, the company had no interest-rate swaps on floating-rate debt. The company’s only interest-rate swaps on fixed-rate debt matured in January 2009.</w:t>
      </w:r>
    </w:p>
    <w:p>
      <w:pPr>
        <w:spacing w:after="0" w:line="200" w:lineRule="exact"/>
        <w:rPr>
          <w:sz w:val="20"/>
          <w:szCs w:val="20"/>
          <w:color w:val="auto"/>
        </w:rPr>
      </w:pPr>
    </w:p>
    <w:p>
      <w:pPr>
        <w:sectPr>
          <w:pgSz w:w="11900" w:h="16838" w:orient="portrait"/>
          <w:cols w:equalWidth="0" w:num="2">
            <w:col w:w="5500" w:space="460"/>
            <w:col w:w="5520"/>
          </w:cols>
          <w:pgMar w:left="220" w:top="339" w:right="19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Transactions With Related Parties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Chevron enters into a number of business arrangements with related parties, principally its equity affiliates. These arrangements include long-term supply or offtake agreements and long-term purchase agreements. Refer to Other Information in Note 12 of the Consolidated Financial Statements, page FS-42, for further discussion. Management believes these agreements have been negotiated on terms consistent with those that would have been negotiated with an unrelated party.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Litigation and Other Contingencies</w:t>
      </w:r>
    </w:p>
    <w:p>
      <w:pPr>
        <w:spacing w:after="0" w:line="116"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i w:val="1"/>
          <w:iCs w:val="1"/>
          <w:color w:val="E51837"/>
        </w:rPr>
        <w:t xml:space="preserve">MTBE </w:t>
      </w:r>
      <w:r>
        <w:rPr>
          <w:rFonts w:ascii="Arial" w:cs="Arial" w:eastAsia="Arial" w:hAnsi="Arial"/>
          <w:sz w:val="11"/>
          <w:szCs w:val="11"/>
          <w:color w:val="000000"/>
        </w:rPr>
        <w:t>Chevron and many other companies in the petroleum industry have used methyl tertiary butyl ether</w:t>
      </w:r>
      <w:r>
        <w:rPr>
          <w:rFonts w:ascii="Arial" w:cs="Arial" w:eastAsia="Arial" w:hAnsi="Arial"/>
          <w:sz w:val="11"/>
          <w:szCs w:val="11"/>
          <w:i w:val="1"/>
          <w:iCs w:val="1"/>
          <w:color w:val="E51837"/>
        </w:rPr>
        <w:t xml:space="preserve"> </w:t>
      </w:r>
      <w:r>
        <w:rPr>
          <w:rFonts w:ascii="Arial" w:cs="Arial" w:eastAsia="Arial" w:hAnsi="Arial"/>
          <w:sz w:val="11"/>
          <w:szCs w:val="11"/>
          <w:color w:val="000000"/>
        </w:rPr>
        <w:t>(MTBE) as a gasoline additive. In October 2008, 59 cases were settled in which the company was a party and which related to the use of MTBE in certain oxygenated gasolines and the alleged seepage of MTBE into groundwater. The terms of this agreement are confidential and not material to the company’s results of operations, liquidity or financial position. Chevron is a party to 37 other pending lawsuits and claims, the majority of which involve numerous other petroleum marketers and refiners. Resolution of these lawsuits and claims may ultimately require the company to correct or ameliorate the alleged effects on the environment of prior release of MTBE by the company or other parties. Additional lawsuits and claims related to the use of MTBE, including personal-injury claims, may be filed in the future. The settlement of the 59 lawsuits did not set any precedents related to standards of liability to be used to judge the merits of the claims, corrective measures required or monetary damages to be assessed for the remaining lawsuits and claims or future lawsuits and claims. As a result, the company’s ultimate exposure related to pending lawsuits and claims is not currently determinable, but could be material to net income in any one period. The company no longer uses MTBE in the manufacture of gasoline in the United States.</w:t>
      </w:r>
    </w:p>
    <w:p>
      <w:pPr>
        <w:spacing w:after="0" w:line="7" w:lineRule="exact"/>
        <w:rPr>
          <w:sz w:val="20"/>
          <w:szCs w:val="20"/>
          <w:color w:val="auto"/>
        </w:rPr>
      </w:pPr>
    </w:p>
    <w:p>
      <w:pPr>
        <w:ind w:right="60" w:firstLine="160"/>
        <w:spacing w:after="0" w:line="267" w:lineRule="auto"/>
        <w:rPr>
          <w:sz w:val="20"/>
          <w:szCs w:val="20"/>
          <w:color w:val="auto"/>
        </w:rPr>
      </w:pPr>
      <w:r>
        <w:rPr>
          <w:rFonts w:ascii="Arial" w:cs="Arial" w:eastAsia="Arial" w:hAnsi="Arial"/>
          <w:sz w:val="12"/>
          <w:szCs w:val="12"/>
          <w:i w:val="1"/>
          <w:iCs w:val="1"/>
          <w:color w:val="E51837"/>
        </w:rPr>
        <w:t xml:space="preserve">RFG Patent </w:t>
      </w:r>
      <w:r>
        <w:rPr>
          <w:rFonts w:ascii="Arial" w:cs="Arial" w:eastAsia="Arial" w:hAnsi="Arial"/>
          <w:sz w:val="12"/>
          <w:szCs w:val="12"/>
          <w:color w:val="000000"/>
        </w:rPr>
        <w:t>Fourteen purported class actions were brought by consumers who purchased reformulated</w:t>
      </w:r>
      <w:r>
        <w:rPr>
          <w:rFonts w:ascii="Arial" w:cs="Arial" w:eastAsia="Arial" w:hAnsi="Arial"/>
          <w:sz w:val="12"/>
          <w:szCs w:val="12"/>
          <w:i w:val="1"/>
          <w:iCs w:val="1"/>
          <w:color w:val="E51837"/>
        </w:rPr>
        <w:t xml:space="preserve"> </w:t>
      </w:r>
      <w:r>
        <w:rPr>
          <w:rFonts w:ascii="Arial" w:cs="Arial" w:eastAsia="Arial" w:hAnsi="Arial"/>
          <w:sz w:val="12"/>
          <w:szCs w:val="12"/>
          <w:color w:val="000000"/>
        </w:rPr>
        <w:t xml:space="preserve">gasoline (RFG) from January 1995 through August 2005, alleging that Unocal misled the California Air Resources Board into adopting standards for composition of RFG that overlapped with Unocal’s undisclosed and pending patents. The parties agreed to a settlement that calls for, among other things, Unocal to pay $48 million and for the establishment of a </w:t>
      </w:r>
      <w:r>
        <w:rPr>
          <w:rFonts w:ascii="Arial" w:cs="Arial" w:eastAsia="Arial" w:hAnsi="Arial"/>
          <w:sz w:val="12"/>
          <w:szCs w:val="12"/>
          <w:i w:val="1"/>
          <w:iCs w:val="1"/>
          <w:color w:val="000000"/>
        </w:rPr>
        <w:t>cy pres</w:t>
      </w:r>
      <w:r>
        <w:rPr>
          <w:rFonts w:ascii="Arial" w:cs="Arial" w:eastAsia="Arial" w:hAnsi="Arial"/>
          <w:sz w:val="12"/>
          <w:szCs w:val="12"/>
          <w:color w:val="000000"/>
        </w:rPr>
        <w:t xml:space="preserve"> fund to administer payout of the award. The court approved the final settlement in November 2008.</w:t>
      </w:r>
    </w:p>
    <w:p>
      <w:pPr>
        <w:spacing w:after="0" w:line="1" w:lineRule="exact"/>
        <w:rPr>
          <w:sz w:val="20"/>
          <w:szCs w:val="20"/>
          <w:color w:val="auto"/>
        </w:rPr>
      </w:pPr>
    </w:p>
    <w:p>
      <w:pPr>
        <w:ind w:right="120" w:firstLine="160"/>
        <w:spacing w:after="0" w:line="300" w:lineRule="auto"/>
        <w:rPr>
          <w:sz w:val="20"/>
          <w:szCs w:val="20"/>
          <w:color w:val="auto"/>
        </w:rPr>
      </w:pPr>
      <w:r>
        <w:rPr>
          <w:rFonts w:ascii="Arial" w:cs="Arial" w:eastAsia="Arial" w:hAnsi="Arial"/>
          <w:sz w:val="11"/>
          <w:szCs w:val="11"/>
          <w:i w:val="1"/>
          <w:iCs w:val="1"/>
          <w:color w:val="E51837"/>
        </w:rPr>
        <w:t xml:space="preserve">Ecuador </w:t>
      </w:r>
      <w:r>
        <w:rPr>
          <w:rFonts w:ascii="Arial" w:cs="Arial" w:eastAsia="Arial" w:hAnsi="Arial"/>
          <w:sz w:val="11"/>
          <w:szCs w:val="11"/>
          <w:color w:val="000000"/>
        </w:rPr>
        <w:t>Chevron is a defendant in a civil lawsuit before the Superior Court of Nueva Loja in Lago</w:t>
      </w:r>
      <w:r>
        <w:rPr>
          <w:rFonts w:ascii="Arial" w:cs="Arial" w:eastAsia="Arial" w:hAnsi="Arial"/>
          <w:sz w:val="11"/>
          <w:szCs w:val="11"/>
          <w:i w:val="1"/>
          <w:iCs w:val="1"/>
          <w:color w:val="E51837"/>
        </w:rPr>
        <w:t xml:space="preserve"> </w:t>
      </w:r>
      <w:r>
        <w:rPr>
          <w:rFonts w:ascii="Arial" w:cs="Arial" w:eastAsia="Arial" w:hAnsi="Arial"/>
          <w:sz w:val="11"/>
          <w:szCs w:val="11"/>
          <w:color w:val="000000"/>
        </w:rPr>
        <w:t>Agrio, Ecuador, brought in May 2003 by plaintiffs who claim to be representatives of certain residents of an area where an oil production consortium formerly had operations. The lawsuit alleges damage to the environment from the oil exploration and production operations, and seeks unspecified damages to fund environmental remediation and restoration of the alleged environmental harm, plus a health monitoring program. Until 1992, Texaco Petroleum Company (Texpet), a subsidiary of Texaco Inc., was a minority member of this consortium with Petroecuador, the Ecuadorian state-owned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60"/>
        <w:spacing w:after="0" w:line="273" w:lineRule="auto"/>
        <w:rPr>
          <w:sz w:val="20"/>
          <w:szCs w:val="20"/>
          <w:color w:val="auto"/>
        </w:rPr>
      </w:pPr>
      <w:r>
        <w:rPr>
          <w:rFonts w:ascii="Arial" w:cs="Arial" w:eastAsia="Arial" w:hAnsi="Arial"/>
          <w:sz w:val="12"/>
          <w:szCs w:val="12"/>
          <w:color w:val="auto"/>
        </w:rPr>
        <w:t>oil company, as the majority partner; since 1990, the operations have been conducted solely by Petroecuador. At the conclusion of the consortium and following an independent third-party environmental audit of the concession area, Texpet entered into a formal agreement with the Republic of Ecuador and Petroecuador for Texpet to remediate specific sites assigned by the government in proportion to Texpet’s ownership share of the consortium. Pursuant to that agreement, Texpet conducted a three-year remediation program at a cost of $40 million. After certifying that the sites were properly remediated, the government granted Texpet and all related corporate entities a full release from any and all environmental liability arising from the consortium operations.</w:t>
      </w:r>
    </w:p>
    <w:p>
      <w:pPr>
        <w:spacing w:after="0" w:line="99" w:lineRule="exact"/>
        <w:rPr>
          <w:sz w:val="20"/>
          <w:szCs w:val="20"/>
          <w:color w:val="auto"/>
        </w:rPr>
      </w:pPr>
    </w:p>
    <w:p>
      <w:pPr>
        <w:ind w:left="360" w:firstLine="160"/>
        <w:spacing w:after="0" w:line="269" w:lineRule="auto"/>
        <w:rPr>
          <w:sz w:val="20"/>
          <w:szCs w:val="20"/>
          <w:color w:val="auto"/>
        </w:rPr>
      </w:pPr>
      <w:r>
        <w:rPr>
          <w:rFonts w:ascii="Arial" w:cs="Arial" w:eastAsia="Arial" w:hAnsi="Arial"/>
          <w:sz w:val="12"/>
          <w:szCs w:val="12"/>
          <w:color w:val="auto"/>
        </w:rPr>
        <w:t>Based on the history described above, Chevron believes that this lawsuit lacks legal or factual merit. As to matters of law, the company believes first, that the court lacks jurisdiction over Chevron; second, that the law under which plaintiffs bring the action, enacted in 1999, cannot be applied retroactively to Chevron; third, that the claims are barred by the statute of limitations in Ecuador; and, fourth, that the lawsuit is also barred by the releases from liability previously given to Texpet by the Republic of Ecuador and Petroecuador. With regard to the facts, the company believes that the evidence confirms that Texpet’s remediation was properly conducted and that the remaining environmental damage reflects Petroecuador’s failure to timely fulfill its legal obligations and Petroecuador’s further conduct since assuming full control over the operations.</w:t>
      </w:r>
    </w:p>
    <w:p>
      <w:pPr>
        <w:ind w:left="360" w:firstLine="160"/>
        <w:spacing w:after="0" w:line="291" w:lineRule="auto"/>
        <w:rPr>
          <w:sz w:val="20"/>
          <w:szCs w:val="20"/>
          <w:color w:val="auto"/>
        </w:rPr>
      </w:pPr>
      <w:r>
        <w:rPr>
          <w:rFonts w:ascii="Arial" w:cs="Arial" w:eastAsia="Arial" w:hAnsi="Arial"/>
          <w:sz w:val="11"/>
          <w:szCs w:val="11"/>
          <w:color w:val="auto"/>
        </w:rPr>
        <w:t>In April 2008, a mining engineer appointed by the court to identify and determine the cause of environmental damage, and to specify steps needed to remediate it, issued a report recommending that the court assess $8 billion, which would, according to the engineer, provide financial compensation for purported damages, including wrongful death claims, and pay for, among other items, environmental remediation, health care systems, and additional infrastructure for Petroecuador. The engineer’s report also asserted that an additional $8.3 billion could be assessed against Chevron for unjust enrichment. The engineer’s report is not binding on the court. Chevron also believes that the engineer’s work was performed and his report prepared in a manner contrary to law and in violation of the court’s orders. Chevron submitted a rebuttal to the report in which it asked the court to strike the report in its entirety. In November 2008, the engineer revised the report and, without additional evidence, recommended an increase in the financial compensation for purported damages to a total of $18.9 billion and an increase in the assessment for purported unjust enrichment to a total of $8.4 billion. Chevron submitted a rebuttal to the revised report, and Chevron will continue a vigorous defense of any attempted imposition of liability.</w:t>
      </w:r>
    </w:p>
    <w:p>
      <w:pPr>
        <w:spacing w:after="0" w:line="5" w:lineRule="exact"/>
        <w:rPr>
          <w:sz w:val="20"/>
          <w:szCs w:val="20"/>
          <w:color w:val="auto"/>
        </w:rPr>
      </w:pPr>
    </w:p>
    <w:p>
      <w:pPr>
        <w:ind w:left="360" w:firstLine="160"/>
        <w:spacing w:after="0" w:line="309" w:lineRule="auto"/>
        <w:rPr>
          <w:sz w:val="20"/>
          <w:szCs w:val="20"/>
          <w:color w:val="auto"/>
        </w:rPr>
      </w:pPr>
      <w:r>
        <w:rPr>
          <w:rFonts w:ascii="Arial" w:cs="Arial" w:eastAsia="Arial" w:hAnsi="Arial"/>
          <w:sz w:val="11"/>
          <w:szCs w:val="11"/>
          <w:color w:val="auto"/>
        </w:rPr>
        <w:t>Management does not believe an estimate of a reasonably possible loss (or a range of loss) can be made in this case. Due to the defects associated with the engineer’s report, management does not believe the report itself has any utility in calculating a reasonably possible loss (or a range of loss). Moreover, the highly uncertain legal environment surrounding the case provides no basis for management to</w:t>
      </w:r>
    </w:p>
    <w:p>
      <w:pPr>
        <w:spacing w:after="0" w:line="246" w:lineRule="exact"/>
        <w:rPr>
          <w:sz w:val="20"/>
          <w:szCs w:val="20"/>
          <w:color w:val="auto"/>
        </w:rPr>
      </w:pPr>
    </w:p>
    <w:p>
      <w:pPr>
        <w:spacing w:after="0"/>
        <w:rPr>
          <w:sz w:val="20"/>
          <w:szCs w:val="20"/>
          <w:color w:val="auto"/>
        </w:rPr>
      </w:pPr>
      <w:r>
        <w:rPr>
          <w:rFonts w:ascii="Arial" w:cs="Arial" w:eastAsia="Arial" w:hAnsi="Arial"/>
          <w:sz w:val="10"/>
          <w:szCs w:val="10"/>
          <w:color w:val="auto"/>
        </w:rPr>
        <w:t>FS-15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40"/>
          </w:cols>
          <w:pgMar w:left="220" w:top="339" w:right="2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40"/>
        <w:spacing w:after="0"/>
        <w:rPr>
          <w:sz w:val="20"/>
          <w:szCs w:val="20"/>
          <w:color w:val="auto"/>
        </w:rPr>
      </w:pPr>
      <w:r>
        <w:rPr>
          <w:rFonts w:ascii="Arial" w:cs="Arial" w:eastAsia="Arial" w:hAnsi="Arial"/>
          <w:sz w:val="11"/>
          <w:szCs w:val="11"/>
          <w:color w:val="auto"/>
        </w:rPr>
        <w:t>estimate a reasonable possible loss (or a range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019175" cy="2013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9175" cy="2013585"/>
                    </a:xfrm>
                    <a:prstGeom prst="rect">
                      <a:avLst/>
                    </a:prstGeom>
                    <a:noFill/>
                  </pic:spPr>
                </pic:pic>
              </a:graphicData>
            </a:graphic>
          </wp:anchor>
        </w:drawing>
      </w:r>
    </w:p>
    <w:p>
      <w:pPr>
        <w:spacing w:after="0" w:line="142" w:lineRule="exact"/>
        <w:rPr>
          <w:sz w:val="20"/>
          <w:szCs w:val="20"/>
          <w:color w:val="auto"/>
        </w:rPr>
      </w:pPr>
    </w:p>
    <w:p>
      <w:pPr>
        <w:ind w:left="2640" w:firstLine="160"/>
        <w:spacing w:after="0" w:line="269" w:lineRule="auto"/>
        <w:rPr>
          <w:sz w:val="20"/>
          <w:szCs w:val="20"/>
          <w:color w:val="auto"/>
        </w:rPr>
      </w:pPr>
      <w:r>
        <w:rPr>
          <w:rFonts w:ascii="Arial" w:cs="Arial" w:eastAsia="Arial" w:hAnsi="Arial"/>
          <w:sz w:val="12"/>
          <w:szCs w:val="12"/>
          <w:i w:val="1"/>
          <w:iCs w:val="1"/>
          <w:color w:val="E51837"/>
        </w:rPr>
        <w:t xml:space="preserve">Environmental </w:t>
      </w:r>
      <w:r>
        <w:rPr>
          <w:rFonts w:ascii="Arial" w:cs="Arial" w:eastAsia="Arial" w:hAnsi="Arial"/>
          <w:sz w:val="12"/>
          <w:szCs w:val="12"/>
          <w:color w:val="000000"/>
        </w:rPr>
        <w:t>The company is subject to loss</w:t>
      </w:r>
      <w:r>
        <w:rPr>
          <w:rFonts w:ascii="Arial" w:cs="Arial" w:eastAsia="Arial" w:hAnsi="Arial"/>
          <w:sz w:val="12"/>
          <w:szCs w:val="12"/>
          <w:i w:val="1"/>
          <w:iCs w:val="1"/>
          <w:color w:val="E51837"/>
        </w:rPr>
        <w:t xml:space="preserve"> </w:t>
      </w:r>
      <w:r>
        <w:rPr>
          <w:rFonts w:ascii="Arial" w:cs="Arial" w:eastAsia="Arial" w:hAnsi="Arial"/>
          <w:sz w:val="12"/>
          <w:szCs w:val="12"/>
          <w:color w:val="000000"/>
        </w:rPr>
        <w:t>contingencies pursuant to environmental laws and regulations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federal Superfund sites and analogous sites under state laws, refineries, crude oil fields, service stations, terminals, land development areas, and mining operations, whether operating, closed or divested.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108"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Although the company has provided for known</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environmental obligations that are probable and reasonably estimable, the amount of additional future costs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may be material to results of operations in the period in which they are recognized. The company does not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expect these costs will have a material effect on its consolidated financial position or liquidity. Also, the</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company does not believe its obligations to make such expenditures have had, or will have, any significant</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impact on the company’s competitive position relative to other U.S. or international petroleum or chemical</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companies.</w:t>
      </w:r>
    </w:p>
    <w:p>
      <w:pPr>
        <w:spacing w:after="0" w:line="121" w:lineRule="exact"/>
        <w:rPr>
          <w:sz w:val="20"/>
          <w:szCs w:val="20"/>
          <w:color w:val="auto"/>
        </w:rPr>
      </w:pPr>
    </w:p>
    <w:p>
      <w:pPr>
        <w:ind w:firstLine="158"/>
        <w:spacing w:after="0" w:line="309" w:lineRule="auto"/>
        <w:rPr>
          <w:sz w:val="20"/>
          <w:szCs w:val="20"/>
          <w:color w:val="auto"/>
        </w:rPr>
      </w:pPr>
      <w:r>
        <w:rPr>
          <w:rFonts w:ascii="Arial" w:cs="Arial" w:eastAsia="Arial" w:hAnsi="Arial"/>
          <w:sz w:val="12"/>
          <w:szCs w:val="12"/>
          <w:color w:val="auto"/>
        </w:rPr>
        <w:t>The following table displays the annual changes to the company’s before-tax environmental remediation reserves, including those for federal Superfund sites and analogous sites under state laws.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w:t>
            </w:r>
          </w:p>
        </w:tc>
        <w:tc>
          <w:tcPr>
            <w:tcW w:w="11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2007</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20" w:type="dxa"/>
            <w:vAlign w:val="bottom"/>
          </w:tcPr>
          <w:p>
            <w:pPr>
              <w:spacing w:after="0"/>
              <w:rPr>
                <w:sz w:val="10"/>
                <w:szCs w:val="10"/>
                <w:color w:val="auto"/>
              </w:rPr>
            </w:pPr>
          </w:p>
        </w:tc>
      </w:tr>
      <w:tr>
        <w:trPr>
          <w:trHeight w:val="90"/>
        </w:trPr>
        <w:tc>
          <w:tcPr>
            <w:tcW w:w="204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160" w:type="dxa"/>
            <w:vAlign w:val="bottom"/>
          </w:tcPr>
          <w:p>
            <w:pPr>
              <w:jc w:val="right"/>
              <w:ind w:right="69"/>
              <w:spacing w:after="0" w:line="91" w:lineRule="exact"/>
              <w:rPr>
                <w:sz w:val="20"/>
                <w:szCs w:val="20"/>
                <w:color w:val="auto"/>
              </w:rPr>
            </w:pPr>
            <w:r>
              <w:rPr>
                <w:rFonts w:ascii="Arial" w:cs="Arial" w:eastAsia="Arial" w:hAnsi="Arial"/>
                <w:sz w:val="10"/>
                <w:szCs w:val="10"/>
                <w:b w:val="1"/>
                <w:bCs w:val="1"/>
                <w:color w:val="auto"/>
              </w:rPr>
              <w:t>$</w:t>
            </w:r>
          </w:p>
        </w:tc>
        <w:tc>
          <w:tcPr>
            <w:tcW w:w="68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1,539</w:t>
            </w:r>
          </w:p>
        </w:tc>
        <w:tc>
          <w:tcPr>
            <w:tcW w:w="440" w:type="dxa"/>
            <w:vAlign w:val="bottom"/>
          </w:tcPr>
          <w:p>
            <w:pPr>
              <w:jc w:val="right"/>
              <w:ind w:right="69"/>
              <w:spacing w:after="0" w:line="91"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29"/>
              <w:spacing w:after="0" w:line="91" w:lineRule="exact"/>
              <w:rPr>
                <w:sz w:val="20"/>
                <w:szCs w:val="20"/>
                <w:color w:val="auto"/>
              </w:rPr>
            </w:pPr>
            <w:r>
              <w:rPr>
                <w:rFonts w:ascii="Arial" w:cs="Arial" w:eastAsia="Arial" w:hAnsi="Arial"/>
                <w:sz w:val="10"/>
                <w:szCs w:val="10"/>
                <w:color w:val="auto"/>
              </w:rPr>
              <w:t>1,441</w:t>
            </w:r>
          </w:p>
        </w:tc>
        <w:tc>
          <w:tcPr>
            <w:tcW w:w="300" w:type="dxa"/>
            <w:vAlign w:val="bottom"/>
          </w:tcPr>
          <w:p>
            <w:pPr>
              <w:jc w:val="right"/>
              <w:ind w:right="49"/>
              <w:spacing w:after="0" w:line="91"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1,469</w:t>
            </w:r>
          </w:p>
        </w:tc>
        <w:tc>
          <w:tcPr>
            <w:tcW w:w="20" w:type="dxa"/>
            <w:vAlign w:val="bottom"/>
          </w:tcPr>
          <w:p>
            <w:pPr>
              <w:spacing w:after="0"/>
              <w:rPr>
                <w:sz w:val="7"/>
                <w:szCs w:val="7"/>
                <w:color w:val="auto"/>
              </w:rPr>
            </w:pPr>
          </w:p>
        </w:tc>
      </w:tr>
      <w:tr>
        <w:trPr>
          <w:trHeight w:val="106"/>
        </w:trPr>
        <w:tc>
          <w:tcPr>
            <w:tcW w:w="2040" w:type="dxa"/>
            <w:vAlign w:val="bottom"/>
          </w:tcPr>
          <w:p>
            <w:pPr>
              <w:spacing w:after="0" w:line="106" w:lineRule="exact"/>
              <w:rPr>
                <w:sz w:val="20"/>
                <w:szCs w:val="20"/>
                <w:color w:val="auto"/>
              </w:rPr>
            </w:pPr>
            <w:r>
              <w:rPr>
                <w:rFonts w:ascii="Arial" w:cs="Arial" w:eastAsia="Arial" w:hAnsi="Arial"/>
                <w:sz w:val="10"/>
                <w:szCs w:val="10"/>
                <w:color w:val="auto"/>
              </w:rPr>
              <w:t>Net Additions</w:t>
            </w:r>
          </w:p>
        </w:tc>
        <w:tc>
          <w:tcPr>
            <w:tcW w:w="1160" w:type="dxa"/>
            <w:vAlign w:val="bottom"/>
          </w:tcPr>
          <w:p>
            <w:pPr>
              <w:spacing w:after="0"/>
              <w:rPr>
                <w:sz w:val="9"/>
                <w:szCs w:val="9"/>
                <w:color w:val="auto"/>
              </w:rPr>
            </w:pPr>
          </w:p>
        </w:tc>
        <w:tc>
          <w:tcPr>
            <w:tcW w:w="68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784</w:t>
            </w:r>
          </w:p>
        </w:tc>
        <w:tc>
          <w:tcPr>
            <w:tcW w:w="440" w:type="dxa"/>
            <w:vAlign w:val="bottom"/>
          </w:tcPr>
          <w:p>
            <w:pPr>
              <w:spacing w:after="0"/>
              <w:rPr>
                <w:sz w:val="9"/>
                <w:szCs w:val="9"/>
                <w:color w:val="auto"/>
              </w:rPr>
            </w:pPr>
          </w:p>
        </w:tc>
        <w:tc>
          <w:tcPr>
            <w:tcW w:w="50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562</w:t>
            </w:r>
          </w:p>
        </w:tc>
        <w:tc>
          <w:tcPr>
            <w:tcW w:w="3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366</w:t>
            </w:r>
          </w:p>
        </w:tc>
        <w:tc>
          <w:tcPr>
            <w:tcW w:w="20" w:type="dxa"/>
            <w:vAlign w:val="bottom"/>
          </w:tcPr>
          <w:p>
            <w:pPr>
              <w:spacing w:after="0"/>
              <w:rPr>
                <w:sz w:val="9"/>
                <w:szCs w:val="9"/>
                <w:color w:val="auto"/>
              </w:rPr>
            </w:pPr>
          </w:p>
        </w:tc>
      </w:tr>
      <w:tr>
        <w:trPr>
          <w:trHeight w:val="120"/>
        </w:trPr>
        <w:tc>
          <w:tcPr>
            <w:tcW w:w="2040" w:type="dxa"/>
            <w:vAlign w:val="bottom"/>
          </w:tcPr>
          <w:p>
            <w:pPr>
              <w:spacing w:after="0"/>
              <w:rPr>
                <w:sz w:val="20"/>
                <w:szCs w:val="20"/>
                <w:color w:val="auto"/>
              </w:rPr>
            </w:pPr>
            <w:r>
              <w:rPr>
                <w:rFonts w:ascii="Arial" w:cs="Arial" w:eastAsia="Arial" w:hAnsi="Arial"/>
                <w:sz w:val="10"/>
                <w:szCs w:val="10"/>
                <w:color w:val="auto"/>
              </w:rPr>
              <w:t>Expenditures</w:t>
            </w:r>
          </w:p>
        </w:tc>
        <w:tc>
          <w:tcPr>
            <w:tcW w:w="1160" w:type="dxa"/>
            <w:vAlign w:val="bottom"/>
          </w:tcPr>
          <w:p>
            <w:pPr>
              <w:spacing w:after="0"/>
              <w:rPr>
                <w:sz w:val="10"/>
                <w:szCs w:val="10"/>
                <w:color w:val="auto"/>
              </w:rPr>
            </w:pPr>
          </w:p>
        </w:tc>
        <w:tc>
          <w:tcPr>
            <w:tcW w:w="680" w:type="dxa"/>
            <w:vAlign w:val="bottom"/>
            <w:tcBorders>
              <w:right w:val="single" w:sz="8" w:color="0077C0"/>
            </w:tcBorders>
          </w:tcPr>
          <w:p>
            <w:pPr>
              <w:jc w:val="right"/>
              <w:ind w:right="249"/>
              <w:spacing w:after="0"/>
              <w:rPr>
                <w:sz w:val="20"/>
                <w:szCs w:val="20"/>
                <w:color w:val="auto"/>
              </w:rPr>
            </w:pPr>
            <w:r>
              <w:rPr>
                <w:rFonts w:ascii="Arial" w:cs="Arial" w:eastAsia="Arial" w:hAnsi="Arial"/>
                <w:sz w:val="10"/>
                <w:szCs w:val="10"/>
                <w:b w:val="1"/>
                <w:bCs w:val="1"/>
                <w:color w:val="auto"/>
              </w:rPr>
              <w:t>(505)</w:t>
            </w:r>
          </w:p>
        </w:tc>
        <w:tc>
          <w:tcPr>
            <w:tcW w:w="440" w:type="dxa"/>
            <w:vAlign w:val="bottom"/>
          </w:tcPr>
          <w:p>
            <w:pPr>
              <w:spacing w:after="0"/>
              <w:rPr>
                <w:sz w:val="10"/>
                <w:szCs w:val="10"/>
                <w:color w:val="auto"/>
              </w:rPr>
            </w:pPr>
          </w:p>
        </w:tc>
        <w:tc>
          <w:tcPr>
            <w:tcW w:w="500" w:type="dxa"/>
            <w:vAlign w:val="bottom"/>
          </w:tcPr>
          <w:p>
            <w:pPr>
              <w:jc w:val="right"/>
              <w:ind w:right="89"/>
              <w:spacing w:after="0"/>
              <w:rPr>
                <w:sz w:val="20"/>
                <w:szCs w:val="20"/>
                <w:color w:val="auto"/>
              </w:rPr>
            </w:pPr>
            <w:r>
              <w:rPr>
                <w:rFonts w:ascii="Arial" w:cs="Arial" w:eastAsia="Arial" w:hAnsi="Arial"/>
                <w:sz w:val="10"/>
                <w:szCs w:val="10"/>
                <w:color w:val="auto"/>
              </w:rPr>
              <w:t>(464)</w:t>
            </w:r>
          </w:p>
        </w:tc>
        <w:tc>
          <w:tcPr>
            <w:tcW w:w="3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(394)</w:t>
            </w:r>
          </w:p>
        </w:tc>
      </w:tr>
      <w:tr>
        <w:trPr>
          <w:trHeight w:val="114"/>
        </w:trPr>
        <w:tc>
          <w:tcPr>
            <w:tcW w:w="20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Balance at December 31</w:t>
            </w:r>
          </w:p>
        </w:tc>
        <w:tc>
          <w:tcPr>
            <w:tcW w:w="116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1,818</w:t>
            </w:r>
          </w:p>
        </w:tc>
        <w:tc>
          <w:tcPr>
            <w:tcW w:w="44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1,539</w:t>
            </w:r>
          </w:p>
        </w:tc>
        <w:tc>
          <w:tcPr>
            <w:tcW w:w="300" w:type="dxa"/>
            <w:vAlign w:val="bottom"/>
            <w:tcBorders>
              <w:top w:val="single" w:sz="8" w:color="0077C0"/>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1,441</w:t>
            </w:r>
          </w:p>
        </w:tc>
        <w:tc>
          <w:tcPr>
            <w:tcW w:w="20" w:type="dxa"/>
            <w:vAlign w:val="bottom"/>
          </w:tcPr>
          <w:p>
            <w:pPr>
              <w:spacing w:after="0"/>
              <w:rPr>
                <w:sz w:val="9"/>
                <w:szCs w:val="9"/>
                <w:color w:val="auto"/>
              </w:rPr>
            </w:pPr>
          </w:p>
        </w:tc>
      </w:tr>
    </w:tbl>
    <w:p>
      <w:pPr>
        <w:spacing w:after="0" w:line="1" w:lineRule="exact"/>
        <w:rPr>
          <w:sz w:val="20"/>
          <w:szCs w:val="20"/>
          <w:color w:val="auto"/>
        </w:rPr>
      </w:pPr>
    </w:p>
    <w:p>
      <w:pPr>
        <w:ind w:right="160" w:firstLine="160"/>
        <w:spacing w:after="0" w:line="267" w:lineRule="auto"/>
        <w:rPr>
          <w:sz w:val="20"/>
          <w:szCs w:val="20"/>
          <w:color w:val="auto"/>
        </w:rPr>
      </w:pPr>
      <w:r>
        <w:rPr>
          <w:rFonts w:ascii="Arial" w:cs="Arial" w:eastAsia="Arial" w:hAnsi="Arial"/>
          <w:sz w:val="13"/>
          <w:szCs w:val="13"/>
          <w:color w:val="auto"/>
        </w:rPr>
        <w:t>Included in the $1,818 million year-end 2008 reserve balance were remediation activities of 248 sites for which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the company had been identified as a potentially responsible party or otherwise involved in the remediation by the U.S. Environmental Protection Agency (EPA) or other regulatory agencies under the provisions of the federal Superfund law or analogous state laws. The company’s remediation reserve for these sites at year-end 2008 was $120 million. The federal Superfund law and analogous state laws provide for joint and several liability for all responsible parties. Any future actions by the EPA or other regulatory agencies to require Chevron to assume other potentially responsible parties’ costs at designated hazardous waste sites are not expected to have a material effect on the company’s consolidated financial position or liquidity.</w:t>
      </w:r>
    </w:p>
    <w:p>
      <w:pPr>
        <w:spacing w:after="0" w:line="83" w:lineRule="exact"/>
        <w:rPr>
          <w:sz w:val="20"/>
          <w:szCs w:val="20"/>
          <w:color w:val="auto"/>
        </w:rPr>
      </w:pPr>
    </w:p>
    <w:p>
      <w:pPr>
        <w:ind w:firstLine="160"/>
        <w:spacing w:after="0" w:line="268" w:lineRule="auto"/>
        <w:rPr>
          <w:sz w:val="20"/>
          <w:szCs w:val="20"/>
          <w:color w:val="auto"/>
        </w:rPr>
      </w:pPr>
      <w:r>
        <w:rPr>
          <w:rFonts w:ascii="Arial" w:cs="Arial" w:eastAsia="Arial" w:hAnsi="Arial"/>
          <w:sz w:val="12"/>
          <w:szCs w:val="12"/>
          <w:color w:val="auto"/>
        </w:rPr>
        <w:t>Of the remaining year-end 2008 environmental reserves balance of $1,698 million, $968 million related to current and former sites for the company’s U.S. downstream operations, including refineries and other plants, marketing locations (i.e., service stations and terminals), and pipelines. The remaining $730 million was associated with various sites in international downstream ($117 million), upstream ($390 million), chemicals ($154 million) and other ($69 million). Liabilities at all sites, whether operating, closed or divested, were primarily associated with the company’s plans and activities to remediate soil or groundwater contamination or both. These and other activities include one or more of the following: site assessment; soil excavation; offsite disposal of contaminants; onsite containment, remediation and/or extraction of petroleum hydrocarbon liquid and vapor from soil; groundwater extraction and treatment; and monitoring of the natural attenuation of the contaminants.</w:t>
      </w:r>
    </w:p>
    <w:p>
      <w:pPr>
        <w:spacing w:after="0" w:line="5"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company manages environmental liabilities under specific sets of regulatory requirements, which in the United States include the Resource Conservation and Recovery Act and various state or local regulations. No single remediation site at year-end 2008 had a recorded liability that was material to the company’s financial position, results of operations or liquidity.</w:t>
      </w:r>
    </w:p>
    <w:p>
      <w:pPr>
        <w:spacing w:after="0" w:line="1"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It is likely that the company will continue to incur additional liabilities, beyond those recorded, for environmental remediation relating to past operations.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2" w:lineRule="exact"/>
        <w:rPr>
          <w:sz w:val="20"/>
          <w:szCs w:val="20"/>
          <w:color w:val="auto"/>
        </w:rPr>
      </w:pPr>
    </w:p>
    <w:p>
      <w:pPr>
        <w:ind w:right="40" w:firstLine="158"/>
        <w:spacing w:after="0" w:line="249" w:lineRule="auto"/>
        <w:rPr>
          <w:sz w:val="20"/>
          <w:szCs w:val="20"/>
          <w:color w:val="auto"/>
        </w:rPr>
      </w:pPr>
      <w:r>
        <w:rPr>
          <w:rFonts w:ascii="Arial" w:cs="Arial" w:eastAsia="Arial" w:hAnsi="Arial"/>
          <w:sz w:val="13"/>
          <w:szCs w:val="13"/>
          <w:color w:val="auto"/>
        </w:rPr>
        <w:t xml:space="preserve">The company accounts for asset retirement obligations in accordance with FASB Statement No. 143, </w:t>
      </w:r>
      <w:r>
        <w:rPr>
          <w:rFonts w:ascii="Arial" w:cs="Arial" w:eastAsia="Arial" w:hAnsi="Arial"/>
          <w:sz w:val="13"/>
          <w:szCs w:val="13"/>
          <w:i w:val="1"/>
          <w:iCs w:val="1"/>
          <w:color w:val="auto"/>
        </w:rPr>
        <w:t xml:space="preserve">Accounting for Asset Retirement Obligations </w:t>
      </w:r>
      <w:r>
        <w:rPr>
          <w:rFonts w:ascii="Arial" w:cs="Arial" w:eastAsia="Arial" w:hAnsi="Arial"/>
          <w:sz w:val="13"/>
          <w:szCs w:val="13"/>
          <w:color w:val="auto"/>
        </w:rPr>
        <w:t>(FAS 143). Under FAS 143, the fair value of a liability for an</w:t>
      </w:r>
      <w:r>
        <w:rPr>
          <w:rFonts w:ascii="Arial" w:cs="Arial" w:eastAsia="Arial" w:hAnsi="Arial"/>
          <w:sz w:val="13"/>
          <w:szCs w:val="13"/>
          <w:i w:val="1"/>
          <w:iCs w:val="1"/>
          <w:color w:val="auto"/>
        </w:rPr>
        <w:t xml:space="preserve"> </w:t>
      </w:r>
      <w:r>
        <w:rPr>
          <w:rFonts w:ascii="Arial" w:cs="Arial" w:eastAsia="Arial" w:hAnsi="Arial"/>
          <w:sz w:val="13"/>
          <w:szCs w:val="13"/>
          <w:color w:val="auto"/>
        </w:rPr>
        <w:t>asset retirement obligation is recorded when there is a legal obligation associated with the retirement of long-lived assets and the liability can be</w:t>
      </w:r>
    </w:p>
    <w:p>
      <w:pPr>
        <w:spacing w:after="0" w:line="1354"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57" w:name="page58"/>
    <w:bookmarkEnd w:id="57"/>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60"/>
          </w:cols>
          <w:pgMar w:left="220" w:top="339" w:right="219" w:bottom="1440" w:gutter="0" w:footer="0" w:header="0"/>
        </w:sectPr>
      </w:pPr>
    </w:p>
    <w:p>
      <w:pPr>
        <w:spacing w:after="0" w:line="377"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reasonably estimated. The liability balance of approximately $9.4 billion for asset retirement obligations at year-end 2008 related primarily to upstream properties.</w:t>
      </w:r>
    </w:p>
    <w:p>
      <w:pPr>
        <w:spacing w:after="0" w:line="100" w:lineRule="exact"/>
        <w:rPr>
          <w:sz w:val="20"/>
          <w:szCs w:val="20"/>
          <w:color w:val="auto"/>
        </w:rPr>
      </w:pPr>
    </w:p>
    <w:p>
      <w:pPr>
        <w:ind w:right="80" w:firstLine="160"/>
        <w:spacing w:after="0" w:line="249" w:lineRule="auto"/>
        <w:rPr>
          <w:sz w:val="20"/>
          <w:szCs w:val="20"/>
          <w:color w:val="auto"/>
        </w:rPr>
      </w:pPr>
      <w:r>
        <w:rPr>
          <w:rFonts w:ascii="Arial" w:cs="Arial" w:eastAsia="Arial" w:hAnsi="Arial"/>
          <w:sz w:val="13"/>
          <w:szCs w:val="13"/>
          <w:color w:val="auto"/>
        </w:rPr>
        <w:t>For the company’s other ongoing operating assets, such as refineries and chemicals facilities, no provisions are made for exit or cleanup costs that may be required when such assets reach the end of their useful lives unless a decision to sell or otherwise abandon the facility has been made, as the indeterminate settlement dates for the asset retirements prevent estimation of the fair value of the asset retirement obligation.</w:t>
      </w:r>
    </w:p>
    <w:p>
      <w:pPr>
        <w:spacing w:after="0" w:line="2" w:lineRule="exact"/>
        <w:rPr>
          <w:sz w:val="20"/>
          <w:szCs w:val="20"/>
          <w:color w:val="auto"/>
        </w:rPr>
      </w:pPr>
    </w:p>
    <w:p>
      <w:pPr>
        <w:ind w:right="40" w:firstLine="160"/>
        <w:spacing w:after="0" w:line="291" w:lineRule="auto"/>
        <w:rPr>
          <w:sz w:val="20"/>
          <w:szCs w:val="20"/>
          <w:color w:val="auto"/>
        </w:rPr>
      </w:pPr>
      <w:r>
        <w:rPr>
          <w:rFonts w:ascii="Arial" w:cs="Arial" w:eastAsia="Arial" w:hAnsi="Arial"/>
          <w:sz w:val="11"/>
          <w:szCs w:val="11"/>
          <w:color w:val="auto"/>
        </w:rPr>
        <w:t xml:space="preserve">Refer also to Note 24, beginning on page FS-58, related to FAS 143 and the company’s adoption in 2005 of FASB Interpretation No. (FIN) 47, </w:t>
      </w:r>
      <w:r>
        <w:rPr>
          <w:rFonts w:ascii="Arial" w:cs="Arial" w:eastAsia="Arial" w:hAnsi="Arial"/>
          <w:sz w:val="11"/>
          <w:szCs w:val="11"/>
          <w:i w:val="1"/>
          <w:iCs w:val="1"/>
          <w:color w:val="auto"/>
        </w:rPr>
        <w:t>Accounting for Conditional Asset Retirement Obligations – 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Interpretation of FASB Statement No. 143 </w:t>
      </w:r>
      <w:r>
        <w:rPr>
          <w:rFonts w:ascii="Arial" w:cs="Arial" w:eastAsia="Arial" w:hAnsi="Arial"/>
          <w:sz w:val="11"/>
          <w:szCs w:val="11"/>
          <w:color w:val="auto"/>
        </w:rPr>
        <w:t>(FIN 47), and the discussion of “Environmental Matters” below.</w:t>
      </w:r>
    </w:p>
    <w:p>
      <w:pPr>
        <w:spacing w:after="0" w:line="1"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i w:val="1"/>
          <w:iCs w:val="1"/>
          <w:color w:val="E51837"/>
        </w:rPr>
        <w:t xml:space="preserve">Income Taxes </w:t>
      </w:r>
      <w:r>
        <w:rPr>
          <w:rFonts w:ascii="Arial" w:cs="Arial" w:eastAsia="Arial" w:hAnsi="Arial"/>
          <w:sz w:val="11"/>
          <w:szCs w:val="11"/>
          <w:color w:val="000000"/>
        </w:rPr>
        <w:t>The company calculates its income tax expense and liabilities quarterly. These liabilities</w:t>
      </w:r>
      <w:r>
        <w:rPr>
          <w:rFonts w:ascii="Arial" w:cs="Arial" w:eastAsia="Arial" w:hAnsi="Arial"/>
          <w:sz w:val="11"/>
          <w:szCs w:val="11"/>
          <w:i w:val="1"/>
          <w:iCs w:val="1"/>
          <w:color w:val="E51837"/>
        </w:rPr>
        <w:t xml:space="preserve"> </w:t>
      </w:r>
      <w:r>
        <w:rPr>
          <w:rFonts w:ascii="Arial" w:cs="Arial" w:eastAsia="Arial" w:hAnsi="Arial"/>
          <w:sz w:val="11"/>
          <w:szCs w:val="11"/>
          <w:color w:val="000000"/>
        </w:rPr>
        <w:t>generally are subject to audit and are not finalized with the individual taxing authorities until several years after the end of the annual period for which income taxes have been calculated. Refer to Note 16 beginning on page FS-45 for a discussion of the periods for which tax returns have been audited for the company’s major tax jurisdictions and a discussion for all tax jurisdictions of the differences between the amount of tax benefits recognized in the financial statements and the amount taken or expected to be taken in a tax return. The company does not expect that settlement of income tax liabilities associated with uncertain tax positions will have a material effect on its results of operations, consolidated financial position or liquidity.</w:t>
      </w:r>
    </w:p>
    <w:p>
      <w:pPr>
        <w:spacing w:after="0" w:line="3"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Emergency Economic Stabilization Act of 2008, which contained a number of energy and tax-related provisions, known as the Energy Improvement and Extension Act of 2008 (the Act), was signed into U.S. law in October 2008. The Act includes two provisions that affect Chevron’s tax liability, beginning in the fourth quarter of 2008. The Act freezes at 6 percent the domestic manufacturer’s deduction on income from U.S. oil and gas operations that was scheduled to increase to 9 percent in 2010. Effective in 2009, the Act expands the current foreign tax credit (FTC) limitation for Foreign Oil and Gas Extraction Income to also include foreign downstream income, known as Foreign Oil Related Income. This change is expected to impact Chevron’s utilization of FTCs.</w:t>
      </w:r>
    </w:p>
    <w:p>
      <w:pPr>
        <w:spacing w:after="0" w:line="2"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i w:val="1"/>
          <w:iCs w:val="1"/>
          <w:color w:val="E51837"/>
        </w:rPr>
        <w:t xml:space="preserve">Suspended Wells </w:t>
      </w:r>
      <w:r>
        <w:rPr>
          <w:rFonts w:ascii="Arial" w:cs="Arial" w:eastAsia="Arial" w:hAnsi="Arial"/>
          <w:sz w:val="13"/>
          <w:szCs w:val="13"/>
          <w:color w:val="000000"/>
        </w:rPr>
        <w:t>The company suspends the costs of exploratory wells pending a final determination of</w:t>
      </w:r>
      <w:r>
        <w:rPr>
          <w:rFonts w:ascii="Arial" w:cs="Arial" w:eastAsia="Arial" w:hAnsi="Arial"/>
          <w:sz w:val="13"/>
          <w:szCs w:val="13"/>
          <w:i w:val="1"/>
          <w:iCs w:val="1"/>
          <w:color w:val="E51837"/>
        </w:rPr>
        <w:t xml:space="preserve"> </w:t>
      </w:r>
      <w:r>
        <w:rPr>
          <w:rFonts w:ascii="Arial" w:cs="Arial" w:eastAsia="Arial" w:hAnsi="Arial"/>
          <w:sz w:val="13"/>
          <w:szCs w:val="13"/>
          <w:color w:val="000000"/>
        </w:rPr>
        <w:t>the commercial potential of the related crude oil and natural gas fields. The ultimate disposition of these well costs is dependent on the results of future drilling activity or development decisions or both. At December 31, 2008, the company had approximately $2.1 billion of suspended exploratory wells included in properties, plant and equipment, an increase of $458 million from 2007. The 2007 balance reflected an increase of $421 million from 2006.</w:t>
      </w:r>
    </w:p>
    <w:p>
      <w:pPr>
        <w:spacing w:after="0" w:line="3" w:lineRule="exact"/>
        <w:rPr>
          <w:sz w:val="20"/>
          <w:szCs w:val="20"/>
          <w:color w:val="auto"/>
        </w:rPr>
      </w:pPr>
    </w:p>
    <w:p>
      <w:pPr>
        <w:ind w:right="140" w:firstLine="158"/>
        <w:spacing w:after="0" w:line="250" w:lineRule="auto"/>
        <w:rPr>
          <w:sz w:val="20"/>
          <w:szCs w:val="20"/>
          <w:color w:val="auto"/>
        </w:rPr>
      </w:pPr>
      <w:r>
        <w:rPr>
          <w:rFonts w:ascii="Arial" w:cs="Arial" w:eastAsia="Arial" w:hAnsi="Arial"/>
          <w:sz w:val="13"/>
          <w:szCs w:val="13"/>
          <w:color w:val="auto"/>
        </w:rPr>
        <w:t>The future trend of the company’s exploration expenses can be affected by amounts associated with well write-offs, including wells that had been previously suspended pending determination as to whether the well had found reserves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that could be classified as proved. The effect on exploration expenses in future periods of the $2.1 billion of suspended wells at year-end 2008 is uncertain pending future activities, including normal project evaluation and additional drilling.</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 to Note 20, beginning on page FS-48, for additional discussion of suspended wells.</w:t>
      </w:r>
    </w:p>
    <w:p>
      <w:pPr>
        <w:spacing w:after="0" w:line="13"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Equity Redetermination </w:t>
      </w:r>
      <w:r>
        <w:rPr>
          <w:rFonts w:ascii="Arial" w:cs="Arial" w:eastAsia="Arial" w:hAnsi="Arial"/>
          <w:sz w:val="12"/>
          <w:szCs w:val="12"/>
          <w:color w:val="000000"/>
        </w:rPr>
        <w:t>For oil and gas producing operations, ownership agreements may provide for</w:t>
      </w:r>
      <w:r>
        <w:rPr>
          <w:rFonts w:ascii="Arial" w:cs="Arial" w:eastAsia="Arial" w:hAnsi="Arial"/>
          <w:sz w:val="12"/>
          <w:szCs w:val="12"/>
          <w:i w:val="1"/>
          <w:iCs w:val="1"/>
          <w:color w:val="E51837"/>
        </w:rPr>
        <w:t xml:space="preserve"> </w:t>
      </w:r>
      <w:r>
        <w:rPr>
          <w:rFonts w:ascii="Arial" w:cs="Arial" w:eastAsia="Arial" w:hAnsi="Arial"/>
          <w:sz w:val="12"/>
          <w:szCs w:val="12"/>
          <w:color w:val="000000"/>
        </w:rPr>
        <w:t>periodic reassessments of equity interests in estimated crude oil and natural gas reserves. These activities, individually or together, may result in gains or losses that could be material to earnings in any given period. One such equity redetermination process has been under way since 1996 for Chevron’s interests in four producing zones at the Naval Petroleum Reserve at Elk Hills, California, for the time when the remaining interests in these zones were owned by the U.S. Department of Energy. A wide range remains for a possible net settlement amount for the four zones. For this range of settlement, Chevron estimates its maximum possible net before-tax liability at approximately $200 million, and the possible maximum net amount that could be owed to Chevron is estimated at about $150 million. The timing of the settlement and the exact amount within this range of estimates are uncertain.</w:t>
      </w:r>
    </w:p>
    <w:p>
      <w:pPr>
        <w:spacing w:after="0" w:line="2"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i w:val="1"/>
          <w:iCs w:val="1"/>
          <w:color w:val="E51837"/>
        </w:rPr>
        <w:t xml:space="preserve">Other Contingencies </w:t>
      </w:r>
      <w:r>
        <w:rPr>
          <w:rFonts w:ascii="Arial" w:cs="Arial" w:eastAsia="Arial" w:hAnsi="Arial"/>
          <w:sz w:val="13"/>
          <w:szCs w:val="13"/>
          <w:color w:val="000000"/>
        </w:rPr>
        <w:t>Chevron receives claims from and submits claims to customers; trading partners;</w:t>
      </w:r>
      <w:r>
        <w:rPr>
          <w:rFonts w:ascii="Arial" w:cs="Arial" w:eastAsia="Arial" w:hAnsi="Arial"/>
          <w:sz w:val="13"/>
          <w:szCs w:val="13"/>
          <w:i w:val="1"/>
          <w:iCs w:val="1"/>
          <w:color w:val="E51837"/>
        </w:rPr>
        <w:t xml:space="preserve"> </w:t>
      </w:r>
      <w:r>
        <w:rPr>
          <w:rFonts w:ascii="Arial" w:cs="Arial" w:eastAsia="Arial" w:hAnsi="Arial"/>
          <w:sz w:val="13"/>
          <w:szCs w:val="13"/>
          <w:color w:val="000000"/>
        </w:rPr>
        <w:t>U.S. federal, state and local regulatory bodies; governments; contractors; insurers; and suppliers. The amounts of these claims, individually and in the aggregate, may be significant and take lengthy periods to resolve.</w:t>
      </w:r>
    </w:p>
    <w:p>
      <w:pPr>
        <w:spacing w:after="0" w:line="2" w:lineRule="exact"/>
        <w:rPr>
          <w:sz w:val="20"/>
          <w:szCs w:val="20"/>
          <w:color w:val="auto"/>
        </w:rPr>
      </w:pPr>
    </w:p>
    <w:p>
      <w:pPr>
        <w:ind w:right="60" w:firstLine="158"/>
        <w:spacing w:after="0" w:line="249" w:lineRule="auto"/>
        <w:rPr>
          <w:sz w:val="20"/>
          <w:szCs w:val="20"/>
          <w:color w:val="auto"/>
        </w:rPr>
      </w:pPr>
      <w:r>
        <w:rPr>
          <w:rFonts w:ascii="Arial" w:cs="Arial" w:eastAsia="Arial" w:hAnsi="Arial"/>
          <w:sz w:val="13"/>
          <w:szCs w:val="13"/>
          <w:color w:val="auto"/>
        </w:rPr>
        <w:t>The company and its affiliates also continue to review and analyze their operations and may close, abandon, sell, exchange, acquire or restructure assets to achieve operational or strategic benefits and to improve competitiveness and profitability. These activities, individually or together, may result in gains or losses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22" w:lineRule="exact"/>
        <w:rPr>
          <w:sz w:val="20"/>
          <w:szCs w:val="20"/>
          <w:color w:val="auto"/>
        </w:rPr>
      </w:pPr>
    </w:p>
    <w:p>
      <w:pPr>
        <w:ind w:firstLine="158"/>
        <w:spacing w:after="0" w:line="249" w:lineRule="auto"/>
        <w:rPr>
          <w:sz w:val="20"/>
          <w:szCs w:val="20"/>
          <w:color w:val="auto"/>
        </w:rPr>
      </w:pPr>
      <w:r>
        <w:rPr>
          <w:rFonts w:ascii="Arial" w:cs="Arial" w:eastAsia="Arial" w:hAnsi="Arial"/>
          <w:sz w:val="13"/>
          <w:szCs w:val="13"/>
          <w:color w:val="auto"/>
        </w:rPr>
        <w:t>Virtually all aspects of the businesses in which the company engages are subject to various federal, state and local environmental, health and safety laws and regulations. These regulatory requirements continue to increase in both number and complexity over time and govern not only the manner in which the company conducts its operations, but also the products it sells. Most of the costs of complying with laws and regulations pertaining to company operations and products are embedded in the normal costs of doing business.</w:t>
      </w:r>
    </w:p>
    <w:p>
      <w:pPr>
        <w:ind w:right="20" w:firstLine="153"/>
        <w:spacing w:after="0" w:line="271" w:lineRule="auto"/>
        <w:rPr>
          <w:sz w:val="20"/>
          <w:szCs w:val="20"/>
          <w:color w:val="auto"/>
        </w:rPr>
      </w:pPr>
      <w:r>
        <w:rPr>
          <w:rFonts w:ascii="Arial" w:cs="Arial" w:eastAsia="Arial" w:hAnsi="Arial"/>
          <w:sz w:val="12"/>
          <w:szCs w:val="12"/>
          <w:color w:val="auto"/>
        </w:rPr>
        <w:t>Accidental leaks and spills requiring cleanup may occur in the ordinary course of business. In addition to the costs for environmental protection associated with its ongoing operations and products, the company may incur expenses for corrective actions at various owned and previously owned facilities and at third-party-owned waste-disposal sites used by the company. An obligation may arise when operations are closed or sold or at non-Chevron sites where company products have been handled or disposed of. Most of the expenditures to fulfill these obligations relate to facilities and sites where past operations followed practices and procedures that were con-</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80"/>
          </w:cols>
          <w:pgMar w:left="220" w:top="33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40"/>
        <w:spacing w:after="0" w:line="267" w:lineRule="auto"/>
        <w:rPr>
          <w:sz w:val="20"/>
          <w:szCs w:val="20"/>
          <w:color w:val="auto"/>
        </w:rPr>
      </w:pPr>
      <w:r>
        <w:rPr>
          <w:rFonts w:ascii="Arial" w:cs="Arial" w:eastAsia="Arial" w:hAnsi="Arial"/>
          <w:sz w:val="13"/>
          <w:szCs w:val="13"/>
          <w:color w:val="auto"/>
        </w:rPr>
        <w:t>sidered acceptable at the time but now require investigative or remedial work or both to meet current standards.</w:t>
      </w:r>
    </w:p>
    <w:p>
      <w:pPr>
        <w:spacing w:after="0" w:line="100" w:lineRule="exact"/>
        <w:rPr>
          <w:sz w:val="20"/>
          <w:szCs w:val="20"/>
          <w:color w:val="auto"/>
        </w:rPr>
      </w:pPr>
    </w:p>
    <w:p>
      <w:pPr>
        <w:ind w:firstLine="160"/>
        <w:spacing w:after="0" w:line="249" w:lineRule="auto"/>
        <w:rPr>
          <w:sz w:val="20"/>
          <w:szCs w:val="20"/>
          <w:color w:val="auto"/>
        </w:rPr>
      </w:pPr>
      <w:r>
        <w:rPr>
          <w:rFonts w:ascii="Arial" w:cs="Arial" w:eastAsia="Arial" w:hAnsi="Arial"/>
          <w:sz w:val="13"/>
          <w:szCs w:val="13"/>
          <w:color w:val="auto"/>
        </w:rPr>
        <w:t>Using definitions and guidelines established by the American Petroleum Institute, Chevron estimated its worldwide environmental spending in 2008 at approximately $3.1 billion for its consolidated companies. Included in these expenditures were approximately $1.3 billion of environmental capital expenditures and $1.8 billion of costs associated with the prevention, control, abatement or elimination of hazardous substances and pollutants from operating, closed or divested sites, and the abandonment and restoration of sites.</w:t>
      </w:r>
    </w:p>
    <w:p>
      <w:pPr>
        <w:ind w:firstLine="160"/>
        <w:spacing w:after="0" w:line="246" w:lineRule="auto"/>
        <w:rPr>
          <w:sz w:val="20"/>
          <w:szCs w:val="20"/>
          <w:color w:val="auto"/>
        </w:rPr>
      </w:pPr>
      <w:r>
        <w:rPr>
          <w:rFonts w:ascii="Arial" w:cs="Arial" w:eastAsia="Arial" w:hAnsi="Arial"/>
          <w:sz w:val="13"/>
          <w:szCs w:val="13"/>
          <w:color w:val="auto"/>
        </w:rPr>
        <w:t>For 2009, total worldwide environmental capital expenditures are estimated at $2.2 billion. These capital costs are in addition to the ongoing costs of complying with environmental regulations and the costs to remediate previously contaminated sites.</w:t>
      </w:r>
    </w:p>
    <w:p>
      <w:pPr>
        <w:spacing w:after="0" w:line="2" w:lineRule="exact"/>
        <w:rPr>
          <w:sz w:val="20"/>
          <w:szCs w:val="20"/>
          <w:color w:val="auto"/>
        </w:rPr>
      </w:pPr>
    </w:p>
    <w:p>
      <w:pPr>
        <w:ind w:right="60" w:firstLine="160"/>
        <w:spacing w:after="0" w:line="302" w:lineRule="auto"/>
        <w:rPr>
          <w:sz w:val="20"/>
          <w:szCs w:val="20"/>
          <w:color w:val="auto"/>
        </w:rPr>
      </w:pPr>
      <w:r>
        <w:rPr>
          <w:rFonts w:ascii="Arial" w:cs="Arial" w:eastAsia="Arial" w:hAnsi="Arial"/>
          <w:sz w:val="11"/>
          <w:szCs w:val="11"/>
          <w:color w:val="auto"/>
        </w:rPr>
        <w:t>It is not possible to predict with certainty the amount of additional investments in new or existing facilities or amounts of incremental operating costs to be incurred in the future to: prevent, control, reduce or eliminate releases of hazardous materials into the environment; comply with existing and new environmental laws or regulations; or remediate and restore areas damaged by prior releases of hazardous materials. Although these costs may be significant to the results of operations in any single period, the company does not expect them to have a material effect on the company’s liquidity or financial position.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 and Assumptions</w:t>
      </w:r>
    </w:p>
    <w:p>
      <w:pPr>
        <w:spacing w:after="0" w:line="122" w:lineRule="exact"/>
        <w:rPr>
          <w:sz w:val="20"/>
          <w:szCs w:val="20"/>
          <w:color w:val="auto"/>
        </w:rPr>
      </w:pPr>
    </w:p>
    <w:p>
      <w:pPr>
        <w:ind w:right="160" w:firstLine="160"/>
        <w:spacing w:after="0" w:line="269" w:lineRule="auto"/>
        <w:rPr>
          <w:sz w:val="20"/>
          <w:szCs w:val="20"/>
          <w:color w:val="auto"/>
        </w:rPr>
      </w:pPr>
      <w:r>
        <w:rPr>
          <w:rFonts w:ascii="Arial" w:cs="Arial" w:eastAsia="Arial" w:hAnsi="Arial"/>
          <w:sz w:val="12"/>
          <w:szCs w:val="12"/>
          <w:color w:val="auto"/>
        </w:rPr>
        <w:t>Management makes many estimates and assumptions in the application of generally accepted accounting principles (GAAP) that may have a material impact on the company’s consolidated financial statements and related disclosures and on the comparability of such information over different reporting periods. All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1" w:lineRule="exact"/>
        <w:rPr>
          <w:sz w:val="20"/>
          <w:szCs w:val="20"/>
          <w:color w:val="auto"/>
        </w:rPr>
      </w:pPr>
    </w:p>
    <w:p>
      <w:pPr>
        <w:ind w:right="320" w:firstLine="158"/>
        <w:spacing w:after="0" w:line="267" w:lineRule="auto"/>
        <w:rPr>
          <w:sz w:val="20"/>
          <w:szCs w:val="20"/>
          <w:color w:val="auto"/>
        </w:rPr>
      </w:pPr>
      <w:r>
        <w:rPr>
          <w:rFonts w:ascii="Arial" w:cs="Arial" w:eastAsia="Arial" w:hAnsi="Arial"/>
          <w:sz w:val="12"/>
          <w:szCs w:val="12"/>
          <w:color w:val="auto"/>
        </w:rPr>
        <w:t>The discussion in this section of “critical” accounting estimates or assumptions is according to the disclosure guidelines of the Securities and Exchange Commission (SEC), wherein:</w:t>
      </w:r>
    </w:p>
    <w:p>
      <w:pPr>
        <w:ind w:left="420" w:hanging="154"/>
        <w:spacing w:after="0" w:line="253"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nature of the estimates or assumptions is material due to the levels of subjectivity and judgment neces-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sary to account for highly uncertain matters or the susceptibility of such matters to change; and</w:t>
      </w:r>
    </w:p>
    <w:p>
      <w:pPr>
        <w:spacing w:after="0" w:line="24" w:lineRule="exact"/>
        <w:rPr>
          <w:sz w:val="20"/>
          <w:szCs w:val="20"/>
          <w:color w:val="auto"/>
        </w:rPr>
      </w:pPr>
    </w:p>
    <w:p>
      <w:pPr>
        <w:ind w:left="420" w:right="260" w:hanging="147"/>
        <w:spacing w:after="0" w:line="253" w:lineRule="auto"/>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impact of the estimates and assumptions on the company’s financial condition or operating performance is material.</w:t>
      </w:r>
    </w:p>
    <w:p>
      <w:pPr>
        <w:spacing w:after="0" w:line="118" w:lineRule="exact"/>
        <w:rPr>
          <w:sz w:val="20"/>
          <w:szCs w:val="20"/>
          <w:color w:val="auto"/>
        </w:rPr>
      </w:pPr>
    </w:p>
    <w:p>
      <w:pPr>
        <w:ind w:right="40" w:firstLine="160"/>
        <w:spacing w:after="0" w:line="281" w:lineRule="auto"/>
        <w:rPr>
          <w:sz w:val="20"/>
          <w:szCs w:val="20"/>
          <w:color w:val="auto"/>
        </w:rPr>
      </w:pPr>
      <w:r>
        <w:rPr>
          <w:rFonts w:ascii="Arial" w:cs="Arial" w:eastAsia="Arial" w:hAnsi="Arial"/>
          <w:sz w:val="12"/>
          <w:szCs w:val="12"/>
          <w:color w:val="auto"/>
        </w:rPr>
        <w:t>Besides those meeting these “critical” criteria, the company makes many other accounting estimates and assumptions in preparing its financial statements and related disclosures. Although not associated with “highly uncertain matters,” these estimates and assumptions are also subject to revision as circumstances warrant, and materially different results may sometimes occur.</w:t>
      </w:r>
    </w:p>
    <w:p>
      <w:pPr>
        <w:spacing w:after="0" w:line="94" w:lineRule="exact"/>
        <w:rPr>
          <w:sz w:val="20"/>
          <w:szCs w:val="20"/>
          <w:color w:val="auto"/>
        </w:rPr>
      </w:pPr>
    </w:p>
    <w:p>
      <w:pPr>
        <w:ind w:right="40" w:firstLine="160"/>
        <w:spacing w:after="0" w:line="297" w:lineRule="auto"/>
        <w:rPr>
          <w:sz w:val="20"/>
          <w:szCs w:val="20"/>
          <w:color w:val="auto"/>
        </w:rPr>
      </w:pPr>
      <w:r>
        <w:rPr>
          <w:rFonts w:ascii="Arial" w:cs="Arial" w:eastAsia="Arial" w:hAnsi="Arial"/>
          <w:sz w:val="11"/>
          <w:szCs w:val="11"/>
          <w:color w:val="auto"/>
        </w:rPr>
        <w:t>For example, the recording of deferred tax assets requires an assessment under the accounting rules that the future realization of the associated tax benefits be “more likely than not.” Another example is the estimation of crude oil and natural gas reserves under SEC rules that require “... geological and engineering data (that) demonstrate with reasonable certainty (reserves) to be recoverable in future years from known reservoirs under existing economic and operating conditions, i.e., prices and costs as of the date the estimate is made.” Refer to Table V, “Reserve Quantity Information,” beginning on page FS-67, for the changes in these estimates for the three years ending December 31, 2008, and to Table VII, “Changes in the Standardized Measure of Discounted Future Net Cash Flows From Proved Reserves” on page FS-74 for estimates of proved-reserve values for each of the three years ended December 31, 2008, which were based on year-end prices at the time. Note 1 to the Consolidated Financial Statements, beginning on page FS-32, includes a description of the “successful efforts” method of accounting for oil and gas exploration and production activities. The estimates of crude oil and natural gas reserves are important to the timing of expense recognition for costs incurred.</w:t>
      </w:r>
    </w:p>
    <w:p>
      <w:pPr>
        <w:spacing w:after="0" w:line="129" w:lineRule="exact"/>
        <w:rPr>
          <w:sz w:val="20"/>
          <w:szCs w:val="20"/>
          <w:color w:val="auto"/>
        </w:rPr>
      </w:pPr>
    </w:p>
    <w:p>
      <w:pPr>
        <w:ind w:firstLine="158"/>
        <w:spacing w:after="0" w:line="300" w:lineRule="auto"/>
        <w:rPr>
          <w:sz w:val="20"/>
          <w:szCs w:val="20"/>
          <w:color w:val="auto"/>
        </w:rPr>
      </w:pPr>
      <w:r>
        <w:rPr>
          <w:rFonts w:ascii="Arial" w:cs="Arial" w:eastAsia="Arial" w:hAnsi="Arial"/>
          <w:sz w:val="11"/>
          <w:szCs w:val="11"/>
          <w:color w:val="auto"/>
        </w:rPr>
        <w:t>The discussion of the critical accounting policy for “Impairment of Properties, Plant and Equipment and Investments in Affiliates,” beginning on page FS-20, includes reference to conditions under which downward revisions of proved-reserve quantities could result in impairments of oil and gas properties. This commentary should be read in conjunction with disclosures elsewhere in this discussion and in the Notes to the Consolidated Financial Statements related to estimates, uncertainties, contingencies and new accounting standards. Significant accounting policies are discussed in Note 1 to the Consolidated Financial Statements, beginning on page FS-32. The development and selection of accounting estimates</w:t>
      </w:r>
    </w:p>
    <w:p>
      <w:pPr>
        <w:spacing w:after="0" w:line="859" w:lineRule="exact"/>
        <w:rPr>
          <w:sz w:val="20"/>
          <w:szCs w:val="20"/>
          <w:color w:val="auto"/>
        </w:rPr>
      </w:pPr>
    </w:p>
    <w:p>
      <w:pPr>
        <w:sectPr>
          <w:pgSz w:w="11900" w:h="16838" w:orient="portrait"/>
          <w:cols w:equalWidth="0" w:num="2">
            <w:col w:w="5500" w:space="460"/>
            <w:col w:w="5520"/>
          </w:cols>
          <w:pgMar w:left="220" w:top="339" w:right="199" w:bottom="1440" w:gutter="0" w:footer="0" w:header="0"/>
          <w:type w:val="continuous"/>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54" w:lineRule="exact"/>
        <w:rPr>
          <w:sz w:val="20"/>
          <w:szCs w:val="20"/>
          <w:color w:val="auto"/>
        </w:rPr>
      </w:pPr>
    </w:p>
    <w:p>
      <w:pPr>
        <w:ind w:right="60"/>
        <w:spacing w:after="0" w:line="309" w:lineRule="auto"/>
        <w:rPr>
          <w:sz w:val="20"/>
          <w:szCs w:val="20"/>
          <w:color w:val="auto"/>
        </w:rPr>
      </w:pPr>
      <w:r>
        <w:rPr>
          <w:rFonts w:ascii="Arial" w:cs="Arial" w:eastAsia="Arial" w:hAnsi="Arial"/>
          <w:sz w:val="12"/>
          <w:szCs w:val="12"/>
          <w:color w:val="auto"/>
        </w:rPr>
        <w:t>and assumptions, including those deemed “critical,” and the associated disclosures in this discussion have been discussed by management with the Audit Committee of the Board of Directors.</w:t>
      </w:r>
    </w:p>
    <w:p>
      <w:pPr>
        <w:spacing w:after="0" w:line="77" w:lineRule="exact"/>
        <w:rPr>
          <w:sz w:val="20"/>
          <w:szCs w:val="20"/>
          <w:color w:val="auto"/>
        </w:rPr>
      </w:pPr>
    </w:p>
    <w:p>
      <w:pPr>
        <w:ind w:right="80" w:firstLine="158"/>
        <w:spacing w:after="0" w:line="253" w:lineRule="auto"/>
        <w:rPr>
          <w:sz w:val="20"/>
          <w:szCs w:val="20"/>
          <w:color w:val="auto"/>
        </w:rPr>
      </w:pPr>
      <w:r>
        <w:rPr>
          <w:rFonts w:ascii="Arial" w:cs="Arial" w:eastAsia="Arial" w:hAnsi="Arial"/>
          <w:sz w:val="13"/>
          <w:szCs w:val="13"/>
          <w:color w:val="auto"/>
        </w:rPr>
        <w:t>The areas of accounting and the associated “critical” estimates and assumptions made by the company are as follows:</w:t>
      </w:r>
    </w:p>
    <w:p>
      <w:pPr>
        <w:spacing w:after="0" w:line="1" w:lineRule="exact"/>
        <w:rPr>
          <w:sz w:val="20"/>
          <w:szCs w:val="20"/>
          <w:color w:val="auto"/>
        </w:rPr>
      </w:pPr>
    </w:p>
    <w:p>
      <w:pPr>
        <w:ind w:right="100" w:firstLine="160"/>
        <w:spacing w:after="0" w:line="291" w:lineRule="auto"/>
        <w:rPr>
          <w:sz w:val="20"/>
          <w:szCs w:val="20"/>
          <w:color w:val="auto"/>
        </w:rPr>
      </w:pPr>
      <w:r>
        <w:rPr>
          <w:rFonts w:ascii="Arial" w:cs="Arial" w:eastAsia="Arial" w:hAnsi="Arial"/>
          <w:sz w:val="11"/>
          <w:szCs w:val="11"/>
          <w:i w:val="1"/>
          <w:iCs w:val="1"/>
          <w:color w:val="E51837"/>
        </w:rPr>
        <w:t xml:space="preserve">Pension and Other Postretirement Benefit Plans </w:t>
      </w:r>
      <w:r>
        <w:rPr>
          <w:rFonts w:ascii="Arial" w:cs="Arial" w:eastAsia="Arial" w:hAnsi="Arial"/>
          <w:sz w:val="11"/>
          <w:szCs w:val="11"/>
          <w:color w:val="000000"/>
        </w:rPr>
        <w:t>The determination of pension-plan obligations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expense is based on a number of actuarial assumptions. Two critical assumptions are the expected long-term rate of return on plan assets and the discount rate applied to pension plan obligations. For other postretirement benefit (OPEB) plans, which provide for certain health care and life insurance benefits for qualifying retired employees and which are not funded, critical assumptions in determining OPEB obligations and expense are the discount rate and the assumed health care cost-trend rates.</w:t>
      </w:r>
    </w:p>
    <w:p>
      <w:pPr>
        <w:spacing w:after="0" w:line="2" w:lineRule="exact"/>
        <w:rPr>
          <w:sz w:val="20"/>
          <w:szCs w:val="20"/>
          <w:color w:val="auto"/>
        </w:rPr>
      </w:pPr>
    </w:p>
    <w:p>
      <w:pPr>
        <w:jc w:val="both"/>
        <w:ind w:right="20" w:firstLine="160"/>
        <w:spacing w:after="0" w:line="291" w:lineRule="auto"/>
        <w:rPr>
          <w:sz w:val="20"/>
          <w:szCs w:val="20"/>
          <w:color w:val="auto"/>
        </w:rPr>
      </w:pPr>
      <w:r>
        <w:rPr>
          <w:rFonts w:ascii="Arial" w:cs="Arial" w:eastAsia="Arial" w:hAnsi="Arial"/>
          <w:sz w:val="11"/>
          <w:szCs w:val="11"/>
          <w:color w:val="auto"/>
        </w:rPr>
        <w:t>Note 22, beginning on page FS-51, includes information on the funded status of the company’s pension and OPEB plans at the end of 2008 and 2007; the components of pension and OPEB expense for the three years ending December 31, 2008; and the underlying assumptions for those periods.</w:t>
      </w:r>
    </w:p>
    <w:p>
      <w:pPr>
        <w:spacing w:after="0" w:line="1"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Pension and OPEB expense is recorded on the Consolidated Statement of Income in “Operating expenses” or “Selling, general and administrative expenses” and applies to all business segments. The year-end 2008 and 2007 funded status, measured as the difference between plan assets and obligations, of each of the company’s pension and OPEB plans is recognized on the Consolidated Balance Sheet. The funded status of overfunded pension plans is recorded as a long-term asset in “Deferred charges and other assets.” The funded status of underfunded or unfunded pension and OPEB plans is recorded in “Accrued liabilities” or “Reserves for employee benefit plans.” Amounts yet to be recognized as components of pension or OPEB expense are recorded in “Accumulated other comprehensive loss.”</w:t>
      </w:r>
    </w:p>
    <w:p>
      <w:pPr>
        <w:spacing w:after="0" w:line="3" w:lineRule="exact"/>
        <w:rPr>
          <w:sz w:val="20"/>
          <w:szCs w:val="20"/>
          <w:color w:val="auto"/>
        </w:rPr>
      </w:pPr>
    </w:p>
    <w:p>
      <w:pPr>
        <w:ind w:firstLine="158"/>
        <w:spacing w:after="0" w:line="270" w:lineRule="auto"/>
        <w:rPr>
          <w:sz w:val="20"/>
          <w:szCs w:val="20"/>
          <w:color w:val="auto"/>
        </w:rPr>
      </w:pPr>
      <w:r>
        <w:rPr>
          <w:rFonts w:ascii="Arial" w:cs="Arial" w:eastAsia="Arial" w:hAnsi="Arial"/>
          <w:sz w:val="12"/>
          <w:szCs w:val="12"/>
          <w:color w:val="auto"/>
        </w:rPr>
        <w:t>To estimate the long-term rate of return on pension assets, the company uses a process that incorporates actual historical asset-class returns and an assessment of expected future performance and takes into consideration external actuarial advice and asset-class factors. Asset allocations are periodically updated using pension plan asset/liability studies, and the determination of the company’s estimates of long-term rates of return are consistent with these studies. The expected long-term rate of return on U.S. pension plan assets, which account for 68 percent of the company’s pension plan assets, has remained at 7.8 percent since 2002. For the 10 years ending December 31, 2008, actual asset returns averaged 3.7 percent for this plan. The actual asset returns for the 10 years ending December 31, 2007, averaged 8.7 percent. The actual return for 2008 was negative and was associated with the broad decline in the financial markets in the second half of the year.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firstLine="158"/>
        <w:spacing w:after="0" w:line="269" w:lineRule="auto"/>
        <w:rPr>
          <w:sz w:val="20"/>
          <w:szCs w:val="20"/>
          <w:color w:val="auto"/>
        </w:rPr>
      </w:pPr>
      <w:r>
        <w:rPr>
          <w:rFonts w:ascii="Arial" w:cs="Arial" w:eastAsia="Arial" w:hAnsi="Arial"/>
          <w:sz w:val="12"/>
          <w:szCs w:val="12"/>
          <w:color w:val="auto"/>
        </w:rPr>
        <w:t>The year-end market-related value of assets of the major U.S. pension plan used in the determination of pension expense was based on the market value in the preceding three months, as opposed to the maximum allowable period of five years under U.S. accounting rules. Management considers the three-month period long enough to minimize the effects of distortions from day-to-day market volatility and still be contemporaneous to the end of the year. For other plans, market value of assets as of year-end is used in calculating the pension expense.</w:t>
      </w:r>
    </w:p>
    <w:p>
      <w:pPr>
        <w:spacing w:after="0" w:line="3" w:lineRule="exact"/>
        <w:rPr>
          <w:sz w:val="20"/>
          <w:szCs w:val="20"/>
          <w:color w:val="auto"/>
        </w:rPr>
      </w:pPr>
    </w:p>
    <w:p>
      <w:pPr>
        <w:ind w:right="20" w:firstLine="158"/>
        <w:spacing w:after="0" w:line="291" w:lineRule="auto"/>
        <w:rPr>
          <w:sz w:val="20"/>
          <w:szCs w:val="20"/>
          <w:color w:val="auto"/>
        </w:rPr>
      </w:pPr>
      <w:r>
        <w:rPr>
          <w:rFonts w:ascii="Arial" w:cs="Arial" w:eastAsia="Arial" w:hAnsi="Arial"/>
          <w:sz w:val="11"/>
          <w:szCs w:val="11"/>
          <w:color w:val="auto"/>
        </w:rPr>
        <w:t>The discount rate assumptions used to determine U.S. and international pension and postretirement benefit plan obligations and expense reflect the prevailing rates available on high-quality fixed-income debt instruments. At December 31, 2008, the company selected a 6.3 percent discount rate for the major U.S. pension and postretirement plans. This rate was selected based on a cash flow analysis that matched estimated future benefit payments to the Citigroup Pension Discount Yield Curve as of year-end 2008. The discount rates at the end of 2007 and 2006 were 6.3 percent and 5.8 percent, respectively.</w:t>
      </w:r>
    </w:p>
    <w:p>
      <w:pPr>
        <w:spacing w:after="0" w:line="2" w:lineRule="exact"/>
        <w:rPr>
          <w:sz w:val="20"/>
          <w:szCs w:val="20"/>
          <w:color w:val="auto"/>
        </w:rPr>
      </w:pPr>
    </w:p>
    <w:p>
      <w:pPr>
        <w:ind w:right="60" w:firstLine="153"/>
        <w:spacing w:after="0" w:line="291" w:lineRule="auto"/>
        <w:rPr>
          <w:sz w:val="20"/>
          <w:szCs w:val="20"/>
          <w:color w:val="auto"/>
        </w:rPr>
      </w:pPr>
      <w:r>
        <w:rPr>
          <w:rFonts w:ascii="Arial" w:cs="Arial" w:eastAsia="Arial" w:hAnsi="Arial"/>
          <w:sz w:val="11"/>
          <w:szCs w:val="11"/>
          <w:color w:val="auto"/>
        </w:rPr>
        <w:t>An increase in the expected long-term return on plan assets or the discount rate would reduce pension plan expense, and vice versa. Total pension expense for 2008 was $770 million. As an indication of the sensitivity of pension expense to the long-term rate of return assumption, a 1 percent increase in the expected rate of return on assets of the company’s primary U.S. pension plan would have reduced total pension plan expense for 2008 by approximately $70 million. A 1 percent increase in the discount rate for this same plan, which accounted for about 61 percent of the companywide pension obligation, would have reduced total pension plan expense for 2008 by approximately $140 million.</w:t>
      </w:r>
    </w:p>
    <w:p>
      <w:pPr>
        <w:spacing w:after="0" w:line="3" w:lineRule="exact"/>
        <w:rPr>
          <w:sz w:val="20"/>
          <w:szCs w:val="20"/>
          <w:color w:val="auto"/>
        </w:rPr>
      </w:pPr>
    </w:p>
    <w:p>
      <w:pPr>
        <w:ind w:firstLine="153"/>
        <w:spacing w:after="0" w:line="267" w:lineRule="auto"/>
        <w:rPr>
          <w:sz w:val="20"/>
          <w:szCs w:val="20"/>
          <w:color w:val="auto"/>
        </w:rPr>
      </w:pPr>
      <w:r>
        <w:rPr>
          <w:rFonts w:ascii="Arial" w:cs="Arial" w:eastAsia="Arial" w:hAnsi="Arial"/>
          <w:sz w:val="12"/>
          <w:szCs w:val="12"/>
          <w:color w:val="auto"/>
        </w:rPr>
        <w:t>An increase in the discount rate would decrease the pension obligation, thus changing the funded status of a plan recorded on the Consolidated Balance Sheet. The total pension liability on the Consolidated Balance Sheet at December 31, 2008, for underfunded plans was approximately $4.0 billion. As an indication of the sensitivity of pension liabilities to the discount rate assumption, a 0.25 percent increase in the discount rate applied to the company’s primary U.S. pension plan would have reduced the plan obligation by approximately $250 million, which would have decreased the plan’s underfunded status from approximately $2.0 billion to $1.8 billion. Other plans would be less under-funded as discount rates increase. The actual rates of return on plan assets and discount rates may vary significantly from estimates because of unanticipated changes in the world’s financial markets.</w:t>
      </w:r>
    </w:p>
    <w:p>
      <w:pPr>
        <w:spacing w:after="0" w:line="2" w:lineRule="exact"/>
        <w:rPr>
          <w:sz w:val="20"/>
          <w:szCs w:val="20"/>
          <w:color w:val="auto"/>
        </w:rPr>
      </w:pPr>
    </w:p>
    <w:p>
      <w:pPr>
        <w:ind w:right="200" w:firstLine="160"/>
        <w:spacing w:after="0" w:line="250" w:lineRule="auto"/>
        <w:rPr>
          <w:sz w:val="20"/>
          <w:szCs w:val="20"/>
          <w:color w:val="auto"/>
        </w:rPr>
      </w:pPr>
      <w:r>
        <w:rPr>
          <w:rFonts w:ascii="Arial" w:cs="Arial" w:eastAsia="Arial" w:hAnsi="Arial"/>
          <w:sz w:val="13"/>
          <w:szCs w:val="13"/>
          <w:color w:val="auto"/>
        </w:rPr>
        <w:t>In 2008, the company’s pension plan contributions were $839 million (including $577 million to the U.S. plans). In 2009, the company estimates contributions will be approximately $800 million. Actual contribution amounts are</w:t>
      </w:r>
    </w:p>
    <w:p>
      <w:pPr>
        <w:spacing w:after="0" w:line="468" w:lineRule="exact"/>
        <w:rPr>
          <w:sz w:val="20"/>
          <w:szCs w:val="20"/>
          <w:color w:val="auto"/>
        </w:rPr>
      </w:pPr>
    </w:p>
    <w:p>
      <w:pPr>
        <w:sectPr>
          <w:pgSz w:w="11900" w:h="16838" w:orient="portrait"/>
          <w:cols w:equalWidth="0" w:num="2">
            <w:col w:w="5480" w:space="480"/>
            <w:col w:w="5500"/>
          </w:cols>
          <w:pgMar w:left="220" w:top="339" w:right="21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457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dependent upon plan-investment results, changes in pension obligations, regulatory requirements and other economic factors. Additional funding may be required if investment returns are insufficient to offset increases in plan obligations.</w:t>
      </w:r>
    </w:p>
    <w:p>
      <w:pPr>
        <w:spacing w:after="0" w:line="108" w:lineRule="exact"/>
        <w:rPr>
          <w:sz w:val="20"/>
          <w:szCs w:val="20"/>
          <w:color w:val="auto"/>
        </w:rPr>
      </w:pPr>
    </w:p>
    <w:p>
      <w:pPr>
        <w:ind w:right="400" w:firstLine="160"/>
        <w:spacing w:after="0" w:line="274" w:lineRule="auto"/>
        <w:rPr>
          <w:sz w:val="20"/>
          <w:szCs w:val="20"/>
          <w:color w:val="auto"/>
        </w:rPr>
      </w:pPr>
      <w:r>
        <w:rPr>
          <w:rFonts w:ascii="Arial" w:cs="Arial" w:eastAsia="Arial" w:hAnsi="Arial"/>
          <w:sz w:val="12"/>
          <w:szCs w:val="12"/>
          <w:color w:val="auto"/>
        </w:rPr>
        <w:t>For the company’s OPEB plans, expense for 2008 was $179 million and the total liability, which reflected the unfunded status of the plans at the end of 2008, was $2.9 billion.</w:t>
      </w:r>
    </w:p>
    <w:p>
      <w:pPr>
        <w:spacing w:after="0" w:line="1" w:lineRule="exact"/>
        <w:rPr>
          <w:sz w:val="20"/>
          <w:szCs w:val="20"/>
          <w:color w:val="auto"/>
        </w:rPr>
      </w:pPr>
    </w:p>
    <w:p>
      <w:pPr>
        <w:ind w:right="80" w:firstLine="153"/>
        <w:spacing w:after="0" w:line="291" w:lineRule="auto"/>
        <w:rPr>
          <w:sz w:val="20"/>
          <w:szCs w:val="20"/>
          <w:color w:val="auto"/>
        </w:rPr>
      </w:pPr>
      <w:r>
        <w:rPr>
          <w:rFonts w:ascii="Arial" w:cs="Arial" w:eastAsia="Arial" w:hAnsi="Arial"/>
          <w:sz w:val="11"/>
          <w:szCs w:val="11"/>
          <w:color w:val="auto"/>
        </w:rPr>
        <w:t>As an indication of discount rate sensitivity to the determination of OPEB expense in 2008, a 1 percent increase in the discount rate for the company’s primary U.S. OPEB plan, which accounted for about</w:t>
      </w:r>
    </w:p>
    <w:p>
      <w:pPr>
        <w:spacing w:after="0" w:line="1" w:lineRule="exact"/>
        <w:rPr>
          <w:sz w:val="20"/>
          <w:szCs w:val="20"/>
          <w:color w:val="auto"/>
        </w:rPr>
      </w:pPr>
    </w:p>
    <w:p>
      <w:pPr>
        <w:ind w:right="160"/>
        <w:spacing w:after="0" w:line="291" w:lineRule="auto"/>
        <w:rPr>
          <w:sz w:val="20"/>
          <w:szCs w:val="20"/>
          <w:color w:val="auto"/>
        </w:rPr>
      </w:pPr>
      <w:r>
        <w:rPr>
          <w:rFonts w:ascii="Arial" w:cs="Arial" w:eastAsia="Arial" w:hAnsi="Arial"/>
          <w:sz w:val="11"/>
          <w:szCs w:val="11"/>
          <w:color w:val="auto"/>
        </w:rPr>
        <w:t>67 percent of the companywide OPEB expense, would have decreased OPEB expense by approximately $20 million. A 0.25 percent increase in the discount rate for the same plan, which accounted for about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86 percent of the companywide OPEB liabilities, would have decreased total OPEB liabilities at the end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2008 by approximately $56 million.</w:t>
      </w:r>
    </w:p>
    <w:p>
      <w:pPr>
        <w:spacing w:after="0" w:line="4" w:lineRule="exact"/>
        <w:rPr>
          <w:sz w:val="20"/>
          <w:szCs w:val="20"/>
          <w:color w:val="auto"/>
        </w:rPr>
      </w:pPr>
    </w:p>
    <w:p>
      <w:pPr>
        <w:ind w:right="60" w:firstLine="160"/>
        <w:spacing w:after="0" w:line="267" w:lineRule="auto"/>
        <w:rPr>
          <w:sz w:val="20"/>
          <w:szCs w:val="20"/>
          <w:color w:val="auto"/>
        </w:rPr>
      </w:pPr>
      <w:r>
        <w:rPr>
          <w:rFonts w:ascii="Arial" w:cs="Arial" w:eastAsia="Arial" w:hAnsi="Arial"/>
          <w:sz w:val="12"/>
          <w:szCs w:val="12"/>
          <w:color w:val="auto"/>
        </w:rPr>
        <w:t>For the main U.S. postretirement medical plan, the annual increase to company contributions is limited to 4 percent per year. For active employees and retirees under age 65 whose claims experiences are combined for rating purposes, the assumed health care cost-trend rates start with 7 percent in 2009 and gradually drop to 5 percent for 2017 and beyond. As an indication of the health care cost-trend rate sensitivity to the determination of OPEB expense in 2008, a 1 percent increase in the rates for the main U.S. OPEB plan, which accounted for 86 percent of the companywide OPEB liabilities, would have increased OPEB expense $8 million.</w:t>
      </w:r>
    </w:p>
    <w:p>
      <w:pPr>
        <w:spacing w:after="0" w:line="2" w:lineRule="exact"/>
        <w:rPr>
          <w:sz w:val="20"/>
          <w:szCs w:val="20"/>
          <w:color w:val="auto"/>
        </w:rPr>
      </w:pPr>
    </w:p>
    <w:p>
      <w:pPr>
        <w:ind w:right="60" w:firstLine="160"/>
        <w:spacing w:after="0" w:line="267" w:lineRule="auto"/>
        <w:rPr>
          <w:sz w:val="20"/>
          <w:szCs w:val="20"/>
          <w:color w:val="auto"/>
        </w:rPr>
      </w:pPr>
      <w:r>
        <w:rPr>
          <w:rFonts w:ascii="Arial" w:cs="Arial" w:eastAsia="Arial" w:hAnsi="Arial"/>
          <w:sz w:val="12"/>
          <w:szCs w:val="12"/>
          <w:color w:val="auto"/>
        </w:rPr>
        <w:t>Differences between the various assumptions used to determine expense and the funded status of each plan and actual experience are not included in benefit plan costs in the year the difference occurs. Instead, the differences are included in actuarial gain/loss and unamortized amounts have been reflected in “Accumulated other comprehensive loss” on the Consolidated Balance Sheet. Refer to Note 22, beginning on page FS-51, for information on the $6.0 billion of before-tax actuarial losses recorded by the company as of December 31, 2008; a description of the method used to amortize those costs; and an estimate of the costs to be recognized in expense during 2009.</w:t>
      </w:r>
    </w:p>
    <w:p>
      <w:pPr>
        <w:spacing w:after="0" w:line="2" w:lineRule="exact"/>
        <w:rPr>
          <w:sz w:val="20"/>
          <w:szCs w:val="20"/>
          <w:color w:val="auto"/>
        </w:rPr>
      </w:pPr>
    </w:p>
    <w:p>
      <w:pPr>
        <w:ind w:firstLine="160"/>
        <w:spacing w:after="0" w:line="274" w:lineRule="auto"/>
        <w:rPr>
          <w:sz w:val="20"/>
          <w:szCs w:val="20"/>
          <w:color w:val="auto"/>
        </w:rPr>
      </w:pPr>
      <w:r>
        <w:rPr>
          <w:rFonts w:ascii="Arial" w:cs="Arial" w:eastAsia="Arial" w:hAnsi="Arial"/>
          <w:sz w:val="12"/>
          <w:szCs w:val="12"/>
          <w:i w:val="1"/>
          <w:iCs w:val="1"/>
          <w:color w:val="E51837"/>
        </w:rPr>
        <w:t xml:space="preserve">Impairment of Properties, Plant and Equipment and Investments in Affiliates </w:t>
      </w:r>
      <w:r>
        <w:rPr>
          <w:rFonts w:ascii="Arial" w:cs="Arial" w:eastAsia="Arial" w:hAnsi="Arial"/>
          <w:sz w:val="12"/>
          <w:szCs w:val="12"/>
          <w:color w:val="000000"/>
        </w:rPr>
        <w:t>The company assesses its</w:t>
      </w:r>
      <w:r>
        <w:rPr>
          <w:rFonts w:ascii="Arial" w:cs="Arial" w:eastAsia="Arial" w:hAnsi="Arial"/>
          <w:sz w:val="12"/>
          <w:szCs w:val="12"/>
          <w:i w:val="1"/>
          <w:iCs w:val="1"/>
          <w:color w:val="E51837"/>
        </w:rPr>
        <w:t xml:space="preserve"> </w:t>
      </w:r>
      <w:r>
        <w:rPr>
          <w:rFonts w:ascii="Arial" w:cs="Arial" w:eastAsia="Arial" w:hAnsi="Arial"/>
          <w:sz w:val="12"/>
          <w:szCs w:val="12"/>
          <w:color w:val="000000"/>
        </w:rPr>
        <w:t>properties, plant and equipment (PP&amp;E) for possible impairment whenever events or changes in circumstances indicate that the carrying value of the assets may not be recoverable. Such indicators include changes in the company’s business plans, changes in commodity prices and, for crude oil and natural gas properties, significant downward revisions of estimated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proved-reserve quantities. If the carrying value of an asset exceeds the future undiscounted cash flows expected from the asset, an impairment charge is recorded for the excess of carrying value of the asset over its estimated fair value.</w:t>
      </w:r>
    </w:p>
    <w:p>
      <w:pPr>
        <w:spacing w:after="0" w:line="108" w:lineRule="exact"/>
        <w:rPr>
          <w:sz w:val="20"/>
          <w:szCs w:val="20"/>
          <w:color w:val="auto"/>
        </w:rPr>
      </w:pPr>
    </w:p>
    <w:p>
      <w:pPr>
        <w:ind w:right="160" w:firstLine="160"/>
        <w:spacing w:after="0" w:line="269" w:lineRule="auto"/>
        <w:rPr>
          <w:sz w:val="20"/>
          <w:szCs w:val="20"/>
          <w:color w:val="auto"/>
        </w:rPr>
      </w:pPr>
      <w:r>
        <w:rPr>
          <w:rFonts w:ascii="Arial" w:cs="Arial" w:eastAsia="Arial" w:hAnsi="Arial"/>
          <w:sz w:val="12"/>
          <w:szCs w:val="12"/>
          <w:color w:val="auto"/>
        </w:rPr>
        <w:t>Determination as to whether and how much an asset is impaired involves management estimates on highly uncertain matters, such as future commodity prices, the effects of inflation and technology improvements on operating expenses, production profiles, and the outlook for global or regional market supply-and-demand conditions for crude oil, natural gas, commodity chemicals and refined products. However, the impairment reviews and calculations are based on assumptions that are consistent with the company’s business plans and long-term investment decisions.</w:t>
      </w:r>
    </w:p>
    <w:p>
      <w:pPr>
        <w:spacing w:after="0" w:line="3"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color w:val="auto"/>
        </w:rPr>
        <w:t>No major individual impairments of PP&amp;E were recorded for the three years ending December 31, 2008. An estimate as to the sensitivity to earnings for these periods if other assumptions had been used in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When such a decline is deemed to be other than temporary, an impairment charge is recorded to the income statement for the difference between the investment’s carrying value and its estimated fair value at the time.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Differing assumptions could affect whether an investment is impaired in any period or the amount of the impairment, and are not subject to sensitivity analysis.</w:t>
      </w:r>
    </w:p>
    <w:p>
      <w:pPr>
        <w:spacing w:after="0" w:line="2" w:lineRule="exact"/>
        <w:rPr>
          <w:sz w:val="20"/>
          <w:szCs w:val="20"/>
          <w:color w:val="auto"/>
        </w:rPr>
      </w:pPr>
    </w:p>
    <w:p>
      <w:pPr>
        <w:ind w:right="40" w:firstLine="160"/>
        <w:spacing w:after="0" w:line="248" w:lineRule="auto"/>
        <w:rPr>
          <w:sz w:val="20"/>
          <w:szCs w:val="20"/>
          <w:color w:val="auto"/>
        </w:rPr>
      </w:pPr>
      <w:r>
        <w:rPr>
          <w:rFonts w:ascii="Arial" w:cs="Arial" w:eastAsia="Arial" w:hAnsi="Arial"/>
          <w:sz w:val="13"/>
          <w:szCs w:val="13"/>
          <w:color w:val="auto"/>
        </w:rPr>
        <w:t>From time to time, the company performs impairment reviews and determines whether any write-down in the carrying value of an asset or asset group is required. For example, when significant downward revisions to crude oil and natural gas reserves are made for any single field or concession, an impairment review is performed to determine if the carrying value of the asset remains recoverable. Also, if the expectation</w:t>
      </w:r>
    </w:p>
    <w:p>
      <w:pPr>
        <w:spacing w:after="0" w:line="215"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61" w:name="page62"/>
    <w:bookmarkEnd w:id="61"/>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60"/>
          </w:cols>
          <w:pgMar w:left="220" w:top="339" w:right="219" w:bottom="1440" w:gutter="0" w:footer="0" w:header="0"/>
        </w:sectPr>
      </w:pPr>
    </w:p>
    <w:p>
      <w:pPr>
        <w:spacing w:after="0" w:line="37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of sale of a particular asset or asset group in any period has been deemed more likely than not, an impairment review is performed, and if the estimated net proceeds exceed the carrying value of the asset or asset group, no impairment charge is required. Such calculations are reviewed each period until the asset or asset group is disposed of. Assets that are not impaired on a held-and-used basis could possibly become impaired if a decision is made to sell such assets. That is, the assets would be impaired if they are classified as held-for-sale and the estimated proceeds from the sale, less costs to sell, are less than the assets’ associated carrying values.</w:t>
      </w:r>
    </w:p>
    <w:p>
      <w:pPr>
        <w:spacing w:after="0" w:line="98" w:lineRule="exact"/>
        <w:rPr>
          <w:sz w:val="20"/>
          <w:szCs w:val="20"/>
          <w:color w:val="auto"/>
        </w:rPr>
      </w:pPr>
    </w:p>
    <w:p>
      <w:pPr>
        <w:ind w:right="60" w:firstLine="160"/>
        <w:spacing w:after="0" w:line="268" w:lineRule="auto"/>
        <w:rPr>
          <w:sz w:val="20"/>
          <w:szCs w:val="20"/>
          <w:color w:val="auto"/>
        </w:rPr>
      </w:pPr>
      <w:r>
        <w:rPr>
          <w:rFonts w:ascii="Arial" w:cs="Arial" w:eastAsia="Arial" w:hAnsi="Arial"/>
          <w:sz w:val="12"/>
          <w:szCs w:val="12"/>
          <w:i w:val="1"/>
          <w:iCs w:val="1"/>
          <w:color w:val="E51837"/>
        </w:rPr>
        <w:t xml:space="preserve">Business Combinations – Purchase-Price Allocation </w:t>
      </w:r>
      <w:r>
        <w:rPr>
          <w:rFonts w:ascii="Arial" w:cs="Arial" w:eastAsia="Arial" w:hAnsi="Arial"/>
          <w:sz w:val="12"/>
          <w:szCs w:val="12"/>
          <w:color w:val="000000"/>
        </w:rPr>
        <w:t>Accounting for business combinations requires</w:t>
      </w:r>
      <w:r>
        <w:rPr>
          <w:rFonts w:ascii="Arial" w:cs="Arial" w:eastAsia="Arial" w:hAnsi="Arial"/>
          <w:sz w:val="12"/>
          <w:szCs w:val="12"/>
          <w:i w:val="1"/>
          <w:iCs w:val="1"/>
          <w:color w:val="E51837"/>
        </w:rPr>
        <w:t xml:space="preserve"> </w:t>
      </w:r>
      <w:r>
        <w:rPr>
          <w:rFonts w:ascii="Arial" w:cs="Arial" w:eastAsia="Arial" w:hAnsi="Arial"/>
          <w:sz w:val="12"/>
          <w:szCs w:val="12"/>
          <w:color w:val="000000"/>
        </w:rPr>
        <w:t>the allocation of the company’s purchase price to the various assets and liabilities of the acquired business at their respective fair values. The company uses all available information to make these fair value determinations, and for major acquisitions, may hire an independent appraisal firm to assist in making fair value estimates. In some instances, assumptions with respect to the timing and amount of future revenues and expenses associated with an asset might have to be used in determining its fair value. Actual timing and amount of net cash flows from revenues and expenses related to that asset over time may differ materially from those initial estimates, and if the timing is delayed significantly or if the net cash flows decline significantly, the asset could become impaired. Effective January 1, 2009, the accounting for business combinations will change. Refer to Note 19 on page FS-48.</w:t>
      </w:r>
    </w:p>
    <w:p>
      <w:pPr>
        <w:spacing w:after="0" w:line="5" w:lineRule="exact"/>
        <w:rPr>
          <w:sz w:val="20"/>
          <w:szCs w:val="20"/>
          <w:color w:val="auto"/>
        </w:rPr>
      </w:pPr>
    </w:p>
    <w:p>
      <w:pPr>
        <w:jc w:val="both"/>
        <w:ind w:right="140" w:firstLine="160"/>
        <w:spacing w:after="0" w:line="246" w:lineRule="auto"/>
        <w:rPr>
          <w:sz w:val="20"/>
          <w:szCs w:val="20"/>
          <w:color w:val="auto"/>
        </w:rPr>
      </w:pPr>
      <w:r>
        <w:rPr>
          <w:rFonts w:ascii="Arial" w:cs="Arial" w:eastAsia="Arial" w:hAnsi="Arial"/>
          <w:sz w:val="13"/>
          <w:szCs w:val="13"/>
          <w:i w:val="1"/>
          <w:iCs w:val="1"/>
          <w:color w:val="E51837"/>
        </w:rPr>
        <w:t xml:space="preserve">Goodwill </w:t>
      </w:r>
      <w:r>
        <w:rPr>
          <w:rFonts w:ascii="Arial" w:cs="Arial" w:eastAsia="Arial" w:hAnsi="Arial"/>
          <w:sz w:val="13"/>
          <w:szCs w:val="13"/>
          <w:color w:val="000000"/>
        </w:rPr>
        <w:t>Goodwill resulting from a business combination is not subject to amortization. As required</w:t>
      </w:r>
      <w:r>
        <w:rPr>
          <w:rFonts w:ascii="Arial" w:cs="Arial" w:eastAsia="Arial" w:hAnsi="Arial"/>
          <w:sz w:val="13"/>
          <w:szCs w:val="13"/>
          <w:i w:val="1"/>
          <w:iCs w:val="1"/>
          <w:color w:val="E51837"/>
        </w:rPr>
        <w:t xml:space="preserve"> </w:t>
      </w:r>
      <w:r>
        <w:rPr>
          <w:rFonts w:ascii="Arial" w:cs="Arial" w:eastAsia="Arial" w:hAnsi="Arial"/>
          <w:sz w:val="13"/>
          <w:szCs w:val="13"/>
          <w:color w:val="000000"/>
        </w:rPr>
        <w:t xml:space="preserve">by FASB Statement No. 142, </w:t>
      </w:r>
      <w:r>
        <w:rPr>
          <w:rFonts w:ascii="Arial" w:cs="Arial" w:eastAsia="Arial" w:hAnsi="Arial"/>
          <w:sz w:val="13"/>
          <w:szCs w:val="13"/>
          <w:i w:val="1"/>
          <w:iCs w:val="1"/>
          <w:color w:val="000000"/>
        </w:rPr>
        <w:t>Goodwill and Other Intangible Assets,</w:t>
      </w:r>
      <w:r>
        <w:rPr>
          <w:rFonts w:ascii="Arial" w:cs="Arial" w:eastAsia="Arial" w:hAnsi="Arial"/>
          <w:sz w:val="13"/>
          <w:szCs w:val="13"/>
          <w:color w:val="000000"/>
        </w:rPr>
        <w:t xml:space="preserve"> the company tests such goodwill at the reporting unit level for impairment on an annual basis and between annual tests if an event occurs or circumstances change that would more likely than not reduce the fair value of a reporting unit below its carrying amount.</w:t>
      </w:r>
    </w:p>
    <w:p>
      <w:pPr>
        <w:spacing w:after="0" w:line="3"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Contingent Losses </w:t>
      </w:r>
      <w:r>
        <w:rPr>
          <w:rFonts w:ascii="Arial" w:cs="Arial" w:eastAsia="Arial" w:hAnsi="Arial"/>
          <w:sz w:val="12"/>
          <w:szCs w:val="12"/>
          <w:color w:val="000000"/>
        </w:rPr>
        <w:t>Management also makes judgments and estimates in recording liabilities for claims,</w:t>
      </w:r>
      <w:r>
        <w:rPr>
          <w:rFonts w:ascii="Arial" w:cs="Arial" w:eastAsia="Arial" w:hAnsi="Arial"/>
          <w:sz w:val="12"/>
          <w:szCs w:val="12"/>
          <w:i w:val="1"/>
          <w:iCs w:val="1"/>
          <w:color w:val="E51837"/>
        </w:rPr>
        <w:t xml:space="preserve"> </w:t>
      </w:r>
      <w:r>
        <w:rPr>
          <w:rFonts w:ascii="Arial" w:cs="Arial" w:eastAsia="Arial" w:hAnsi="Arial"/>
          <w:sz w:val="12"/>
          <w:szCs w:val="12"/>
          <w:color w:val="000000"/>
        </w:rPr>
        <w:t>litigation, tax matters and environmental remediation. Actual costs can frequently vary from estimates for a variety of reasons. For example, the costs from settlement of claims and litigation can vary from estimates based on differing interpretations of laws, opinions on culpability and assessments on the amount of damages.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2" w:lineRule="exact"/>
        <w:rPr>
          <w:sz w:val="20"/>
          <w:szCs w:val="20"/>
          <w:color w:val="auto"/>
        </w:rPr>
      </w:pPr>
    </w:p>
    <w:p>
      <w:pPr>
        <w:ind w:right="100" w:firstLine="160"/>
        <w:spacing w:after="0" w:line="309" w:lineRule="auto"/>
        <w:rPr>
          <w:sz w:val="20"/>
          <w:szCs w:val="20"/>
          <w:color w:val="auto"/>
        </w:rPr>
      </w:pPr>
      <w:r>
        <w:rPr>
          <w:rFonts w:ascii="Arial" w:cs="Arial" w:eastAsia="Arial" w:hAnsi="Arial"/>
          <w:sz w:val="11"/>
          <w:szCs w:val="11"/>
          <w:color w:val="auto"/>
        </w:rPr>
        <w:t>Under the accounting rules, a liability is generally recorded for these types of contingencies if management determines the loss to be both probable and estimable. The company generally records these losses as “Operating expenses” or “Selling, general and administrative expenses” on the Consolidated Statement of Income. An exception to this handling is for income tax matters, for which ben-</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180"/>
        <w:spacing w:after="0" w:line="308" w:lineRule="auto"/>
        <w:rPr>
          <w:sz w:val="20"/>
          <w:szCs w:val="20"/>
          <w:color w:val="auto"/>
        </w:rPr>
      </w:pPr>
      <w:r>
        <w:rPr>
          <w:rFonts w:ascii="Arial" w:cs="Arial" w:eastAsia="Arial" w:hAnsi="Arial"/>
          <w:sz w:val="11"/>
          <w:szCs w:val="11"/>
          <w:color w:val="auto"/>
        </w:rPr>
        <w:t>efits are recognized only if management determines the tax position is “more likely than not” (i.e., likelihood greater than 50 percent) to be allowed by the tax jurisdiction. For additional discussion of income tax uncertainties, refer to Note 16 beginning on page FS-45. Refer also to the business segment discussions elsewhere in this section for the effect on earnings from losses associated with certain litigation, and environmental remediation and tax matters for the three years ended December 31, 2008.</w:t>
      </w:r>
    </w:p>
    <w:p>
      <w:pPr>
        <w:spacing w:after="0" w:line="82" w:lineRule="exact"/>
        <w:rPr>
          <w:sz w:val="20"/>
          <w:szCs w:val="20"/>
          <w:color w:val="auto"/>
        </w:rPr>
      </w:pPr>
    </w:p>
    <w:p>
      <w:pPr>
        <w:ind w:right="80" w:firstLine="153"/>
        <w:spacing w:after="0" w:line="281" w:lineRule="auto"/>
        <w:rPr>
          <w:sz w:val="20"/>
          <w:szCs w:val="20"/>
          <w:color w:val="auto"/>
        </w:rPr>
      </w:pPr>
      <w:r>
        <w:rPr>
          <w:rFonts w:ascii="Arial" w:cs="Arial" w:eastAsia="Arial" w:hAnsi="Arial"/>
          <w:sz w:val="12"/>
          <w:szCs w:val="12"/>
          <w:color w:val="auto"/>
        </w:rPr>
        <w:t>An estimate as to the sensitivity to earnings for these periods if other assumptions had been used in recording these liabilities is not practicable because of the number of contingencies that must be assessed, the number of underlying assumptions and the wide range of reasonably possible outcomes, both in terms of the probability of loss and the estimates of such loss.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Standards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i w:val="1"/>
          <w:iCs w:val="1"/>
          <w:color w:val="E51837"/>
        </w:rPr>
        <w:t>FASB Statement No. 141 (revised 2007), Business</w:t>
      </w:r>
    </w:p>
    <w:p>
      <w:pPr>
        <w:spacing w:after="0" w:line="13" w:lineRule="exact"/>
        <w:rPr>
          <w:sz w:val="20"/>
          <w:szCs w:val="20"/>
          <w:color w:val="auto"/>
        </w:rPr>
      </w:pPr>
    </w:p>
    <w:p>
      <w:pPr>
        <w:ind w:right="20"/>
        <w:spacing w:after="0" w:line="267" w:lineRule="auto"/>
        <w:rPr>
          <w:sz w:val="20"/>
          <w:szCs w:val="20"/>
          <w:color w:val="auto"/>
        </w:rPr>
      </w:pPr>
      <w:r>
        <w:rPr>
          <w:rFonts w:ascii="Arial" w:cs="Arial" w:eastAsia="Arial" w:hAnsi="Arial"/>
          <w:sz w:val="12"/>
          <w:szCs w:val="12"/>
          <w:i w:val="1"/>
          <w:iCs w:val="1"/>
          <w:color w:val="E51837"/>
        </w:rPr>
        <w:t xml:space="preserve">Combinations (FAS 141-R) </w:t>
      </w:r>
      <w:r>
        <w:rPr>
          <w:rFonts w:ascii="Arial" w:cs="Arial" w:eastAsia="Arial" w:hAnsi="Arial"/>
          <w:sz w:val="12"/>
          <w:szCs w:val="12"/>
          <w:color w:val="000000"/>
        </w:rPr>
        <w:t>In December 2007, the FASB issued FAS 141-R, which became effective for</w:t>
      </w:r>
      <w:r>
        <w:rPr>
          <w:rFonts w:ascii="Arial" w:cs="Arial" w:eastAsia="Arial" w:hAnsi="Arial"/>
          <w:sz w:val="12"/>
          <w:szCs w:val="12"/>
          <w:i w:val="1"/>
          <w:iCs w:val="1"/>
          <w:color w:val="E51837"/>
        </w:rPr>
        <w:t xml:space="preserve"> </w:t>
      </w:r>
      <w:r>
        <w:rPr>
          <w:rFonts w:ascii="Arial" w:cs="Arial" w:eastAsia="Arial" w:hAnsi="Arial"/>
          <w:sz w:val="12"/>
          <w:szCs w:val="12"/>
          <w:color w:val="000000"/>
        </w:rPr>
        <w:t>business combination transactions having an acquisition date on or after January 1, 2009. This standard requires the acquiring entity in a business combination to recognize the assets acquired, the liabilities assumed, and any noncontrolling interest in the acquiree at the acquisition date to be measured at their respective fair values. It also requires acquisition-related costs, as well as restructuring costs the acquirer expects to incur for which it is not obligated at acquisition date, to be recorded against income rather than included in purchase-price determination. Finally, the standard requires recognition of contingent arrangements at their acquisition-date fair values, with subsequent changes in fair value generally reflected in income.</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FASB Staff Position FAS 141(R)-a Accounting for Assets Acquired and Liabilities Assumed in a Business Combination (FSP FAS 141(R)-a) </w:t>
      </w:r>
      <w:r>
        <w:rPr>
          <w:rFonts w:ascii="Arial" w:cs="Arial" w:eastAsia="Arial" w:hAnsi="Arial"/>
          <w:sz w:val="12"/>
          <w:szCs w:val="12"/>
          <w:color w:val="000000"/>
        </w:rPr>
        <w:t>In February 2009, the FASB approved for issuance FSP FAS</w:t>
      </w:r>
      <w:r>
        <w:rPr>
          <w:rFonts w:ascii="Arial" w:cs="Arial" w:eastAsia="Arial" w:hAnsi="Arial"/>
          <w:sz w:val="12"/>
          <w:szCs w:val="12"/>
          <w:i w:val="1"/>
          <w:iCs w:val="1"/>
          <w:color w:val="E51837"/>
        </w:rPr>
        <w:t xml:space="preserve"> </w:t>
      </w:r>
      <w:r>
        <w:rPr>
          <w:rFonts w:ascii="Arial" w:cs="Arial" w:eastAsia="Arial" w:hAnsi="Arial"/>
          <w:sz w:val="12"/>
          <w:szCs w:val="12"/>
          <w:color w:val="000000"/>
        </w:rPr>
        <w:t xml:space="preserve">141(R)-a, which became effective for business combinations having an acquisition date on or after January 1, 2009. This standard requires an asset or liability arising from a contingency in a business combination to be recognized at fair value if fair value can be reasonably determined. If it cannot be reasonably determined then the asset or liability will need to be recognized in accordance with FASB Statement No. 5, </w:t>
      </w:r>
      <w:r>
        <w:rPr>
          <w:rFonts w:ascii="Arial" w:cs="Arial" w:eastAsia="Arial" w:hAnsi="Arial"/>
          <w:sz w:val="12"/>
          <w:szCs w:val="12"/>
          <w:i w:val="1"/>
          <w:iCs w:val="1"/>
          <w:color w:val="000000"/>
        </w:rPr>
        <w:t>Accounting for Contingencies</w:t>
      </w:r>
      <w:r>
        <w:rPr>
          <w:rFonts w:ascii="Arial" w:cs="Arial" w:eastAsia="Arial" w:hAnsi="Arial"/>
          <w:sz w:val="12"/>
          <w:szCs w:val="12"/>
          <w:color w:val="000000"/>
        </w:rPr>
        <w:t xml:space="preserve">, and FASB Interpretation No. 14, </w:t>
      </w:r>
      <w:r>
        <w:rPr>
          <w:rFonts w:ascii="Arial" w:cs="Arial" w:eastAsia="Arial" w:hAnsi="Arial"/>
          <w:sz w:val="12"/>
          <w:szCs w:val="12"/>
          <w:i w:val="1"/>
          <w:iCs w:val="1"/>
          <w:color w:val="000000"/>
        </w:rPr>
        <w:t>Reasonable Estimation of</w:t>
      </w:r>
      <w:r>
        <w:rPr>
          <w:rFonts w:ascii="Arial" w:cs="Arial" w:eastAsia="Arial" w:hAnsi="Arial"/>
          <w:sz w:val="12"/>
          <w:szCs w:val="12"/>
          <w:color w:val="000000"/>
        </w:rPr>
        <w:t xml:space="preserve"> </w:t>
      </w:r>
      <w:r>
        <w:rPr>
          <w:rFonts w:ascii="Arial" w:cs="Arial" w:eastAsia="Arial" w:hAnsi="Arial"/>
          <w:sz w:val="12"/>
          <w:szCs w:val="12"/>
          <w:i w:val="1"/>
          <w:iCs w:val="1"/>
          <w:color w:val="000000"/>
        </w:rPr>
        <w:t>the Amount of the Loss.</w:t>
      </w:r>
    </w:p>
    <w:p>
      <w:pPr>
        <w:spacing w:after="0" w:line="2" w:lineRule="exact"/>
        <w:rPr>
          <w:sz w:val="20"/>
          <w:szCs w:val="20"/>
          <w:color w:val="auto"/>
        </w:rPr>
      </w:pPr>
    </w:p>
    <w:p>
      <w:pPr>
        <w:ind w:firstLine="160"/>
        <w:spacing w:after="0" w:line="274" w:lineRule="auto"/>
        <w:rPr>
          <w:sz w:val="20"/>
          <w:szCs w:val="20"/>
          <w:color w:val="auto"/>
        </w:rPr>
      </w:pPr>
      <w:r>
        <w:rPr>
          <w:rFonts w:ascii="Arial" w:cs="Arial" w:eastAsia="Arial" w:hAnsi="Arial"/>
          <w:sz w:val="12"/>
          <w:szCs w:val="12"/>
          <w:i w:val="1"/>
          <w:iCs w:val="1"/>
          <w:color w:val="E51837"/>
        </w:rPr>
        <w:t xml:space="preserve">FASB Statement No. 160, Noncontrolling Interests in Consolidated Financial Statements, an amendment of ARB No. 51 (FAS 160) </w:t>
      </w:r>
      <w:r>
        <w:rPr>
          <w:rFonts w:ascii="Arial" w:cs="Arial" w:eastAsia="Arial" w:hAnsi="Arial"/>
          <w:sz w:val="12"/>
          <w:szCs w:val="12"/>
          <w:color w:val="000000"/>
        </w:rPr>
        <w:t>The FASB issued FAS 160 in December 2007, which became effective for the</w:t>
      </w:r>
      <w:r>
        <w:rPr>
          <w:rFonts w:ascii="Arial" w:cs="Arial" w:eastAsia="Arial" w:hAnsi="Arial"/>
          <w:sz w:val="12"/>
          <w:szCs w:val="12"/>
          <w:i w:val="1"/>
          <w:iCs w:val="1"/>
          <w:color w:val="E51837"/>
        </w:rPr>
        <w:t xml:space="preserve"> </w:t>
      </w:r>
      <w:r>
        <w:rPr>
          <w:rFonts w:ascii="Arial" w:cs="Arial" w:eastAsia="Arial" w:hAnsi="Arial"/>
          <w:sz w:val="12"/>
          <w:szCs w:val="12"/>
          <w:color w:val="000000"/>
        </w:rPr>
        <w:t>company January 1, 2009, with retroactive adoption of the Standard’s presentation and disclosure requirements for existing minority interests. This standard requires ownership interests in subsidiaries held by parties other than the parent to be presented within the</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62" w:name="page63"/>
    <w:bookmarkEnd w:id="62"/>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85990" cy="4578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5990" cy="457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3"/>
        <w:spacing w:after="0"/>
        <w:rPr>
          <w:sz w:val="20"/>
          <w:szCs w:val="20"/>
          <w:color w:val="auto"/>
        </w:rPr>
      </w:pPr>
      <w:r>
        <w:rPr>
          <w:rFonts w:ascii="Arial" w:cs="Arial" w:eastAsia="Arial" w:hAnsi="Arial"/>
          <w:sz w:val="10"/>
          <w:szCs w:val="10"/>
          <w:color w:val="0077C0"/>
        </w:rPr>
        <w:t>Management’s Discussion and Analysis of</w:t>
      </w:r>
    </w:p>
    <w:p>
      <w:pPr>
        <w:ind w:left="143"/>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23"/>
          </w:cols>
          <w:pgMar w:left="217" w:top="33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
        <w:spacing w:after="0" w:line="274" w:lineRule="auto"/>
        <w:rPr>
          <w:sz w:val="20"/>
          <w:szCs w:val="20"/>
          <w:color w:val="auto"/>
        </w:rPr>
      </w:pPr>
      <w:r>
        <w:rPr>
          <w:rFonts w:ascii="Arial" w:cs="Arial" w:eastAsia="Arial" w:hAnsi="Arial"/>
          <w:sz w:val="12"/>
          <w:szCs w:val="12"/>
          <w:color w:val="auto"/>
        </w:rPr>
        <w:t>equity section of the Consolidated Balance Sheet but separate from the parent’s equity. It also requires the amount of consolidated net income attributable to the parent and the noncontrolling interest to be clearly identified and presented on the face of the Consolidated Statement of Income. Certain changes in a parent’s ownership interest are to be accounted for as equity transactions and when a subsidiary is deconsolidated, any noncontrolling equity investment in the former subsidiary is to be initially measured at fair value. Implementation of FAS 160 will not significantly change the presentation of the company’s Consolidated Statement of Income or Consolidated Balance Sheet.</w:t>
      </w:r>
    </w:p>
    <w:p>
      <w:pPr>
        <w:spacing w:after="0" w:line="98" w:lineRule="exact"/>
        <w:rPr>
          <w:sz w:val="20"/>
          <w:szCs w:val="20"/>
          <w:color w:val="auto"/>
        </w:rPr>
      </w:pPr>
    </w:p>
    <w:p>
      <w:pPr>
        <w:ind w:left="163"/>
        <w:spacing w:after="0"/>
        <w:rPr>
          <w:sz w:val="20"/>
          <w:szCs w:val="20"/>
          <w:color w:val="auto"/>
        </w:rPr>
      </w:pPr>
      <w:r>
        <w:rPr>
          <w:rFonts w:ascii="Arial" w:cs="Arial" w:eastAsia="Arial" w:hAnsi="Arial"/>
          <w:sz w:val="12"/>
          <w:szCs w:val="12"/>
          <w:i w:val="1"/>
          <w:iCs w:val="1"/>
          <w:color w:val="E51837"/>
        </w:rPr>
        <w:t>FASB Statement No. 161, Disclosures about Derivative Instruments and Hedging Activities (FAS</w:t>
      </w:r>
    </w:p>
    <w:p>
      <w:pPr>
        <w:spacing w:after="0" w:line="24" w:lineRule="exact"/>
        <w:rPr>
          <w:sz w:val="20"/>
          <w:szCs w:val="20"/>
          <w:color w:val="auto"/>
        </w:rPr>
      </w:pPr>
    </w:p>
    <w:p>
      <w:pPr>
        <w:ind w:left="303" w:hanging="303"/>
        <w:spacing w:after="0"/>
        <w:tabs>
          <w:tab w:leader="none" w:pos="303" w:val="left"/>
        </w:tabs>
        <w:numPr>
          <w:ilvl w:val="0"/>
          <w:numId w:val="42"/>
        </w:numPr>
        <w:rPr>
          <w:rFonts w:ascii="Arial" w:cs="Arial" w:eastAsia="Arial" w:hAnsi="Arial"/>
          <w:sz w:val="12"/>
          <w:szCs w:val="12"/>
          <w:i w:val="1"/>
          <w:iCs w:val="1"/>
          <w:color w:val="E51837"/>
        </w:rPr>
      </w:pPr>
      <w:r>
        <w:rPr>
          <w:rFonts w:ascii="Arial" w:cs="Arial" w:eastAsia="Arial" w:hAnsi="Arial"/>
          <w:sz w:val="12"/>
          <w:szCs w:val="12"/>
          <w:color w:val="auto"/>
        </w:rPr>
        <w:t>In March 2008, the FASB issued FAS 161, which became effective for the company on January 1,</w:t>
      </w:r>
    </w:p>
    <w:p>
      <w:pPr>
        <w:spacing w:after="0" w:line="15" w:lineRule="exact"/>
        <w:rPr>
          <w:rFonts w:ascii="Arial" w:cs="Arial" w:eastAsia="Arial" w:hAnsi="Arial"/>
          <w:sz w:val="12"/>
          <w:szCs w:val="12"/>
          <w:i w:val="1"/>
          <w:iCs w:val="1"/>
          <w:color w:val="E51837"/>
        </w:rPr>
      </w:pPr>
    </w:p>
    <w:p>
      <w:pPr>
        <w:ind w:left="3"/>
        <w:spacing w:after="0" w:line="248" w:lineRule="auto"/>
        <w:rPr>
          <w:rFonts w:ascii="Arial" w:cs="Arial" w:eastAsia="Arial" w:hAnsi="Arial"/>
          <w:sz w:val="12"/>
          <w:szCs w:val="12"/>
          <w:i w:val="1"/>
          <w:iCs w:val="1"/>
          <w:color w:val="E51837"/>
        </w:rPr>
      </w:pPr>
      <w:r>
        <w:rPr>
          <w:rFonts w:ascii="Arial" w:cs="Arial" w:eastAsia="Arial" w:hAnsi="Arial"/>
          <w:sz w:val="13"/>
          <w:szCs w:val="13"/>
          <w:color w:val="auto"/>
        </w:rPr>
        <w:t xml:space="preserve">2009. This standard amends and expands the disclosure requirements of FASB Statement No. 133, </w:t>
      </w:r>
      <w:r>
        <w:rPr>
          <w:rFonts w:ascii="Arial" w:cs="Arial" w:eastAsia="Arial" w:hAnsi="Arial"/>
          <w:sz w:val="13"/>
          <w:szCs w:val="13"/>
          <w:i w:val="1"/>
          <w:iCs w:val="1"/>
          <w:color w:val="auto"/>
        </w:rPr>
        <w:t xml:space="preserve">Accounting for Derivative Instruments and Hedging Activities. </w:t>
      </w:r>
      <w:r>
        <w:rPr>
          <w:rFonts w:ascii="Arial" w:cs="Arial" w:eastAsia="Arial" w:hAnsi="Arial"/>
          <w:sz w:val="13"/>
          <w:szCs w:val="13"/>
          <w:color w:val="auto"/>
        </w:rPr>
        <w:t>FAS 161 requires disclosures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objectives and strategies for using derivatives; the fair-value amounts of, and gains and losses on, derivative instruments; and credit-risk-related contingent features in derivative agreements. The company’s disclosures for derivative instruments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be expanded to include a tabular representation of the location and fair value amounts of derivative instruments on the balance sheet, fair value gains and losses on the income statement and gains and losses associated with cash flow hedges recognized in earnings and other comprehensive income.</w:t>
      </w:r>
    </w:p>
    <w:p>
      <w:pPr>
        <w:spacing w:after="0" w:line="89" w:lineRule="exact"/>
        <w:rPr>
          <w:sz w:val="20"/>
          <w:szCs w:val="20"/>
          <w:color w:val="auto"/>
        </w:rPr>
      </w:pPr>
    </w:p>
    <w:p>
      <w:pPr>
        <w:ind w:firstLine="160"/>
        <w:spacing w:after="0" w:line="271" w:lineRule="auto"/>
        <w:rPr>
          <w:sz w:val="20"/>
          <w:szCs w:val="20"/>
          <w:color w:val="auto"/>
        </w:rPr>
      </w:pPr>
      <w:r>
        <w:rPr>
          <w:rFonts w:ascii="Arial" w:cs="Arial" w:eastAsia="Arial" w:hAnsi="Arial"/>
          <w:sz w:val="12"/>
          <w:szCs w:val="12"/>
          <w:i w:val="1"/>
          <w:iCs w:val="1"/>
          <w:color w:val="E51837"/>
        </w:rPr>
        <w:t xml:space="preserve">FASB Staff Position FAS 132(R)-1, Employer’s Disclosures about Postretirement Benefit Plan Assets (FSP FAS 132(R)-1) </w:t>
      </w:r>
      <w:r>
        <w:rPr>
          <w:rFonts w:ascii="Arial" w:cs="Arial" w:eastAsia="Arial" w:hAnsi="Arial"/>
          <w:sz w:val="12"/>
          <w:szCs w:val="12"/>
          <w:color w:val="000000"/>
        </w:rPr>
        <w:t>In December 2008, the FASB issued FSP FAS 132(R)-1, which becomes effective</w:t>
      </w:r>
      <w:r>
        <w:rPr>
          <w:rFonts w:ascii="Arial" w:cs="Arial" w:eastAsia="Arial" w:hAnsi="Arial"/>
          <w:sz w:val="12"/>
          <w:szCs w:val="12"/>
          <w:i w:val="1"/>
          <w:iCs w:val="1"/>
          <w:color w:val="E51837"/>
        </w:rPr>
        <w:t xml:space="preserve"> </w:t>
      </w:r>
      <w:r>
        <w:rPr>
          <w:rFonts w:ascii="Arial" w:cs="Arial" w:eastAsia="Arial" w:hAnsi="Arial"/>
          <w:sz w:val="12"/>
          <w:szCs w:val="12"/>
          <w:color w:val="000000"/>
        </w:rPr>
        <w:t>with the company’s reporting at December 31, 2009. This standard amends and expands the disclosure requirements on the plan assets of defined benefit pension and other postretirement plans to provide users of financial statements with an understanding of: how investment allocation decisions are made; the major categories of plan assets; the inputs and valuation techniques used to measure the fair value of plan assets; the effect of fair-value measurements using significant unobservable inputs on changes in plan assets for the period; and significant concentrations of risk within plan assets. The company does not prefund its other postretirement plan obligations, and the effect on the company’s disclosures for its pension plan assets as a result of the adoption of FSP FAS 132(R)-1 will depend on the company’s plan assets at that time.</w:t>
      </w:r>
    </w:p>
    <w:p>
      <w:pPr>
        <w:spacing w:after="0" w:line="200" w:lineRule="exact"/>
        <w:rPr>
          <w:sz w:val="20"/>
          <w:szCs w:val="20"/>
          <w:color w:val="auto"/>
        </w:rPr>
      </w:pPr>
    </w:p>
    <w:p>
      <w:pPr>
        <w:sectPr>
          <w:pgSz w:w="11900" w:h="16838" w:orient="portrait"/>
          <w:cols w:equalWidth="0" w:num="2">
            <w:col w:w="5503" w:space="460"/>
            <w:col w:w="5460"/>
          </w:cols>
          <w:pgMar w:left="217" w:top="339" w:right="259" w:bottom="1440" w:gutter="0" w:footer="0" w:header="0"/>
          <w:type w:val="continuous"/>
        </w:sectPr>
      </w:pPr>
    </w:p>
    <w:p>
      <w:pPr>
        <w:spacing w:after="0" w:line="68" w:lineRule="exact"/>
        <w:rPr>
          <w:sz w:val="20"/>
          <w:szCs w:val="20"/>
          <w:color w:val="auto"/>
        </w:rPr>
      </w:pPr>
    </w:p>
    <w:p>
      <w:pPr>
        <w:jc w:val="center"/>
        <w:ind w:right="-62"/>
        <w:spacing w:after="0"/>
        <w:rPr>
          <w:sz w:val="20"/>
          <w:szCs w:val="20"/>
          <w:color w:val="auto"/>
        </w:rPr>
      </w:pPr>
      <w:r>
        <w:rPr>
          <w:rFonts w:ascii="Arial" w:cs="Arial" w:eastAsia="Arial" w:hAnsi="Arial"/>
          <w:sz w:val="10"/>
          <w:szCs w:val="10"/>
          <w:color w:val="auto"/>
        </w:rPr>
        <w:t>FS-22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3"/>
          </w:cols>
          <w:pgMar w:left="217" w:top="339" w:right="259" w:bottom="1440" w:gutter="0" w:footer="0" w:header="0"/>
          <w:type w:val="continuous"/>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40"/>
        <w:spacing w:after="0"/>
        <w:rPr>
          <w:sz w:val="20"/>
          <w:szCs w:val="20"/>
          <w:color w:val="auto"/>
        </w:rPr>
      </w:pPr>
      <w:r>
        <w:rPr>
          <w:rFonts w:ascii="Arial" w:cs="Arial" w:eastAsia="Arial" w:hAnsi="Arial"/>
          <w:sz w:val="10"/>
          <w:szCs w:val="10"/>
          <w:b w:val="1"/>
          <w:bCs w:val="1"/>
          <w:color w:val="auto"/>
        </w:rPr>
        <w:t>THIS PAGE INTENTIONALLY LEFT BLANK</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FS-23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239"/>
          </w:cols>
          <w:pgMar w:left="220" w:top="339" w:right="1440"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Quarterly Results and Stock Market Data</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0"/>
          <w:szCs w:val="10"/>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329805" cy="2776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805" cy="2776855"/>
                    </a:xfrm>
                    <a:prstGeom prst="rect">
                      <a:avLst/>
                    </a:prstGeom>
                    <a:noFill/>
                  </pic:spPr>
                </pic:pic>
              </a:graphicData>
            </a:graphic>
          </wp:anchor>
        </w:drawing>
      </w:r>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2280" w:type="dxa"/>
            <w:vAlign w:val="bottom"/>
            <w:vMerge w:val="restart"/>
          </w:tcPr>
          <w:p>
            <w:pPr>
              <w:spacing w:after="0"/>
              <w:rPr>
                <w:sz w:val="20"/>
                <w:szCs w:val="20"/>
                <w:color w:val="auto"/>
              </w:rPr>
            </w:pPr>
            <w:r>
              <w:rPr>
                <w:rFonts w:ascii="Arial" w:cs="Arial" w:eastAsia="Arial" w:hAnsi="Arial"/>
                <w:sz w:val="10"/>
                <w:szCs w:val="10"/>
                <w:i w:val="1"/>
                <w:iCs w:val="1"/>
                <w:color w:val="auto"/>
              </w:rPr>
              <w:t>Millions of dollars, except per-share amounts</w:t>
            </w:r>
          </w:p>
        </w:tc>
        <w:tc>
          <w:tcPr>
            <w:tcW w:w="48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2008</w:t>
            </w:r>
          </w:p>
        </w:tc>
        <w:tc>
          <w:tcPr>
            <w:tcW w:w="3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2007</w:t>
            </w:r>
          </w:p>
        </w:tc>
        <w:tc>
          <w:tcPr>
            <w:tcW w:w="0" w:type="dxa"/>
            <w:vAlign w:val="bottom"/>
          </w:tcPr>
          <w:p>
            <w:pPr>
              <w:spacing w:after="0"/>
              <w:rPr>
                <w:sz w:val="1"/>
                <w:szCs w:val="1"/>
                <w:color w:val="auto"/>
              </w:rPr>
            </w:pPr>
          </w:p>
        </w:tc>
      </w:tr>
      <w:tr>
        <w:trPr>
          <w:trHeight w:val="95"/>
        </w:trPr>
        <w:tc>
          <w:tcPr>
            <w:tcW w:w="2280" w:type="dxa"/>
            <w:vAlign w:val="bottom"/>
            <w:tcBorders>
              <w:bottom w:val="single" w:sz="8" w:color="0077C0"/>
            </w:tcBorders>
            <w:vMerge w:val="continue"/>
          </w:tcPr>
          <w:p>
            <w:pPr>
              <w:spacing w:after="0"/>
              <w:rPr>
                <w:sz w:val="8"/>
                <w:szCs w:val="8"/>
                <w:color w:val="auto"/>
              </w:rPr>
            </w:pPr>
          </w:p>
        </w:tc>
        <w:tc>
          <w:tcPr>
            <w:tcW w:w="480" w:type="dxa"/>
            <w:vAlign w:val="bottom"/>
            <w:tcBorders>
              <w:bottom w:val="single" w:sz="8" w:color="0077C0"/>
            </w:tcBorders>
          </w:tcPr>
          <w:p>
            <w:pPr>
              <w:spacing w:after="0"/>
              <w:rPr>
                <w:sz w:val="8"/>
                <w:szCs w:val="8"/>
                <w:color w:val="auto"/>
              </w:rPr>
            </w:pPr>
          </w:p>
        </w:tc>
        <w:tc>
          <w:tcPr>
            <w:tcW w:w="22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b w:val="1"/>
                <w:bCs w:val="1"/>
                <w:color w:val="auto"/>
              </w:rPr>
              <w:t>4th Q</w:t>
            </w:r>
          </w:p>
        </w:tc>
        <w:tc>
          <w:tcPr>
            <w:tcW w:w="460" w:type="dxa"/>
            <w:vAlign w:val="bottom"/>
            <w:tcBorders>
              <w:bottom w:val="single" w:sz="8" w:color="0077C0"/>
            </w:tcBorders>
          </w:tcPr>
          <w:p>
            <w:pPr>
              <w:spacing w:after="0"/>
              <w:rPr>
                <w:sz w:val="8"/>
                <w:szCs w:val="8"/>
                <w:color w:val="auto"/>
              </w:rPr>
            </w:pPr>
          </w:p>
        </w:tc>
        <w:tc>
          <w:tcPr>
            <w:tcW w:w="68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3rd Q</w:t>
            </w:r>
          </w:p>
        </w:tc>
        <w:tc>
          <w:tcPr>
            <w:tcW w:w="46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b w:val="1"/>
                <w:bCs w:val="1"/>
                <w:color w:val="auto"/>
              </w:rPr>
              <w:t>2nd Q</w:t>
            </w:r>
          </w:p>
        </w:tc>
        <w:tc>
          <w:tcPr>
            <w:tcW w:w="46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b w:val="1"/>
                <w:bCs w:val="1"/>
                <w:color w:val="auto"/>
              </w:rPr>
              <w:t>1st Q</w:t>
            </w:r>
          </w:p>
        </w:tc>
        <w:tc>
          <w:tcPr>
            <w:tcW w:w="34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4th Q</w:t>
            </w:r>
          </w:p>
        </w:tc>
        <w:tc>
          <w:tcPr>
            <w:tcW w:w="460" w:type="dxa"/>
            <w:vAlign w:val="bottom"/>
            <w:tcBorders>
              <w:bottom w:val="single" w:sz="8" w:color="0077C0"/>
            </w:tcBorders>
          </w:tcPr>
          <w:p>
            <w:pPr>
              <w:spacing w:after="0"/>
              <w:rPr>
                <w:sz w:val="8"/>
                <w:szCs w:val="8"/>
                <w:color w:val="auto"/>
              </w:rPr>
            </w:pPr>
          </w:p>
        </w:tc>
        <w:tc>
          <w:tcPr>
            <w:tcW w:w="68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3rd Q</w:t>
            </w:r>
          </w:p>
        </w:tc>
        <w:tc>
          <w:tcPr>
            <w:tcW w:w="460" w:type="dxa"/>
            <w:vAlign w:val="bottom"/>
            <w:tcBorders>
              <w:bottom w:val="single" w:sz="8" w:color="0077C0"/>
            </w:tcBorders>
          </w:tcPr>
          <w:p>
            <w:pPr>
              <w:spacing w:after="0"/>
              <w:rPr>
                <w:sz w:val="8"/>
                <w:szCs w:val="8"/>
                <w:color w:val="auto"/>
              </w:rPr>
            </w:pPr>
          </w:p>
        </w:tc>
        <w:tc>
          <w:tcPr>
            <w:tcW w:w="68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2nd Q</w:t>
            </w:r>
          </w:p>
        </w:tc>
        <w:tc>
          <w:tcPr>
            <w:tcW w:w="46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1st Q</w:t>
            </w:r>
          </w:p>
        </w:tc>
        <w:tc>
          <w:tcPr>
            <w:tcW w:w="0" w:type="dxa"/>
            <w:vAlign w:val="bottom"/>
          </w:tcPr>
          <w:p>
            <w:pPr>
              <w:spacing w:after="0"/>
              <w:rPr>
                <w:sz w:val="1"/>
                <w:szCs w:val="1"/>
                <w:color w:val="auto"/>
              </w:rPr>
            </w:pPr>
          </w:p>
        </w:tc>
      </w:tr>
      <w:tr>
        <w:trPr>
          <w:trHeight w:val="92"/>
        </w:trPr>
        <w:tc>
          <w:tcPr>
            <w:tcW w:w="2280" w:type="dxa"/>
            <w:vAlign w:val="bottom"/>
          </w:tcPr>
          <w:p>
            <w:pPr>
              <w:spacing w:after="0" w:line="92" w:lineRule="exact"/>
              <w:rPr>
                <w:sz w:val="20"/>
                <w:szCs w:val="20"/>
                <w:color w:val="auto"/>
              </w:rPr>
            </w:pPr>
            <w:r>
              <w:rPr>
                <w:rFonts w:ascii="Arial" w:cs="Arial" w:eastAsia="Arial" w:hAnsi="Arial"/>
                <w:sz w:val="10"/>
                <w:szCs w:val="10"/>
                <w:b w:val="1"/>
                <w:bCs w:val="1"/>
                <w:color w:val="0077C0"/>
              </w:rPr>
              <w:t>Revenues and Other Income</w:t>
            </w:r>
          </w:p>
        </w:tc>
        <w:tc>
          <w:tcPr>
            <w:tcW w:w="70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43,145</w:t>
            </w:r>
          </w:p>
        </w:tc>
        <w:tc>
          <w:tcPr>
            <w:tcW w:w="46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76,192</w:t>
            </w:r>
          </w:p>
        </w:tc>
        <w:tc>
          <w:tcPr>
            <w:tcW w:w="4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80,962</w:t>
            </w:r>
          </w:p>
        </w:tc>
        <w:tc>
          <w:tcPr>
            <w:tcW w:w="4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64,659</w:t>
            </w: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80" w:type="dxa"/>
            <w:vAlign w:val="bottom"/>
          </w:tcPr>
          <w:p>
            <w:pPr>
              <w:spacing w:after="0" w:line="104" w:lineRule="exact"/>
              <w:rPr>
                <w:sz w:val="20"/>
                <w:szCs w:val="20"/>
                <w:color w:val="auto"/>
              </w:rPr>
            </w:pPr>
            <w:r>
              <w:rPr>
                <w:rFonts w:ascii="Arial" w:cs="Arial" w:eastAsia="Arial" w:hAnsi="Arial"/>
                <w:sz w:val="10"/>
                <w:szCs w:val="10"/>
                <w:color w:val="auto"/>
              </w:rPr>
              <w:t>Sales and other operating revenues</w:t>
            </w:r>
            <w:r>
              <w:rPr>
                <w:rFonts w:ascii="Arial" w:cs="Arial" w:eastAsia="Arial" w:hAnsi="Arial"/>
                <w:sz w:val="8"/>
                <w:szCs w:val="8"/>
                <w:color w:val="auto"/>
              </w:rPr>
              <w:t>1</w:t>
            </w:r>
          </w:p>
        </w:tc>
        <w:tc>
          <w:tcPr>
            <w:tcW w:w="7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340" w:type="dxa"/>
            <w:vAlign w:val="bottom"/>
          </w:tcPr>
          <w:p>
            <w:pPr>
              <w:ind w:left="100"/>
              <w:spacing w:after="0" w:line="104"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59,900</w:t>
            </w:r>
          </w:p>
        </w:tc>
        <w:tc>
          <w:tcPr>
            <w:tcW w:w="460" w:type="dxa"/>
            <w:vAlign w:val="bottom"/>
          </w:tcPr>
          <w:p>
            <w:pPr>
              <w:ind w:left="220"/>
              <w:spacing w:after="0" w:line="104"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53,545</w:t>
            </w:r>
          </w:p>
        </w:tc>
        <w:tc>
          <w:tcPr>
            <w:tcW w:w="460" w:type="dxa"/>
            <w:vAlign w:val="bottom"/>
          </w:tcPr>
          <w:p>
            <w:pPr>
              <w:ind w:left="240"/>
              <w:spacing w:after="0" w:line="104"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54,344</w:t>
            </w:r>
          </w:p>
        </w:tc>
        <w:tc>
          <w:tcPr>
            <w:tcW w:w="460" w:type="dxa"/>
            <w:vAlign w:val="bottom"/>
          </w:tcPr>
          <w:p>
            <w:pPr>
              <w:ind w:left="220"/>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46,302</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Income from equity affiliates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886</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1,673</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1,563</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1,244</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1,153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1,160</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894</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937</w:t>
            </w:r>
          </w:p>
        </w:tc>
        <w:tc>
          <w:tcPr>
            <w:tcW w:w="0" w:type="dxa"/>
            <w:vAlign w:val="bottom"/>
          </w:tcPr>
          <w:p>
            <w:pPr>
              <w:spacing w:after="0"/>
              <w:rPr>
                <w:sz w:val="1"/>
                <w:szCs w:val="1"/>
                <w:color w:val="auto"/>
              </w:rPr>
            </w:pPr>
          </w:p>
        </w:tc>
      </w:tr>
      <w:tr>
        <w:trPr>
          <w:trHeight w:val="120"/>
        </w:trPr>
        <w:tc>
          <w:tcPr>
            <w:tcW w:w="22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income</w:t>
            </w:r>
          </w:p>
        </w:tc>
        <w:tc>
          <w:tcPr>
            <w:tcW w:w="4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1,172</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1,002</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464</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43</w:t>
            </w:r>
          </w:p>
        </w:tc>
        <w:tc>
          <w:tcPr>
            <w:tcW w:w="3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357</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468</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856</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988</w:t>
            </w:r>
          </w:p>
        </w:tc>
        <w:tc>
          <w:tcPr>
            <w:tcW w:w="0" w:type="dxa"/>
            <w:vAlign w:val="bottom"/>
          </w:tcPr>
          <w:p>
            <w:pPr>
              <w:spacing w:after="0"/>
              <w:rPr>
                <w:sz w:val="1"/>
                <w:szCs w:val="1"/>
                <w:color w:val="auto"/>
              </w:rPr>
            </w:pPr>
          </w:p>
        </w:tc>
      </w:tr>
      <w:tr>
        <w:trPr>
          <w:trHeight w:val="105"/>
        </w:trPr>
        <w:tc>
          <w:tcPr>
            <w:tcW w:w="22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Revenues and Other Income</w:t>
            </w:r>
          </w:p>
        </w:tc>
        <w:tc>
          <w:tcPr>
            <w:tcW w:w="4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45,203</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78,867</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82,989</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right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65,946</w:t>
            </w:r>
          </w:p>
        </w:tc>
        <w:tc>
          <w:tcPr>
            <w:tcW w:w="34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61,410</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55,173</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56,094</w:t>
            </w:r>
          </w:p>
        </w:tc>
        <w:tc>
          <w:tcPr>
            <w:tcW w:w="4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48,227</w:t>
            </w:r>
          </w:p>
        </w:tc>
        <w:tc>
          <w:tcPr>
            <w:tcW w:w="0" w:type="dxa"/>
            <w:vAlign w:val="bottom"/>
          </w:tcPr>
          <w:p>
            <w:pPr>
              <w:spacing w:after="0"/>
              <w:rPr>
                <w:sz w:val="1"/>
                <w:szCs w:val="1"/>
                <w:color w:val="auto"/>
              </w:rPr>
            </w:pPr>
          </w:p>
        </w:tc>
      </w:tr>
      <w:tr>
        <w:trPr>
          <w:trHeight w:val="92"/>
        </w:trPr>
        <w:tc>
          <w:tcPr>
            <w:tcW w:w="2280" w:type="dxa"/>
            <w:vAlign w:val="bottom"/>
          </w:tcPr>
          <w:p>
            <w:pPr>
              <w:spacing w:after="0" w:line="92" w:lineRule="exact"/>
              <w:rPr>
                <w:sz w:val="20"/>
                <w:szCs w:val="20"/>
                <w:color w:val="auto"/>
              </w:rPr>
            </w:pPr>
            <w:r>
              <w:rPr>
                <w:rFonts w:ascii="Arial" w:cs="Arial" w:eastAsia="Arial" w:hAnsi="Arial"/>
                <w:sz w:val="10"/>
                <w:szCs w:val="10"/>
                <w:b w:val="1"/>
                <w:bCs w:val="1"/>
                <w:color w:val="0077C0"/>
              </w:rPr>
              <w:t>Costs and Other Deductions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23,575</w:t>
            </w:r>
          </w:p>
        </w:tc>
        <w:tc>
          <w:tcPr>
            <w:tcW w:w="460" w:type="dxa"/>
            <w:vAlign w:val="bottom"/>
          </w:tcPr>
          <w:p>
            <w:pPr>
              <w:spacing w:after="0"/>
              <w:rPr>
                <w:sz w:val="8"/>
                <w:szCs w:val="8"/>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49,238</w:t>
            </w:r>
          </w:p>
        </w:tc>
        <w:tc>
          <w:tcPr>
            <w:tcW w:w="460" w:type="dxa"/>
            <w:vAlign w:val="bottom"/>
          </w:tcPr>
          <w:p>
            <w:pPr>
              <w:spacing w:after="0"/>
              <w:rPr>
                <w:sz w:val="8"/>
                <w:szCs w:val="8"/>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56,056</w:t>
            </w:r>
          </w:p>
        </w:tc>
        <w:tc>
          <w:tcPr>
            <w:tcW w:w="460" w:type="dxa"/>
            <w:vAlign w:val="bottom"/>
          </w:tcPr>
          <w:p>
            <w:pPr>
              <w:spacing w:after="0"/>
              <w:rPr>
                <w:sz w:val="8"/>
                <w:szCs w:val="8"/>
                <w:color w:val="auto"/>
              </w:rPr>
            </w:pPr>
          </w:p>
        </w:tc>
        <w:tc>
          <w:tcPr>
            <w:tcW w:w="700" w:type="dxa"/>
            <w:vAlign w:val="bottom"/>
            <w:tcBorders>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42,528</w:t>
            </w: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80" w:type="dxa"/>
            <w:vAlign w:val="bottom"/>
          </w:tcPr>
          <w:p>
            <w:pPr>
              <w:spacing w:after="0" w:line="104" w:lineRule="exact"/>
              <w:rPr>
                <w:sz w:val="20"/>
                <w:szCs w:val="20"/>
                <w:color w:val="auto"/>
              </w:rPr>
            </w:pPr>
            <w:r>
              <w:rPr>
                <w:rFonts w:ascii="Arial" w:cs="Arial" w:eastAsia="Arial" w:hAnsi="Arial"/>
                <w:sz w:val="10"/>
                <w:szCs w:val="10"/>
                <w:color w:val="auto"/>
              </w:rPr>
              <w:t>Purchased crude oil and products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38,056</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33,988</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33,138</w:t>
            </w:r>
          </w:p>
        </w:tc>
        <w:tc>
          <w:tcPr>
            <w:tcW w:w="46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28,127</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Operating expenses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5,416</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5,676</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5,248</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4,455</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4,798</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4,397</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4,124</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3,613</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Selling, general and administrative expenses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1,492</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1,278</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1,639</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1,347</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1,833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1,446</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1,516</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1,131</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Exploration expenses</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338</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271</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307</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253</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449</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295</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273</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306</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Depreciation, depletion and amortization</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2,589</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2,449</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2,275</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2,215</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2,094</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2,495</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2,156</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1,963</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Taxes other than on income</w:t>
            </w:r>
            <w:r>
              <w:rPr>
                <w:rFonts w:ascii="Arial" w:cs="Arial" w:eastAsia="Arial" w:hAnsi="Arial"/>
                <w:sz w:val="8"/>
                <w:szCs w:val="8"/>
                <w:color w:val="auto"/>
              </w:rPr>
              <w:t>1</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4,547</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5,614</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5,699</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5,443</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5,560</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5,538</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5,743</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5,425</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0"/>
                <w:szCs w:val="10"/>
                <w:color w:val="auto"/>
              </w:rPr>
              <w:t>Interest and debt expense</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63</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20"/>
        </w:trPr>
        <w:tc>
          <w:tcPr>
            <w:tcW w:w="22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Minority interests</w:t>
            </w:r>
          </w:p>
        </w:tc>
        <w:tc>
          <w:tcPr>
            <w:tcW w:w="4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6</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32</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34</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28</w:t>
            </w:r>
          </w:p>
        </w:tc>
        <w:tc>
          <w:tcPr>
            <w:tcW w:w="3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35</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25</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19</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05"/>
        </w:trPr>
        <w:tc>
          <w:tcPr>
            <w:tcW w:w="22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Costs and Other Deductions</w:t>
            </w:r>
          </w:p>
        </w:tc>
        <w:tc>
          <w:tcPr>
            <w:tcW w:w="4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37,963</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64,558</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71,258</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right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56,269</w:t>
            </w:r>
          </w:p>
        </w:tc>
        <w:tc>
          <w:tcPr>
            <w:tcW w:w="34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52,832</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48,206</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47,032</w:t>
            </w:r>
          </w:p>
        </w:tc>
        <w:tc>
          <w:tcPr>
            <w:tcW w:w="4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40,667</w:t>
            </w:r>
          </w:p>
        </w:tc>
        <w:tc>
          <w:tcPr>
            <w:tcW w:w="0" w:type="dxa"/>
            <w:vAlign w:val="bottom"/>
          </w:tcPr>
          <w:p>
            <w:pPr>
              <w:spacing w:after="0"/>
              <w:rPr>
                <w:sz w:val="1"/>
                <w:szCs w:val="1"/>
                <w:color w:val="auto"/>
              </w:rPr>
            </w:pPr>
          </w:p>
        </w:tc>
      </w:tr>
      <w:tr>
        <w:trPr>
          <w:trHeight w:val="90"/>
        </w:trPr>
        <w:tc>
          <w:tcPr>
            <w:tcW w:w="2280" w:type="dxa"/>
            <w:vAlign w:val="bottom"/>
          </w:tcPr>
          <w:p>
            <w:pPr>
              <w:spacing w:after="0" w:line="91" w:lineRule="exact"/>
              <w:rPr>
                <w:sz w:val="20"/>
                <w:szCs w:val="20"/>
                <w:color w:val="auto"/>
              </w:rPr>
            </w:pPr>
            <w:r>
              <w:rPr>
                <w:rFonts w:ascii="Arial" w:cs="Arial" w:eastAsia="Arial" w:hAnsi="Arial"/>
                <w:sz w:val="10"/>
                <w:szCs w:val="10"/>
                <w:b w:val="1"/>
                <w:bCs w:val="1"/>
                <w:color w:val="0077C0"/>
              </w:rPr>
              <w:t>Income Before Income Tax Expense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jc w:val="right"/>
              <w:ind w:right="189"/>
              <w:spacing w:after="0" w:line="91" w:lineRule="exact"/>
              <w:rPr>
                <w:sz w:val="20"/>
                <w:szCs w:val="20"/>
                <w:color w:val="auto"/>
              </w:rPr>
            </w:pPr>
            <w:r>
              <w:rPr>
                <w:rFonts w:ascii="Arial" w:cs="Arial" w:eastAsia="Arial" w:hAnsi="Arial"/>
                <w:sz w:val="10"/>
                <w:szCs w:val="10"/>
                <w:b w:val="1"/>
                <w:bCs w:val="1"/>
                <w:color w:val="auto"/>
              </w:rPr>
              <w:t>7,240</w:t>
            </w:r>
          </w:p>
        </w:tc>
        <w:tc>
          <w:tcPr>
            <w:tcW w:w="460" w:type="dxa"/>
            <w:vAlign w:val="bottom"/>
          </w:tcPr>
          <w:p>
            <w:pPr>
              <w:spacing w:after="0"/>
              <w:rPr>
                <w:sz w:val="7"/>
                <w:szCs w:val="7"/>
                <w:color w:val="auto"/>
              </w:rPr>
            </w:pPr>
          </w:p>
        </w:tc>
        <w:tc>
          <w:tcPr>
            <w:tcW w:w="680" w:type="dxa"/>
            <w:vAlign w:val="bottom"/>
          </w:tcPr>
          <w:p>
            <w:pPr>
              <w:jc w:val="right"/>
              <w:ind w:right="169"/>
              <w:spacing w:after="0" w:line="91" w:lineRule="exact"/>
              <w:rPr>
                <w:sz w:val="20"/>
                <w:szCs w:val="20"/>
                <w:color w:val="auto"/>
              </w:rPr>
            </w:pPr>
            <w:r>
              <w:rPr>
                <w:rFonts w:ascii="Arial" w:cs="Arial" w:eastAsia="Arial" w:hAnsi="Arial"/>
                <w:sz w:val="10"/>
                <w:szCs w:val="10"/>
                <w:b w:val="1"/>
                <w:bCs w:val="1"/>
                <w:color w:val="auto"/>
              </w:rPr>
              <w:t>14,309</w:t>
            </w:r>
          </w:p>
        </w:tc>
        <w:tc>
          <w:tcPr>
            <w:tcW w:w="460" w:type="dxa"/>
            <w:vAlign w:val="bottom"/>
          </w:tcPr>
          <w:p>
            <w:pPr>
              <w:spacing w:after="0"/>
              <w:rPr>
                <w:sz w:val="7"/>
                <w:szCs w:val="7"/>
                <w:color w:val="auto"/>
              </w:rPr>
            </w:pPr>
          </w:p>
        </w:tc>
        <w:tc>
          <w:tcPr>
            <w:tcW w:w="700" w:type="dxa"/>
            <w:vAlign w:val="bottom"/>
          </w:tcPr>
          <w:p>
            <w:pPr>
              <w:jc w:val="right"/>
              <w:ind w:right="189"/>
              <w:spacing w:after="0" w:line="91" w:lineRule="exact"/>
              <w:rPr>
                <w:sz w:val="20"/>
                <w:szCs w:val="20"/>
                <w:color w:val="auto"/>
              </w:rPr>
            </w:pPr>
            <w:r>
              <w:rPr>
                <w:rFonts w:ascii="Arial" w:cs="Arial" w:eastAsia="Arial" w:hAnsi="Arial"/>
                <w:sz w:val="10"/>
                <w:szCs w:val="10"/>
                <w:b w:val="1"/>
                <w:bCs w:val="1"/>
                <w:color w:val="auto"/>
              </w:rPr>
              <w:t>11,731</w:t>
            </w:r>
          </w:p>
        </w:tc>
        <w:tc>
          <w:tcPr>
            <w:tcW w:w="460" w:type="dxa"/>
            <w:vAlign w:val="bottom"/>
          </w:tcPr>
          <w:p>
            <w:pPr>
              <w:spacing w:after="0"/>
              <w:rPr>
                <w:sz w:val="7"/>
                <w:szCs w:val="7"/>
                <w:color w:val="auto"/>
              </w:rPr>
            </w:pPr>
          </w:p>
        </w:tc>
        <w:tc>
          <w:tcPr>
            <w:tcW w:w="700" w:type="dxa"/>
            <w:vAlign w:val="bottom"/>
            <w:tcBorders>
              <w:right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9,677</w:t>
            </w:r>
          </w:p>
        </w:tc>
        <w:tc>
          <w:tcPr>
            <w:tcW w:w="340" w:type="dxa"/>
            <w:vAlign w:val="bottom"/>
          </w:tcPr>
          <w:p>
            <w:pPr>
              <w:spacing w:after="0"/>
              <w:rPr>
                <w:sz w:val="7"/>
                <w:szCs w:val="7"/>
                <w:color w:val="auto"/>
              </w:rPr>
            </w:pPr>
          </w:p>
        </w:tc>
        <w:tc>
          <w:tcPr>
            <w:tcW w:w="700" w:type="dxa"/>
            <w:vAlign w:val="bottom"/>
          </w:tcPr>
          <w:p>
            <w:pPr>
              <w:jc w:val="right"/>
              <w:ind w:right="189"/>
              <w:spacing w:after="0" w:line="91" w:lineRule="exact"/>
              <w:rPr>
                <w:sz w:val="20"/>
                <w:szCs w:val="20"/>
                <w:color w:val="auto"/>
              </w:rPr>
            </w:pPr>
            <w:r>
              <w:rPr>
                <w:rFonts w:ascii="Arial" w:cs="Arial" w:eastAsia="Arial" w:hAnsi="Arial"/>
                <w:sz w:val="10"/>
                <w:szCs w:val="10"/>
                <w:color w:val="auto"/>
              </w:rPr>
              <w:t>8,578</w:t>
            </w:r>
          </w:p>
        </w:tc>
        <w:tc>
          <w:tcPr>
            <w:tcW w:w="460" w:type="dxa"/>
            <w:vAlign w:val="bottom"/>
          </w:tcPr>
          <w:p>
            <w:pPr>
              <w:spacing w:after="0"/>
              <w:rPr>
                <w:sz w:val="7"/>
                <w:szCs w:val="7"/>
                <w:color w:val="auto"/>
              </w:rPr>
            </w:pPr>
          </w:p>
        </w:tc>
        <w:tc>
          <w:tcPr>
            <w:tcW w:w="680" w:type="dxa"/>
            <w:vAlign w:val="bottom"/>
          </w:tcPr>
          <w:p>
            <w:pPr>
              <w:jc w:val="right"/>
              <w:ind w:right="169"/>
              <w:spacing w:after="0" w:line="91" w:lineRule="exact"/>
              <w:rPr>
                <w:sz w:val="20"/>
                <w:szCs w:val="20"/>
                <w:color w:val="auto"/>
              </w:rPr>
            </w:pPr>
            <w:r>
              <w:rPr>
                <w:rFonts w:ascii="Arial" w:cs="Arial" w:eastAsia="Arial" w:hAnsi="Arial"/>
                <w:sz w:val="10"/>
                <w:szCs w:val="10"/>
                <w:color w:val="auto"/>
              </w:rPr>
              <w:t>6,967</w:t>
            </w:r>
          </w:p>
        </w:tc>
        <w:tc>
          <w:tcPr>
            <w:tcW w:w="460" w:type="dxa"/>
            <w:vAlign w:val="bottom"/>
          </w:tcPr>
          <w:p>
            <w:pPr>
              <w:spacing w:after="0"/>
              <w:rPr>
                <w:sz w:val="7"/>
                <w:szCs w:val="7"/>
                <w:color w:val="auto"/>
              </w:rPr>
            </w:pPr>
          </w:p>
        </w:tc>
        <w:tc>
          <w:tcPr>
            <w:tcW w:w="680" w:type="dxa"/>
            <w:vAlign w:val="bottom"/>
          </w:tcPr>
          <w:p>
            <w:pPr>
              <w:jc w:val="right"/>
              <w:ind w:right="169"/>
              <w:spacing w:after="0" w:line="91" w:lineRule="exact"/>
              <w:rPr>
                <w:sz w:val="20"/>
                <w:szCs w:val="20"/>
                <w:color w:val="auto"/>
              </w:rPr>
            </w:pPr>
            <w:r>
              <w:rPr>
                <w:rFonts w:ascii="Arial" w:cs="Arial" w:eastAsia="Arial" w:hAnsi="Arial"/>
                <w:sz w:val="10"/>
                <w:szCs w:val="10"/>
                <w:color w:val="auto"/>
              </w:rPr>
              <w:t>9,062</w:t>
            </w:r>
          </w:p>
        </w:tc>
        <w:tc>
          <w:tcPr>
            <w:tcW w:w="460" w:type="dxa"/>
            <w:vAlign w:val="bottom"/>
          </w:tcPr>
          <w:p>
            <w:pPr>
              <w:spacing w:after="0"/>
              <w:rPr>
                <w:sz w:val="7"/>
                <w:szCs w:val="7"/>
                <w:color w:val="auto"/>
              </w:rPr>
            </w:pPr>
          </w:p>
        </w:tc>
        <w:tc>
          <w:tcPr>
            <w:tcW w:w="440" w:type="dxa"/>
            <w:vAlign w:val="bottom"/>
          </w:tcPr>
          <w:p>
            <w:pPr>
              <w:jc w:val="right"/>
              <w:spacing w:after="0" w:line="91" w:lineRule="exact"/>
              <w:rPr>
                <w:sz w:val="20"/>
                <w:szCs w:val="20"/>
                <w:color w:val="auto"/>
              </w:rPr>
            </w:pPr>
            <w:r>
              <w:rPr>
                <w:rFonts w:ascii="Arial" w:cs="Arial" w:eastAsia="Arial" w:hAnsi="Arial"/>
                <w:sz w:val="10"/>
                <w:szCs w:val="10"/>
                <w:color w:val="auto"/>
              </w:rPr>
              <w:t>7,560</w:t>
            </w:r>
          </w:p>
        </w:tc>
        <w:tc>
          <w:tcPr>
            <w:tcW w:w="0" w:type="dxa"/>
            <w:vAlign w:val="bottom"/>
          </w:tcPr>
          <w:p>
            <w:pPr>
              <w:spacing w:after="0"/>
              <w:rPr>
                <w:sz w:val="1"/>
                <w:szCs w:val="1"/>
                <w:color w:val="auto"/>
              </w:rPr>
            </w:pPr>
          </w:p>
        </w:tc>
      </w:tr>
      <w:tr>
        <w:trPr>
          <w:trHeight w:val="120"/>
        </w:trPr>
        <w:tc>
          <w:tcPr>
            <w:tcW w:w="228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Income Tax Expense</w:t>
            </w:r>
          </w:p>
        </w:tc>
        <w:tc>
          <w:tcPr>
            <w:tcW w:w="4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2,345</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6,416</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5,756</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4,509</w:t>
            </w:r>
          </w:p>
        </w:tc>
        <w:tc>
          <w:tcPr>
            <w:tcW w:w="3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3,703</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3,249</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3,682</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2,845</w:t>
            </w:r>
          </w:p>
        </w:tc>
        <w:tc>
          <w:tcPr>
            <w:tcW w:w="0" w:type="dxa"/>
            <w:vAlign w:val="bottom"/>
          </w:tcPr>
          <w:p>
            <w:pPr>
              <w:spacing w:after="0"/>
              <w:rPr>
                <w:sz w:val="1"/>
                <w:szCs w:val="1"/>
                <w:color w:val="auto"/>
              </w:rPr>
            </w:pPr>
          </w:p>
        </w:tc>
      </w:tr>
      <w:tr>
        <w:trPr>
          <w:trHeight w:val="114"/>
        </w:trPr>
        <w:tc>
          <w:tcPr>
            <w:tcW w:w="22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Income</w:t>
            </w:r>
          </w:p>
        </w:tc>
        <w:tc>
          <w:tcPr>
            <w:tcW w:w="700" w:type="dxa"/>
            <w:vAlign w:val="bottom"/>
            <w:tcBorders>
              <w:bottom w:val="single" w:sz="8" w:color="0077C0"/>
            </w:tcBorders>
            <w:gridSpan w:val="2"/>
          </w:tcPr>
          <w:p>
            <w:pPr>
              <w:ind w:left="48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4,895</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7,893</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5,975</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5,168</w:t>
            </w:r>
          </w:p>
        </w:tc>
        <w:tc>
          <w:tcPr>
            <w:tcW w:w="34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4,875</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3,718</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5,380</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4,715</w:t>
            </w:r>
          </w:p>
        </w:tc>
        <w:tc>
          <w:tcPr>
            <w:tcW w:w="0" w:type="dxa"/>
            <w:vAlign w:val="bottom"/>
          </w:tcPr>
          <w:p>
            <w:pPr>
              <w:spacing w:after="0"/>
              <w:rPr>
                <w:sz w:val="1"/>
                <w:szCs w:val="1"/>
                <w:color w:val="auto"/>
              </w:rPr>
            </w:pPr>
          </w:p>
        </w:tc>
      </w:tr>
      <w:tr>
        <w:trPr>
          <w:trHeight w:val="101"/>
        </w:trPr>
        <w:tc>
          <w:tcPr>
            <w:tcW w:w="2280" w:type="dxa"/>
            <w:vAlign w:val="bottom"/>
          </w:tcPr>
          <w:p>
            <w:pPr>
              <w:spacing w:after="0" w:line="101" w:lineRule="exact"/>
              <w:rPr>
                <w:sz w:val="20"/>
                <w:szCs w:val="20"/>
                <w:color w:val="auto"/>
              </w:rPr>
            </w:pPr>
            <w:r>
              <w:rPr>
                <w:rFonts w:ascii="Arial" w:cs="Arial" w:eastAsia="Arial" w:hAnsi="Arial"/>
                <w:sz w:val="10"/>
                <w:szCs w:val="10"/>
                <w:b w:val="1"/>
                <w:bCs w:val="1"/>
                <w:color w:val="0077C0"/>
              </w:rPr>
              <w:t>Per-Share of Common Stock</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right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80" w:type="dxa"/>
            <w:vAlign w:val="bottom"/>
          </w:tcPr>
          <w:p>
            <w:pPr>
              <w:ind w:left="80"/>
              <w:spacing w:after="0" w:line="106" w:lineRule="exact"/>
              <w:rPr>
                <w:sz w:val="20"/>
                <w:szCs w:val="20"/>
                <w:color w:val="auto"/>
              </w:rPr>
            </w:pPr>
            <w:r>
              <w:rPr>
                <w:rFonts w:ascii="Arial" w:cs="Arial" w:eastAsia="Arial" w:hAnsi="Arial"/>
                <w:sz w:val="10"/>
                <w:szCs w:val="10"/>
                <w:b w:val="1"/>
                <w:bCs w:val="1"/>
                <w:color w:val="0077C0"/>
              </w:rPr>
              <w:t>Net Income</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right w:val="single" w:sz="8" w:color="0077C0"/>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80" w:type="dxa"/>
            <w:vAlign w:val="bottom"/>
          </w:tcPr>
          <w:p>
            <w:pPr>
              <w:ind w:left="180"/>
              <w:spacing w:after="0" w:line="106" w:lineRule="exact"/>
              <w:rPr>
                <w:sz w:val="20"/>
                <w:szCs w:val="20"/>
                <w:color w:val="auto"/>
              </w:rPr>
            </w:pPr>
            <w:r>
              <w:rPr>
                <w:rFonts w:ascii="Arial" w:cs="Arial" w:eastAsia="Arial" w:hAnsi="Arial"/>
                <w:sz w:val="10"/>
                <w:szCs w:val="10"/>
                <w:b w:val="1"/>
                <w:bCs w:val="1"/>
                <w:color w:val="0077C0"/>
              </w:rPr>
              <w:t>– Basic</w:t>
            </w:r>
          </w:p>
        </w:tc>
        <w:tc>
          <w:tcPr>
            <w:tcW w:w="700" w:type="dxa"/>
            <w:vAlign w:val="bottom"/>
            <w:gridSpan w:val="2"/>
          </w:tcPr>
          <w:p>
            <w:pPr>
              <w:ind w:left="48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2.45</w:t>
            </w:r>
          </w:p>
        </w:tc>
        <w:tc>
          <w:tcPr>
            <w:tcW w:w="460" w:type="dxa"/>
            <w:vAlign w:val="bottom"/>
          </w:tcPr>
          <w:p>
            <w:pPr>
              <w:ind w:left="22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3.88</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2.91</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2.50</w:t>
            </w:r>
          </w:p>
        </w:tc>
        <w:tc>
          <w:tcPr>
            <w:tcW w:w="340" w:type="dxa"/>
            <w:vAlign w:val="bottom"/>
          </w:tcPr>
          <w:p>
            <w:pPr>
              <w:ind w:left="10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2.34</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1.77</w:t>
            </w:r>
          </w:p>
        </w:tc>
        <w:tc>
          <w:tcPr>
            <w:tcW w:w="460" w:type="dxa"/>
            <w:vAlign w:val="bottom"/>
          </w:tcPr>
          <w:p>
            <w:pPr>
              <w:ind w:left="24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2.52</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2.20</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0077C0"/>
            </w:tcBorders>
          </w:tcPr>
          <w:p>
            <w:pPr>
              <w:ind w:left="180"/>
              <w:spacing w:after="0"/>
              <w:rPr>
                <w:sz w:val="20"/>
                <w:szCs w:val="20"/>
                <w:color w:val="auto"/>
              </w:rPr>
            </w:pPr>
            <w:r>
              <w:rPr>
                <w:rFonts w:ascii="Arial" w:cs="Arial" w:eastAsia="Arial" w:hAnsi="Arial"/>
                <w:sz w:val="10"/>
                <w:szCs w:val="10"/>
                <w:b w:val="1"/>
                <w:bCs w:val="1"/>
                <w:color w:val="0077C0"/>
              </w:rPr>
              <w:t>– Diluted</w:t>
            </w:r>
          </w:p>
        </w:tc>
        <w:tc>
          <w:tcPr>
            <w:tcW w:w="700" w:type="dxa"/>
            <w:vAlign w:val="bottom"/>
            <w:tcBorders>
              <w:bottom w:val="single" w:sz="8" w:color="0077C0"/>
            </w:tcBorders>
            <w:gridSpan w:val="2"/>
          </w:tcPr>
          <w:p>
            <w:pPr>
              <w:ind w:left="48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2.44</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3.85</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2.90</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2.48</w:t>
            </w:r>
          </w:p>
        </w:tc>
        <w:tc>
          <w:tcPr>
            <w:tcW w:w="34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2.32</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1.75</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2.52</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2.18</w:t>
            </w:r>
          </w:p>
        </w:tc>
        <w:tc>
          <w:tcPr>
            <w:tcW w:w="0" w:type="dxa"/>
            <w:vAlign w:val="bottom"/>
          </w:tcPr>
          <w:p>
            <w:pPr>
              <w:spacing w:after="0"/>
              <w:rPr>
                <w:sz w:val="1"/>
                <w:szCs w:val="1"/>
                <w:color w:val="auto"/>
              </w:rPr>
            </w:pPr>
          </w:p>
        </w:tc>
      </w:tr>
      <w:tr>
        <w:trPr>
          <w:trHeight w:val="101"/>
        </w:trPr>
        <w:tc>
          <w:tcPr>
            <w:tcW w:w="2280" w:type="dxa"/>
            <w:vAlign w:val="bottom"/>
          </w:tcPr>
          <w:p>
            <w:pPr>
              <w:ind w:left="80"/>
              <w:spacing w:after="0" w:line="101" w:lineRule="exact"/>
              <w:rPr>
                <w:sz w:val="20"/>
                <w:szCs w:val="20"/>
                <w:color w:val="auto"/>
              </w:rPr>
            </w:pPr>
            <w:r>
              <w:rPr>
                <w:rFonts w:ascii="Arial" w:cs="Arial" w:eastAsia="Arial" w:hAnsi="Arial"/>
                <w:sz w:val="10"/>
                <w:szCs w:val="10"/>
                <w:b w:val="1"/>
                <w:bCs w:val="1"/>
                <w:color w:val="0077C0"/>
              </w:rPr>
              <w:t>Dividends</w:t>
            </w:r>
          </w:p>
        </w:tc>
        <w:tc>
          <w:tcPr>
            <w:tcW w:w="700" w:type="dxa"/>
            <w:vAlign w:val="bottom"/>
            <w:gridSpan w:val="2"/>
          </w:tcPr>
          <w:p>
            <w:pPr>
              <w:ind w:left="480"/>
              <w:spacing w:after="0" w:line="101"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1" w:lineRule="exact"/>
              <w:rPr>
                <w:sz w:val="20"/>
                <w:szCs w:val="20"/>
                <w:color w:val="auto"/>
              </w:rPr>
            </w:pPr>
            <w:r>
              <w:rPr>
                <w:rFonts w:ascii="Arial" w:cs="Arial" w:eastAsia="Arial" w:hAnsi="Arial"/>
                <w:sz w:val="10"/>
                <w:szCs w:val="10"/>
                <w:b w:val="1"/>
                <w:bCs w:val="1"/>
                <w:color w:val="auto"/>
              </w:rPr>
              <w:t>0.65</w:t>
            </w:r>
          </w:p>
        </w:tc>
        <w:tc>
          <w:tcPr>
            <w:tcW w:w="460" w:type="dxa"/>
            <w:vAlign w:val="bottom"/>
          </w:tcPr>
          <w:p>
            <w:pPr>
              <w:ind w:left="220"/>
              <w:spacing w:after="0" w:line="101"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69"/>
              <w:spacing w:after="0" w:line="101" w:lineRule="exact"/>
              <w:rPr>
                <w:sz w:val="20"/>
                <w:szCs w:val="20"/>
                <w:color w:val="auto"/>
              </w:rPr>
            </w:pPr>
            <w:r>
              <w:rPr>
                <w:rFonts w:ascii="Arial" w:cs="Arial" w:eastAsia="Arial" w:hAnsi="Arial"/>
                <w:sz w:val="10"/>
                <w:szCs w:val="10"/>
                <w:b w:val="1"/>
                <w:bCs w:val="1"/>
                <w:color w:val="auto"/>
              </w:rPr>
              <w:t>0.65</w:t>
            </w:r>
          </w:p>
        </w:tc>
        <w:tc>
          <w:tcPr>
            <w:tcW w:w="460" w:type="dxa"/>
            <w:vAlign w:val="bottom"/>
          </w:tcPr>
          <w:p>
            <w:pPr>
              <w:ind w:left="240"/>
              <w:spacing w:after="0" w:line="101"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1" w:lineRule="exact"/>
              <w:rPr>
                <w:sz w:val="20"/>
                <w:szCs w:val="20"/>
                <w:color w:val="auto"/>
              </w:rPr>
            </w:pPr>
            <w:r>
              <w:rPr>
                <w:rFonts w:ascii="Arial" w:cs="Arial" w:eastAsia="Arial" w:hAnsi="Arial"/>
                <w:sz w:val="10"/>
                <w:szCs w:val="10"/>
                <w:b w:val="1"/>
                <w:bCs w:val="1"/>
                <w:color w:val="auto"/>
              </w:rPr>
              <w:t>0.65</w:t>
            </w:r>
          </w:p>
        </w:tc>
        <w:tc>
          <w:tcPr>
            <w:tcW w:w="460" w:type="dxa"/>
            <w:vAlign w:val="bottom"/>
          </w:tcPr>
          <w:p>
            <w:pPr>
              <w:ind w:left="240"/>
              <w:spacing w:after="0" w:line="101" w:lineRule="exact"/>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tcPr>
          <w:p>
            <w:pPr>
              <w:jc w:val="right"/>
              <w:ind w:right="189"/>
              <w:spacing w:after="0" w:line="101" w:lineRule="exact"/>
              <w:rPr>
                <w:sz w:val="20"/>
                <w:szCs w:val="20"/>
                <w:color w:val="auto"/>
              </w:rPr>
            </w:pPr>
            <w:r>
              <w:rPr>
                <w:rFonts w:ascii="Arial" w:cs="Arial" w:eastAsia="Arial" w:hAnsi="Arial"/>
                <w:sz w:val="10"/>
                <w:szCs w:val="10"/>
                <w:b w:val="1"/>
                <w:bCs w:val="1"/>
                <w:color w:val="auto"/>
              </w:rPr>
              <w:t>0.58</w:t>
            </w:r>
          </w:p>
        </w:tc>
        <w:tc>
          <w:tcPr>
            <w:tcW w:w="340" w:type="dxa"/>
            <w:vAlign w:val="bottom"/>
          </w:tcPr>
          <w:p>
            <w:pPr>
              <w:ind w:left="100"/>
              <w:spacing w:after="0" w:line="101"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1" w:lineRule="exact"/>
              <w:rPr>
                <w:sz w:val="20"/>
                <w:szCs w:val="20"/>
                <w:color w:val="auto"/>
              </w:rPr>
            </w:pPr>
            <w:r>
              <w:rPr>
                <w:rFonts w:ascii="Arial" w:cs="Arial" w:eastAsia="Arial" w:hAnsi="Arial"/>
                <w:sz w:val="10"/>
                <w:szCs w:val="10"/>
                <w:color w:val="auto"/>
              </w:rPr>
              <w:t>0.58</w:t>
            </w:r>
          </w:p>
        </w:tc>
        <w:tc>
          <w:tcPr>
            <w:tcW w:w="460" w:type="dxa"/>
            <w:vAlign w:val="bottom"/>
          </w:tcPr>
          <w:p>
            <w:pPr>
              <w:ind w:left="220"/>
              <w:spacing w:after="0" w:line="101"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1" w:lineRule="exact"/>
              <w:rPr>
                <w:sz w:val="20"/>
                <w:szCs w:val="20"/>
                <w:color w:val="auto"/>
              </w:rPr>
            </w:pPr>
            <w:r>
              <w:rPr>
                <w:rFonts w:ascii="Arial" w:cs="Arial" w:eastAsia="Arial" w:hAnsi="Arial"/>
                <w:sz w:val="10"/>
                <w:szCs w:val="10"/>
                <w:color w:val="auto"/>
              </w:rPr>
              <w:t>0.58</w:t>
            </w:r>
          </w:p>
        </w:tc>
        <w:tc>
          <w:tcPr>
            <w:tcW w:w="460" w:type="dxa"/>
            <w:vAlign w:val="bottom"/>
          </w:tcPr>
          <w:p>
            <w:pPr>
              <w:ind w:left="240"/>
              <w:spacing w:after="0" w:line="101"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1" w:lineRule="exact"/>
              <w:rPr>
                <w:sz w:val="20"/>
                <w:szCs w:val="20"/>
                <w:color w:val="auto"/>
              </w:rPr>
            </w:pPr>
            <w:r>
              <w:rPr>
                <w:rFonts w:ascii="Arial" w:cs="Arial" w:eastAsia="Arial" w:hAnsi="Arial"/>
                <w:sz w:val="10"/>
                <w:szCs w:val="10"/>
                <w:color w:val="auto"/>
              </w:rPr>
              <w:t>0.58</w:t>
            </w:r>
          </w:p>
        </w:tc>
        <w:tc>
          <w:tcPr>
            <w:tcW w:w="460" w:type="dxa"/>
            <w:vAlign w:val="bottom"/>
          </w:tcPr>
          <w:p>
            <w:pPr>
              <w:ind w:left="220"/>
              <w:spacing w:after="0" w:line="101"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06"/>
        </w:trPr>
        <w:tc>
          <w:tcPr>
            <w:tcW w:w="2280" w:type="dxa"/>
            <w:vAlign w:val="bottom"/>
          </w:tcPr>
          <w:p>
            <w:pPr>
              <w:ind w:left="80"/>
              <w:spacing w:after="0" w:line="106" w:lineRule="exact"/>
              <w:rPr>
                <w:sz w:val="20"/>
                <w:szCs w:val="20"/>
                <w:color w:val="auto"/>
              </w:rPr>
            </w:pPr>
            <w:r>
              <w:rPr>
                <w:rFonts w:ascii="Arial" w:cs="Arial" w:eastAsia="Arial" w:hAnsi="Arial"/>
                <w:sz w:val="10"/>
                <w:szCs w:val="10"/>
                <w:b w:val="1"/>
                <w:bCs w:val="1"/>
                <w:color w:val="0077C0"/>
              </w:rPr>
              <w:t>Common Stock Price Range – High</w:t>
            </w:r>
            <w:r>
              <w:rPr>
                <w:rFonts w:ascii="Arial" w:cs="Arial" w:eastAsia="Arial" w:hAnsi="Arial"/>
                <w:sz w:val="8"/>
                <w:szCs w:val="8"/>
                <w:b w:val="1"/>
                <w:bCs w:val="1"/>
                <w:color w:val="0077C0"/>
              </w:rPr>
              <w:t>2</w:t>
            </w:r>
          </w:p>
        </w:tc>
        <w:tc>
          <w:tcPr>
            <w:tcW w:w="700" w:type="dxa"/>
            <w:vAlign w:val="bottom"/>
            <w:gridSpan w:val="2"/>
          </w:tcPr>
          <w:p>
            <w:pPr>
              <w:ind w:left="48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82.20</w:t>
            </w:r>
          </w:p>
        </w:tc>
        <w:tc>
          <w:tcPr>
            <w:tcW w:w="460" w:type="dxa"/>
            <w:vAlign w:val="bottom"/>
          </w:tcPr>
          <w:p>
            <w:pPr>
              <w:ind w:left="22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99.08</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103.09</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94.61</w:t>
            </w:r>
          </w:p>
        </w:tc>
        <w:tc>
          <w:tcPr>
            <w:tcW w:w="340" w:type="dxa"/>
            <w:vAlign w:val="bottom"/>
          </w:tcPr>
          <w:p>
            <w:pPr>
              <w:ind w:left="10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94.86</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94.84</w:t>
            </w:r>
          </w:p>
        </w:tc>
        <w:tc>
          <w:tcPr>
            <w:tcW w:w="460" w:type="dxa"/>
            <w:vAlign w:val="bottom"/>
          </w:tcPr>
          <w:p>
            <w:pPr>
              <w:ind w:left="24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84.24</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74.95</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0077C0"/>
            </w:tcBorders>
          </w:tcPr>
          <w:p>
            <w:pPr>
              <w:ind w:left="1340"/>
              <w:spacing w:after="0"/>
              <w:rPr>
                <w:sz w:val="20"/>
                <w:szCs w:val="20"/>
                <w:color w:val="auto"/>
              </w:rPr>
            </w:pPr>
            <w:r>
              <w:rPr>
                <w:rFonts w:ascii="Arial" w:cs="Arial" w:eastAsia="Arial" w:hAnsi="Arial"/>
                <w:sz w:val="10"/>
                <w:szCs w:val="10"/>
                <w:b w:val="1"/>
                <w:bCs w:val="1"/>
                <w:color w:val="0077C0"/>
              </w:rPr>
              <w:t>– Low</w:t>
            </w:r>
            <w:r>
              <w:rPr>
                <w:rFonts w:ascii="Arial" w:cs="Arial" w:eastAsia="Arial" w:hAnsi="Arial"/>
                <w:sz w:val="8"/>
                <w:szCs w:val="8"/>
                <w:b w:val="1"/>
                <w:bCs w:val="1"/>
                <w:color w:val="0077C0"/>
              </w:rPr>
              <w:t>2</w:t>
            </w:r>
          </w:p>
        </w:tc>
        <w:tc>
          <w:tcPr>
            <w:tcW w:w="700" w:type="dxa"/>
            <w:vAlign w:val="bottom"/>
            <w:tcBorders>
              <w:bottom w:val="single" w:sz="8" w:color="0077C0"/>
            </w:tcBorders>
            <w:gridSpan w:val="2"/>
          </w:tcPr>
          <w:p>
            <w:pPr>
              <w:ind w:left="48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57.83</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77.50</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86.74</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77.51</w:t>
            </w:r>
          </w:p>
        </w:tc>
        <w:tc>
          <w:tcPr>
            <w:tcW w:w="34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83.79</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80.76</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74.83</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66.43</w:t>
            </w:r>
          </w:p>
        </w:tc>
        <w:tc>
          <w:tcPr>
            <w:tcW w:w="0" w:type="dxa"/>
            <w:vAlign w:val="bottom"/>
          </w:tcPr>
          <w:p>
            <w:pPr>
              <w:spacing w:after="0"/>
              <w:rPr>
                <w:sz w:val="1"/>
                <w:szCs w:val="1"/>
                <w:color w:val="auto"/>
              </w:rPr>
            </w:pPr>
          </w:p>
        </w:tc>
      </w:tr>
      <w:tr>
        <w:trPr>
          <w:trHeight w:val="95"/>
        </w:trPr>
        <w:tc>
          <w:tcPr>
            <w:tcW w:w="2280" w:type="dxa"/>
            <w:vAlign w:val="bottom"/>
          </w:tcPr>
          <w:p>
            <w:pPr>
              <w:spacing w:after="0"/>
              <w:rPr>
                <w:sz w:val="20"/>
                <w:szCs w:val="20"/>
                <w:color w:val="auto"/>
              </w:rPr>
            </w:pPr>
            <w:r>
              <w:rPr>
                <w:rFonts w:ascii="Arial" w:cs="Arial" w:eastAsia="Arial" w:hAnsi="Arial"/>
                <w:sz w:val="8"/>
                <w:szCs w:val="8"/>
                <w:color w:val="auto"/>
              </w:rPr>
              <w:t>1 Includes excise, value-added and similar taxes:</w:t>
            </w:r>
          </w:p>
        </w:tc>
        <w:tc>
          <w:tcPr>
            <w:tcW w:w="700" w:type="dxa"/>
            <w:vAlign w:val="bottom"/>
            <w:gridSpan w:val="2"/>
          </w:tcPr>
          <w:p>
            <w:pPr>
              <w:ind w:left="480"/>
              <w:spacing w:after="0" w:line="95" w:lineRule="exact"/>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89"/>
              <w:spacing w:after="0" w:line="95" w:lineRule="exact"/>
              <w:rPr>
                <w:sz w:val="20"/>
                <w:szCs w:val="20"/>
                <w:color w:val="auto"/>
              </w:rPr>
            </w:pPr>
            <w:r>
              <w:rPr>
                <w:rFonts w:ascii="Arial" w:cs="Arial" w:eastAsia="Arial" w:hAnsi="Arial"/>
                <w:sz w:val="9"/>
                <w:szCs w:val="9"/>
                <w:b w:val="1"/>
                <w:bCs w:val="1"/>
                <w:color w:val="auto"/>
              </w:rPr>
              <w:t>2,080</w:t>
            </w:r>
          </w:p>
        </w:tc>
        <w:tc>
          <w:tcPr>
            <w:tcW w:w="460" w:type="dxa"/>
            <w:vAlign w:val="bottom"/>
          </w:tcPr>
          <w:p>
            <w:pPr>
              <w:ind w:left="220"/>
              <w:spacing w:after="0" w:line="95" w:lineRule="exact"/>
              <w:rPr>
                <w:sz w:val="20"/>
                <w:szCs w:val="20"/>
                <w:color w:val="auto"/>
              </w:rPr>
            </w:pPr>
            <w:r>
              <w:rPr>
                <w:rFonts w:ascii="Arial" w:cs="Arial" w:eastAsia="Arial" w:hAnsi="Arial"/>
                <w:sz w:val="9"/>
                <w:szCs w:val="9"/>
                <w:b w:val="1"/>
                <w:bCs w:val="1"/>
                <w:color w:val="auto"/>
              </w:rPr>
              <w:t>$</w:t>
            </w:r>
          </w:p>
        </w:tc>
        <w:tc>
          <w:tcPr>
            <w:tcW w:w="680" w:type="dxa"/>
            <w:vAlign w:val="bottom"/>
          </w:tcPr>
          <w:p>
            <w:pPr>
              <w:jc w:val="right"/>
              <w:ind w:right="169"/>
              <w:spacing w:after="0" w:line="95" w:lineRule="exact"/>
              <w:rPr>
                <w:sz w:val="20"/>
                <w:szCs w:val="20"/>
                <w:color w:val="auto"/>
              </w:rPr>
            </w:pPr>
            <w:r>
              <w:rPr>
                <w:rFonts w:ascii="Arial" w:cs="Arial" w:eastAsia="Arial" w:hAnsi="Arial"/>
                <w:sz w:val="9"/>
                <w:szCs w:val="9"/>
                <w:b w:val="1"/>
                <w:bCs w:val="1"/>
                <w:color w:val="auto"/>
              </w:rPr>
              <w:t>2,577</w:t>
            </w:r>
          </w:p>
        </w:tc>
        <w:tc>
          <w:tcPr>
            <w:tcW w:w="460" w:type="dxa"/>
            <w:vAlign w:val="bottom"/>
          </w:tcPr>
          <w:p>
            <w:pPr>
              <w:ind w:left="240"/>
              <w:spacing w:after="0" w:line="95" w:lineRule="exact"/>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89"/>
              <w:spacing w:after="0" w:line="95" w:lineRule="exact"/>
              <w:rPr>
                <w:sz w:val="20"/>
                <w:szCs w:val="20"/>
                <w:color w:val="auto"/>
              </w:rPr>
            </w:pPr>
            <w:r>
              <w:rPr>
                <w:rFonts w:ascii="Arial" w:cs="Arial" w:eastAsia="Arial" w:hAnsi="Arial"/>
                <w:sz w:val="9"/>
                <w:szCs w:val="9"/>
                <w:b w:val="1"/>
                <w:bCs w:val="1"/>
                <w:color w:val="auto"/>
              </w:rPr>
              <w:t>2,652</w:t>
            </w:r>
          </w:p>
        </w:tc>
        <w:tc>
          <w:tcPr>
            <w:tcW w:w="460" w:type="dxa"/>
            <w:vAlign w:val="bottom"/>
          </w:tcPr>
          <w:p>
            <w:pPr>
              <w:ind w:left="240"/>
              <w:spacing w:after="0" w:line="95" w:lineRule="exact"/>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89"/>
              <w:spacing w:after="0" w:line="95" w:lineRule="exact"/>
              <w:rPr>
                <w:sz w:val="20"/>
                <w:szCs w:val="20"/>
                <w:color w:val="auto"/>
              </w:rPr>
            </w:pPr>
            <w:r>
              <w:rPr>
                <w:rFonts w:ascii="Arial" w:cs="Arial" w:eastAsia="Arial" w:hAnsi="Arial"/>
                <w:sz w:val="9"/>
                <w:szCs w:val="9"/>
                <w:b w:val="1"/>
                <w:bCs w:val="1"/>
                <w:color w:val="auto"/>
              </w:rPr>
              <w:t>2,537</w:t>
            </w:r>
          </w:p>
        </w:tc>
        <w:tc>
          <w:tcPr>
            <w:tcW w:w="340" w:type="dxa"/>
            <w:vAlign w:val="bottom"/>
          </w:tcPr>
          <w:p>
            <w:pPr>
              <w:ind w:left="100"/>
              <w:spacing w:after="0" w:line="95"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89"/>
              <w:spacing w:after="0" w:line="95" w:lineRule="exact"/>
              <w:rPr>
                <w:sz w:val="20"/>
                <w:szCs w:val="20"/>
                <w:color w:val="auto"/>
              </w:rPr>
            </w:pPr>
            <w:r>
              <w:rPr>
                <w:rFonts w:ascii="Arial" w:cs="Arial" w:eastAsia="Arial" w:hAnsi="Arial"/>
                <w:sz w:val="9"/>
                <w:szCs w:val="9"/>
                <w:color w:val="auto"/>
              </w:rPr>
              <w:t>2,548</w:t>
            </w:r>
          </w:p>
        </w:tc>
        <w:tc>
          <w:tcPr>
            <w:tcW w:w="4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69"/>
              <w:spacing w:after="0" w:line="95" w:lineRule="exact"/>
              <w:rPr>
                <w:sz w:val="20"/>
                <w:szCs w:val="20"/>
                <w:color w:val="auto"/>
              </w:rPr>
            </w:pPr>
            <w:r>
              <w:rPr>
                <w:rFonts w:ascii="Arial" w:cs="Arial" w:eastAsia="Arial" w:hAnsi="Arial"/>
                <w:sz w:val="9"/>
                <w:szCs w:val="9"/>
                <w:color w:val="auto"/>
              </w:rPr>
              <w:t>2,550</w:t>
            </w:r>
          </w:p>
        </w:tc>
        <w:tc>
          <w:tcPr>
            <w:tcW w:w="460" w:type="dxa"/>
            <w:vAlign w:val="bottom"/>
          </w:tcPr>
          <w:p>
            <w:pPr>
              <w:ind w:left="240"/>
              <w:spacing w:after="0" w:line="95"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69"/>
              <w:spacing w:after="0" w:line="95" w:lineRule="exact"/>
              <w:rPr>
                <w:sz w:val="20"/>
                <w:szCs w:val="20"/>
                <w:color w:val="auto"/>
              </w:rPr>
            </w:pPr>
            <w:r>
              <w:rPr>
                <w:rFonts w:ascii="Arial" w:cs="Arial" w:eastAsia="Arial" w:hAnsi="Arial"/>
                <w:sz w:val="9"/>
                <w:szCs w:val="9"/>
                <w:color w:val="auto"/>
              </w:rPr>
              <w:t>2,609</w:t>
            </w:r>
          </w:p>
        </w:tc>
        <w:tc>
          <w:tcPr>
            <w:tcW w:w="4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2,414</w:t>
            </w:r>
          </w:p>
        </w:tc>
        <w:tc>
          <w:tcPr>
            <w:tcW w:w="0" w:type="dxa"/>
            <w:vAlign w:val="bottom"/>
          </w:tcPr>
          <w:p>
            <w:pPr>
              <w:spacing w:after="0"/>
              <w:rPr>
                <w:sz w:val="1"/>
                <w:szCs w:val="1"/>
                <w:color w:val="auto"/>
              </w:rPr>
            </w:pPr>
          </w:p>
        </w:tc>
      </w:tr>
      <w:tr>
        <w:trPr>
          <w:trHeight w:val="114"/>
        </w:trPr>
        <w:tc>
          <w:tcPr>
            <w:tcW w:w="2280" w:type="dxa"/>
            <w:vAlign w:val="bottom"/>
          </w:tcPr>
          <w:p>
            <w:pPr>
              <w:spacing w:after="0"/>
              <w:rPr>
                <w:sz w:val="20"/>
                <w:szCs w:val="20"/>
                <w:color w:val="auto"/>
              </w:rPr>
            </w:pPr>
            <w:r>
              <w:rPr>
                <w:rFonts w:ascii="Arial" w:cs="Arial" w:eastAsia="Arial" w:hAnsi="Arial"/>
                <w:sz w:val="8"/>
                <w:szCs w:val="8"/>
                <w:color w:val="auto"/>
              </w:rPr>
              <w:t>2 End of day price.</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00" w:right="420"/>
        <w:spacing w:after="0" w:line="267" w:lineRule="auto"/>
        <w:rPr>
          <w:sz w:val="20"/>
          <w:szCs w:val="20"/>
          <w:color w:val="auto"/>
        </w:rPr>
      </w:pPr>
      <w:r>
        <w:rPr>
          <w:rFonts w:ascii="Arial" w:cs="Arial" w:eastAsia="Arial" w:hAnsi="Arial"/>
          <w:sz w:val="13"/>
          <w:szCs w:val="13"/>
          <w:color w:val="auto"/>
        </w:rPr>
        <w:t>The company’s common stock is listed on the New York Stock Exchange (trading symbol: CVX). As of February 20, 2009, stockholders of record numbered approximately 205,000. There are no restrictions on the company’s ability to pay dividends.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FS-24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29297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329805" cy="3698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805" cy="36982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Management’s Responsibility for Financial Statements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To the Stockholders of Chevron Corporation</w:t>
      </w:r>
    </w:p>
    <w:p>
      <w:pPr>
        <w:spacing w:after="0" w:line="120" w:lineRule="exact"/>
        <w:rPr>
          <w:sz w:val="20"/>
          <w:szCs w:val="20"/>
          <w:color w:val="auto"/>
        </w:rPr>
      </w:pPr>
    </w:p>
    <w:p>
      <w:pPr>
        <w:ind w:left="100" w:right="180"/>
        <w:spacing w:after="0" w:line="251" w:lineRule="auto"/>
        <w:rPr>
          <w:sz w:val="20"/>
          <w:szCs w:val="20"/>
          <w:color w:val="auto"/>
        </w:rPr>
      </w:pPr>
      <w:r>
        <w:rPr>
          <w:rFonts w:ascii="Arial" w:cs="Arial" w:eastAsia="Arial" w:hAnsi="Arial"/>
          <w:sz w:val="13"/>
          <w:szCs w:val="13"/>
          <w:color w:val="auto"/>
        </w:rPr>
        <w:t>Management of Chevron is responsible for preparing the accompanying consolidated financial statements and the related information appearing in this report.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w:t>
      </w:r>
    </w:p>
    <w:p>
      <w:pPr>
        <w:spacing w:after="0" w:line="1" w:lineRule="exact"/>
        <w:rPr>
          <w:sz w:val="20"/>
          <w:szCs w:val="20"/>
          <w:color w:val="auto"/>
        </w:rPr>
      </w:pPr>
    </w:p>
    <w:p>
      <w:pPr>
        <w:ind w:left="100" w:right="80" w:firstLine="153"/>
        <w:spacing w:after="0" w:line="246" w:lineRule="auto"/>
        <w:rPr>
          <w:sz w:val="20"/>
          <w:szCs w:val="20"/>
          <w:color w:val="auto"/>
        </w:rPr>
      </w:pPr>
      <w:r>
        <w:rPr>
          <w:rFonts w:ascii="Arial" w:cs="Arial" w:eastAsia="Arial" w:hAnsi="Arial"/>
          <w:sz w:val="13"/>
          <w:szCs w:val="13"/>
          <w:color w:val="auto"/>
        </w:rPr>
        <w:t>As stated in its report included herein, the independent registered public accounting firm of PricewaterhouseCoopers LLP has audited the company’s consolidated financial statements in accordance with the standards of the Public Company Accounting Oversight Board (United States).</w:t>
      </w:r>
    </w:p>
    <w:p>
      <w:pPr>
        <w:spacing w:after="0" w:line="1" w:lineRule="exact"/>
        <w:rPr>
          <w:sz w:val="20"/>
          <w:szCs w:val="20"/>
          <w:color w:val="auto"/>
        </w:rPr>
      </w:pPr>
    </w:p>
    <w:p>
      <w:pPr>
        <w:ind w:left="100" w:firstLine="158"/>
        <w:spacing w:after="0" w:line="250" w:lineRule="auto"/>
        <w:rPr>
          <w:sz w:val="20"/>
          <w:szCs w:val="20"/>
          <w:color w:val="auto"/>
        </w:rPr>
      </w:pPr>
      <w:r>
        <w:rPr>
          <w:rFonts w:ascii="Arial" w:cs="Arial" w:eastAsia="Arial" w:hAnsi="Arial"/>
          <w:sz w:val="13"/>
          <w:szCs w:val="13"/>
          <w:color w:val="auto"/>
        </w:rPr>
        <w:t>The Board of Directors of Chevron has an Audit Committee composed of directors who are not officers or employees of the company. The Audit Committee meets regularly with members of management, the internal auditors and the independent registered public accounting firm to review accounting, internal control, auditing and financial reporting matters. Both the internal auditors and the independent registered public accounting firm have free and direct access to the Audit Committee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25" w:lineRule="exact"/>
        <w:rPr>
          <w:sz w:val="20"/>
          <w:szCs w:val="20"/>
          <w:color w:val="auto"/>
        </w:rPr>
      </w:pPr>
    </w:p>
    <w:p>
      <w:pPr>
        <w:ind w:left="100"/>
        <w:spacing w:after="0" w:line="253"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such term is defined in Exchange Act Rule 13a-15(f).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Based on the results of this evaluation, the company’s management concluded that internal control over financial reporting was effective as of December 31, 2008.</w:t>
      </w:r>
    </w:p>
    <w:p>
      <w:pPr>
        <w:spacing w:after="0" w:line="119" w:lineRule="exact"/>
        <w:rPr>
          <w:sz w:val="20"/>
          <w:szCs w:val="20"/>
          <w:color w:val="auto"/>
        </w:rPr>
      </w:pPr>
    </w:p>
    <w:p>
      <w:pPr>
        <w:ind w:left="100" w:right="80" w:firstLine="158"/>
        <w:spacing w:after="0" w:line="267" w:lineRule="auto"/>
        <w:rPr>
          <w:sz w:val="20"/>
          <w:szCs w:val="20"/>
          <w:color w:val="auto"/>
        </w:rPr>
      </w:pPr>
      <w:r>
        <w:rPr>
          <w:rFonts w:ascii="Arial" w:cs="Arial" w:eastAsia="Arial" w:hAnsi="Arial"/>
          <w:sz w:val="13"/>
          <w:szCs w:val="13"/>
          <w:color w:val="auto"/>
        </w:rPr>
        <w:t>The effectiveness of the company’s internal control over financial reporting as of December 31, 2008, has been audited by PricewaterhouseCoopers LLP, an independent registered public accounting firm, as stated in its report included herein.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80" w:type="dxa"/>
            <w:vAlign w:val="bottom"/>
          </w:tcPr>
          <w:p>
            <w:pPr>
              <w:ind w:left="100"/>
              <w:spacing w:after="0"/>
              <w:rPr>
                <w:sz w:val="20"/>
                <w:szCs w:val="20"/>
                <w:color w:val="auto"/>
              </w:rPr>
            </w:pPr>
            <w:r>
              <w:rPr>
                <w:rFonts w:ascii="Arial" w:cs="Arial" w:eastAsia="Arial" w:hAnsi="Arial"/>
                <w:sz w:val="13"/>
                <w:szCs w:val="13"/>
                <w:color w:val="auto"/>
              </w:rPr>
              <w:t>David J. O’Reilly</w:t>
            </w:r>
          </w:p>
        </w:tc>
        <w:tc>
          <w:tcPr>
            <w:tcW w:w="2780" w:type="dxa"/>
            <w:vAlign w:val="bottom"/>
          </w:tcPr>
          <w:p>
            <w:pPr>
              <w:ind w:left="1140"/>
              <w:spacing w:after="0"/>
              <w:rPr>
                <w:sz w:val="20"/>
                <w:szCs w:val="20"/>
                <w:color w:val="auto"/>
              </w:rPr>
            </w:pPr>
            <w:r>
              <w:rPr>
                <w:rFonts w:ascii="Arial" w:cs="Arial" w:eastAsia="Arial" w:hAnsi="Arial"/>
                <w:sz w:val="13"/>
                <w:szCs w:val="13"/>
                <w:color w:val="auto"/>
              </w:rPr>
              <w:t>Patricia E. Yarrington</w:t>
            </w:r>
          </w:p>
        </w:tc>
        <w:tc>
          <w:tcPr>
            <w:tcW w:w="6020" w:type="dxa"/>
            <w:vAlign w:val="bottom"/>
          </w:tcPr>
          <w:p>
            <w:pPr>
              <w:ind w:left="2340"/>
              <w:spacing w:after="0"/>
              <w:rPr>
                <w:sz w:val="20"/>
                <w:szCs w:val="20"/>
                <w:color w:val="auto"/>
              </w:rPr>
            </w:pPr>
            <w:r>
              <w:rPr>
                <w:rFonts w:ascii="Arial" w:cs="Arial" w:eastAsia="Arial" w:hAnsi="Arial"/>
                <w:sz w:val="13"/>
                <w:szCs w:val="13"/>
                <w:color w:val="auto"/>
              </w:rPr>
              <w:t>Mark A. Humphrey</w:t>
            </w:r>
          </w:p>
        </w:tc>
      </w:tr>
      <w:tr>
        <w:trPr>
          <w:trHeight w:val="154"/>
        </w:trPr>
        <w:tc>
          <w:tcPr>
            <w:tcW w:w="2680" w:type="dxa"/>
            <w:vAlign w:val="bottom"/>
          </w:tcPr>
          <w:p>
            <w:pPr>
              <w:ind w:left="100"/>
              <w:spacing w:after="0"/>
              <w:rPr>
                <w:sz w:val="20"/>
                <w:szCs w:val="20"/>
                <w:color w:val="auto"/>
              </w:rPr>
            </w:pPr>
            <w:r>
              <w:rPr>
                <w:rFonts w:ascii="Arial" w:cs="Arial" w:eastAsia="Arial" w:hAnsi="Arial"/>
                <w:sz w:val="13"/>
                <w:szCs w:val="13"/>
                <w:color w:val="auto"/>
              </w:rPr>
              <w:t>Chairman of the Board</w:t>
            </w:r>
          </w:p>
        </w:tc>
        <w:tc>
          <w:tcPr>
            <w:tcW w:w="2780" w:type="dxa"/>
            <w:vAlign w:val="bottom"/>
          </w:tcPr>
          <w:p>
            <w:pPr>
              <w:ind w:left="1140"/>
              <w:spacing w:after="0"/>
              <w:rPr>
                <w:sz w:val="20"/>
                <w:szCs w:val="20"/>
                <w:color w:val="auto"/>
              </w:rPr>
            </w:pPr>
            <w:r>
              <w:rPr>
                <w:rFonts w:ascii="Arial" w:cs="Arial" w:eastAsia="Arial" w:hAnsi="Arial"/>
                <w:sz w:val="13"/>
                <w:szCs w:val="13"/>
                <w:color w:val="auto"/>
              </w:rPr>
              <w:t>Vice President</w:t>
            </w:r>
          </w:p>
        </w:tc>
        <w:tc>
          <w:tcPr>
            <w:tcW w:w="6020" w:type="dxa"/>
            <w:vAlign w:val="bottom"/>
          </w:tcPr>
          <w:p>
            <w:pPr>
              <w:ind w:left="2340"/>
              <w:spacing w:after="0"/>
              <w:rPr>
                <w:sz w:val="20"/>
                <w:szCs w:val="20"/>
                <w:color w:val="auto"/>
              </w:rPr>
            </w:pPr>
            <w:r>
              <w:rPr>
                <w:rFonts w:ascii="Arial" w:cs="Arial" w:eastAsia="Arial" w:hAnsi="Arial"/>
                <w:sz w:val="13"/>
                <w:szCs w:val="13"/>
                <w:color w:val="auto"/>
              </w:rPr>
              <w:t>Vice President</w:t>
            </w:r>
          </w:p>
        </w:tc>
      </w:tr>
      <w:tr>
        <w:trPr>
          <w:trHeight w:val="162"/>
        </w:trPr>
        <w:tc>
          <w:tcPr>
            <w:tcW w:w="2680" w:type="dxa"/>
            <w:vAlign w:val="bottom"/>
          </w:tcPr>
          <w:p>
            <w:pPr>
              <w:ind w:left="100"/>
              <w:spacing w:after="0"/>
              <w:rPr>
                <w:sz w:val="20"/>
                <w:szCs w:val="20"/>
                <w:color w:val="auto"/>
              </w:rPr>
            </w:pPr>
            <w:r>
              <w:rPr>
                <w:rFonts w:ascii="Arial" w:cs="Arial" w:eastAsia="Arial" w:hAnsi="Arial"/>
                <w:sz w:val="13"/>
                <w:szCs w:val="13"/>
                <w:color w:val="auto"/>
              </w:rPr>
              <w:t>and Chief Executive Officer</w:t>
            </w:r>
          </w:p>
        </w:tc>
        <w:tc>
          <w:tcPr>
            <w:tcW w:w="2780" w:type="dxa"/>
            <w:vAlign w:val="bottom"/>
          </w:tcPr>
          <w:p>
            <w:pPr>
              <w:ind w:left="1140"/>
              <w:spacing w:after="0"/>
              <w:rPr>
                <w:sz w:val="20"/>
                <w:szCs w:val="20"/>
                <w:color w:val="auto"/>
              </w:rPr>
            </w:pPr>
            <w:r>
              <w:rPr>
                <w:rFonts w:ascii="Arial" w:cs="Arial" w:eastAsia="Arial" w:hAnsi="Arial"/>
                <w:sz w:val="13"/>
                <w:szCs w:val="13"/>
                <w:color w:val="auto"/>
              </w:rPr>
              <w:t>and Chief Financial Officer</w:t>
            </w:r>
          </w:p>
        </w:tc>
        <w:tc>
          <w:tcPr>
            <w:tcW w:w="6020" w:type="dxa"/>
            <w:vAlign w:val="bottom"/>
          </w:tcPr>
          <w:p>
            <w:pPr>
              <w:ind w:left="2340"/>
              <w:spacing w:after="0"/>
              <w:rPr>
                <w:sz w:val="20"/>
                <w:szCs w:val="20"/>
                <w:color w:val="auto"/>
              </w:rPr>
            </w:pPr>
            <w:r>
              <w:rPr>
                <w:rFonts w:ascii="Arial" w:cs="Arial" w:eastAsia="Arial" w:hAnsi="Arial"/>
                <w:sz w:val="13"/>
                <w:szCs w:val="13"/>
                <w:color w:val="auto"/>
              </w:rPr>
              <w:t>and Comptroller</w:t>
            </w:r>
          </w:p>
        </w:tc>
      </w:tr>
      <w:tr>
        <w:trPr>
          <w:trHeight w:val="279"/>
        </w:trPr>
        <w:tc>
          <w:tcPr>
            <w:tcW w:w="2680" w:type="dxa"/>
            <w:vAlign w:val="bottom"/>
          </w:tcPr>
          <w:p>
            <w:pPr>
              <w:ind w:left="100"/>
              <w:spacing w:after="0"/>
              <w:rPr>
                <w:sz w:val="20"/>
                <w:szCs w:val="20"/>
                <w:color w:val="auto"/>
              </w:rPr>
            </w:pPr>
            <w:r>
              <w:rPr>
                <w:rFonts w:ascii="Arial" w:cs="Arial" w:eastAsia="Arial" w:hAnsi="Arial"/>
                <w:sz w:val="13"/>
                <w:szCs w:val="13"/>
                <w:color w:val="auto"/>
              </w:rPr>
              <w:t>February 26, 2009</w:t>
            </w:r>
          </w:p>
        </w:tc>
        <w:tc>
          <w:tcPr>
            <w:tcW w:w="278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51"/>
        </w:trPr>
        <w:tc>
          <w:tcPr>
            <w:tcW w:w="26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6020" w:type="dxa"/>
            <w:vAlign w:val="bottom"/>
          </w:tcPr>
          <w:p>
            <w:pPr>
              <w:ind w:left="240"/>
              <w:spacing w:after="0"/>
              <w:rPr>
                <w:sz w:val="20"/>
                <w:szCs w:val="20"/>
                <w:color w:val="auto"/>
              </w:rPr>
            </w:pPr>
            <w:r>
              <w:rPr>
                <w:rFonts w:ascii="Arial" w:cs="Arial" w:eastAsia="Arial" w:hAnsi="Arial"/>
                <w:sz w:val="10"/>
                <w:szCs w:val="10"/>
                <w:color w:val="auto"/>
              </w:rPr>
              <w:t>FS-25</w:t>
            </w:r>
          </w:p>
        </w:tc>
      </w:tr>
      <w:tr>
        <w:trPr>
          <w:trHeight w:val="349"/>
        </w:trPr>
        <w:tc>
          <w:tcPr>
            <w:tcW w:w="26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20"/>
          </w:cols>
          <w:pgMar w:left="220" w:top="338" w:right="1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429260</wp:posOffset>
            </wp:positionV>
            <wp:extent cx="7329805" cy="3338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805" cy="3338195"/>
                    </a:xfrm>
                    <a:prstGeom prst="rect">
                      <a:avLst/>
                    </a:prstGeom>
                    <a:noFill/>
                  </pic:spPr>
                </pic:pic>
              </a:graphicData>
            </a:graphic>
          </wp:anchor>
        </w:drawing>
      </w:r>
    </w:p>
    <w:p>
      <w:pPr>
        <w:sectPr>
          <w:pgSz w:w="11900" w:h="16838" w:orient="portrait"/>
          <w:cols w:equalWidth="0" w:num="1">
            <w:col w:w="11520"/>
          </w:cols>
          <w:pgMar w:left="220" w:top="339"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To the Stockholders and the Board of Directors of Chevron Corporation:</w:t>
      </w:r>
    </w:p>
    <w:p>
      <w:pPr>
        <w:spacing w:after="0" w:line="129" w:lineRule="exact"/>
        <w:rPr>
          <w:sz w:val="20"/>
          <w:szCs w:val="20"/>
          <w:color w:val="auto"/>
        </w:rPr>
      </w:pPr>
    </w:p>
    <w:p>
      <w:pPr>
        <w:ind w:left="100"/>
        <w:spacing w:after="0" w:line="294" w:lineRule="auto"/>
        <w:rPr>
          <w:sz w:val="20"/>
          <w:szCs w:val="20"/>
          <w:color w:val="auto"/>
        </w:rPr>
      </w:pPr>
      <w:r>
        <w:rPr>
          <w:rFonts w:ascii="Arial" w:cs="Arial" w:eastAsia="Arial" w:hAnsi="Arial"/>
          <w:sz w:val="11"/>
          <w:szCs w:val="11"/>
          <w:color w:val="auto"/>
        </w:rPr>
        <w:t xml:space="preserve">In our opinion, the accompanying consolidated balance sheets and the related consolidated statements of income, comprehensive income, stockholders’ equity and cash flows present fairly, in all material respects, the financial position of Chevron Corporation and its subsidiaries at December 31, 2008 and December 31,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line="325" w:lineRule="auto"/>
        <w:rPr>
          <w:sz w:val="20"/>
          <w:szCs w:val="20"/>
          <w:color w:val="auto"/>
        </w:rPr>
      </w:pPr>
      <w:r>
        <w:rPr>
          <w:rFonts w:ascii="Arial" w:cs="Arial" w:eastAsia="Arial" w:hAnsi="Arial"/>
          <w:sz w:val="11"/>
          <w:szCs w:val="11"/>
          <w:color w:val="auto"/>
        </w:rPr>
        <w:t>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2" w:lineRule="exact"/>
        <w:rPr>
          <w:sz w:val="20"/>
          <w:szCs w:val="20"/>
          <w:color w:val="auto"/>
        </w:rPr>
      </w:pPr>
    </w:p>
    <w:p>
      <w:pPr>
        <w:ind w:left="360" w:right="20" w:firstLine="153"/>
        <w:spacing w:after="0" w:line="253" w:lineRule="auto"/>
        <w:rPr>
          <w:sz w:val="20"/>
          <w:szCs w:val="20"/>
          <w:color w:val="auto"/>
        </w:rPr>
      </w:pPr>
      <w:r>
        <w:rPr>
          <w:rFonts w:ascii="Arial" w:cs="Arial" w:eastAsia="Arial" w:hAnsi="Arial"/>
          <w:sz w:val="13"/>
          <w:szCs w:val="13"/>
          <w:color w:val="auto"/>
        </w:rPr>
        <w:t>As discussed in Note 14 to the Consolidated Financial Statements, the Company changed its method of accounting for buy/sell contracts on April 1, 2006.</w:t>
      </w:r>
    </w:p>
    <w:p>
      <w:pPr>
        <w:spacing w:after="0" w:line="1" w:lineRule="exact"/>
        <w:rPr>
          <w:sz w:val="20"/>
          <w:szCs w:val="20"/>
          <w:color w:val="auto"/>
        </w:rPr>
      </w:pPr>
    </w:p>
    <w:p>
      <w:pPr>
        <w:ind w:left="360" w:right="20" w:firstLine="153"/>
        <w:spacing w:after="0" w:line="246" w:lineRule="auto"/>
        <w:rPr>
          <w:sz w:val="20"/>
          <w:szCs w:val="20"/>
          <w:color w:val="auto"/>
        </w:rPr>
      </w:pPr>
      <w:r>
        <w:rPr>
          <w:rFonts w:ascii="Arial" w:cs="Arial" w:eastAsia="Arial" w:hAnsi="Arial"/>
          <w:sz w:val="13"/>
          <w:szCs w:val="13"/>
          <w:color w:val="auto"/>
        </w:rPr>
        <w:t>As discussed in Note 16 to the Consolidated Financial Statements, the Company changed its method of accounting for uncertain income tax positions on January 1, 2007.</w:t>
      </w:r>
    </w:p>
    <w:p>
      <w:pPr>
        <w:spacing w:after="0" w:line="1" w:lineRule="exact"/>
        <w:rPr>
          <w:sz w:val="20"/>
          <w:szCs w:val="20"/>
          <w:color w:val="auto"/>
        </w:rPr>
      </w:pPr>
    </w:p>
    <w:p>
      <w:pPr>
        <w:ind w:left="360" w:firstLine="153"/>
        <w:spacing w:after="0" w:line="267"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left="360" w:right="40" w:firstLine="160"/>
        <w:spacing w:after="0" w:line="24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/s/PricewaterhouseCoopers LLP</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San Francisco, California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February 26, 2009</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FS-26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220345</wp:posOffset>
            </wp:positionV>
            <wp:extent cx="729297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600" w:space="100"/>
            <w:col w:w="5820"/>
          </w:cols>
          <w:pgMar w:left="220" w:top="339" w:right="159" w:bottom="1440" w:gutter="0" w:footer="0" w:header="0"/>
          <w:type w:val="continuous"/>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Consolidated Statement of Income</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0"/>
          <w:szCs w:val="10"/>
          <w:color w:val="auto"/>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2416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805"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spacing w:after="0"/>
              <w:rPr>
                <w:sz w:val="10"/>
                <w:szCs w:val="10"/>
                <w:color w:val="auto"/>
              </w:rPr>
            </w:pPr>
          </w:p>
        </w:tc>
        <w:tc>
          <w:tcPr>
            <w:tcW w:w="7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spacing w:after="0"/>
              <w:rPr>
                <w:sz w:val="10"/>
                <w:szCs w:val="10"/>
                <w:color w:val="auto"/>
              </w:rPr>
            </w:pPr>
          </w:p>
        </w:tc>
        <w:tc>
          <w:tcPr>
            <w:tcW w:w="118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Year ended December 31</w:t>
            </w:r>
          </w:p>
        </w:tc>
        <w:tc>
          <w:tcPr>
            <w:tcW w:w="0" w:type="dxa"/>
            <w:vAlign w:val="bottom"/>
          </w:tcPr>
          <w:p>
            <w:pPr>
              <w:spacing w:after="0"/>
              <w:rPr>
                <w:sz w:val="1"/>
                <w:szCs w:val="1"/>
                <w:color w:val="auto"/>
              </w:rPr>
            </w:pPr>
          </w:p>
        </w:tc>
      </w:tr>
      <w:tr>
        <w:trPr>
          <w:trHeight w:val="95"/>
        </w:trPr>
        <w:tc>
          <w:tcPr>
            <w:tcW w:w="4860" w:type="dxa"/>
            <w:vAlign w:val="bottom"/>
            <w:tcBorders>
              <w:bottom w:val="single" w:sz="8" w:color="0077C0"/>
            </w:tcBorders>
          </w:tcPr>
          <w:p>
            <w:pPr>
              <w:spacing w:after="0"/>
              <w:rPr>
                <w:sz w:val="8"/>
                <w:szCs w:val="8"/>
                <w:color w:val="auto"/>
              </w:rPr>
            </w:pPr>
          </w:p>
        </w:tc>
        <w:tc>
          <w:tcPr>
            <w:tcW w:w="2960" w:type="dxa"/>
            <w:vAlign w:val="bottom"/>
            <w:tcBorders>
              <w:bottom w:val="single" w:sz="8" w:color="0077C0"/>
            </w:tcBorders>
          </w:tcPr>
          <w:p>
            <w:pPr>
              <w:spacing w:after="0"/>
              <w:rPr>
                <w:sz w:val="8"/>
                <w:szCs w:val="8"/>
                <w:color w:val="auto"/>
              </w:rPr>
            </w:pPr>
          </w:p>
        </w:tc>
        <w:tc>
          <w:tcPr>
            <w:tcW w:w="20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76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2007</w:t>
            </w:r>
          </w:p>
        </w:tc>
        <w:tc>
          <w:tcPr>
            <w:tcW w:w="680" w:type="dxa"/>
            <w:vAlign w:val="bottom"/>
            <w:tcBorders>
              <w:bottom w:val="single" w:sz="8" w:color="0077C0"/>
            </w:tcBorders>
          </w:tcPr>
          <w:p>
            <w:pPr>
              <w:spacing w:after="0"/>
              <w:rPr>
                <w:sz w:val="8"/>
                <w:szCs w:val="8"/>
                <w:color w:val="auto"/>
              </w:rPr>
            </w:pPr>
          </w:p>
        </w:tc>
        <w:tc>
          <w:tcPr>
            <w:tcW w:w="50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92"/>
        </w:trPr>
        <w:tc>
          <w:tcPr>
            <w:tcW w:w="4860" w:type="dxa"/>
            <w:vAlign w:val="bottom"/>
          </w:tcPr>
          <w:p>
            <w:pPr>
              <w:spacing w:after="0" w:line="92" w:lineRule="exact"/>
              <w:rPr>
                <w:sz w:val="20"/>
                <w:szCs w:val="20"/>
                <w:color w:val="auto"/>
              </w:rPr>
            </w:pPr>
            <w:r>
              <w:rPr>
                <w:rFonts w:ascii="Arial" w:cs="Arial" w:eastAsia="Arial" w:hAnsi="Arial"/>
                <w:sz w:val="10"/>
                <w:szCs w:val="10"/>
                <w:b w:val="1"/>
                <w:bCs w:val="1"/>
                <w:color w:val="0077C0"/>
              </w:rPr>
              <w:t>Revenues and Other Income</w:t>
            </w:r>
          </w:p>
        </w:tc>
        <w:tc>
          <w:tcPr>
            <w:tcW w:w="3160" w:type="dxa"/>
            <w:vAlign w:val="bottom"/>
            <w:gridSpan w:val="2"/>
            <w:vMerge w:val="restart"/>
          </w:tcPr>
          <w:p>
            <w:pPr>
              <w:ind w:left="29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264,958</w:t>
            </w: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860" w:type="dxa"/>
            <w:vAlign w:val="bottom"/>
          </w:tcPr>
          <w:p>
            <w:pPr>
              <w:ind w:left="80"/>
              <w:spacing w:after="0" w:line="104" w:lineRule="exact"/>
              <w:rPr>
                <w:sz w:val="20"/>
                <w:szCs w:val="20"/>
                <w:color w:val="auto"/>
              </w:rPr>
            </w:pPr>
            <w:r>
              <w:rPr>
                <w:rFonts w:ascii="Arial" w:cs="Arial" w:eastAsia="Arial" w:hAnsi="Arial"/>
                <w:sz w:val="10"/>
                <w:szCs w:val="10"/>
                <w:color w:val="auto"/>
              </w:rPr>
              <w:t>Sales and other operating revenues</w:t>
            </w:r>
            <w:r>
              <w:rPr>
                <w:rFonts w:ascii="Arial" w:cs="Arial" w:eastAsia="Arial" w:hAnsi="Arial"/>
                <w:sz w:val="8"/>
                <w:szCs w:val="8"/>
                <w:color w:val="auto"/>
              </w:rPr>
              <w:t>1,2</w:t>
            </w:r>
          </w:p>
        </w:tc>
        <w:tc>
          <w:tcPr>
            <w:tcW w:w="3160" w:type="dxa"/>
            <w:vAlign w:val="bottom"/>
            <w:gridSpan w:val="2"/>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760" w:type="dxa"/>
            <w:vAlign w:val="bottom"/>
          </w:tcPr>
          <w:p>
            <w:pPr>
              <w:ind w:left="560"/>
              <w:spacing w:after="0" w:line="104"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214,091</w:t>
            </w:r>
          </w:p>
        </w:tc>
        <w:tc>
          <w:tcPr>
            <w:tcW w:w="680" w:type="dxa"/>
            <w:vAlign w:val="bottom"/>
          </w:tcPr>
          <w:p>
            <w:pPr>
              <w:ind w:left="480"/>
              <w:spacing w:after="0" w:line="104"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4" w:lineRule="exact"/>
              <w:rPr>
                <w:sz w:val="20"/>
                <w:szCs w:val="20"/>
                <w:color w:val="auto"/>
              </w:rPr>
            </w:pPr>
            <w:r>
              <w:rPr>
                <w:rFonts w:ascii="Arial" w:cs="Arial" w:eastAsia="Arial" w:hAnsi="Arial"/>
                <w:sz w:val="10"/>
                <w:szCs w:val="10"/>
                <w:color w:val="auto"/>
              </w:rPr>
              <w:t>204,892</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Income from equity affiliates</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5,366</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4,144</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4,255</w:t>
            </w:r>
          </w:p>
        </w:tc>
        <w:tc>
          <w:tcPr>
            <w:tcW w:w="0" w:type="dxa"/>
            <w:vAlign w:val="bottom"/>
          </w:tcPr>
          <w:p>
            <w:pPr>
              <w:spacing w:after="0"/>
              <w:rPr>
                <w:sz w:val="1"/>
                <w:szCs w:val="1"/>
                <w:color w:val="auto"/>
              </w:rPr>
            </w:pPr>
          </w:p>
        </w:tc>
      </w:tr>
      <w:tr>
        <w:trPr>
          <w:trHeight w:val="120"/>
        </w:trPr>
        <w:tc>
          <w:tcPr>
            <w:tcW w:w="48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 income</w:t>
            </w:r>
          </w:p>
        </w:tc>
        <w:tc>
          <w:tcPr>
            <w:tcW w:w="296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2,681</w:t>
            </w:r>
          </w:p>
        </w:tc>
        <w:tc>
          <w:tcPr>
            <w:tcW w:w="7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2,669</w:t>
            </w:r>
          </w:p>
        </w:tc>
        <w:tc>
          <w:tcPr>
            <w:tcW w:w="68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971</w:t>
            </w:r>
          </w:p>
        </w:tc>
        <w:tc>
          <w:tcPr>
            <w:tcW w:w="0" w:type="dxa"/>
            <w:vAlign w:val="bottom"/>
          </w:tcPr>
          <w:p>
            <w:pPr>
              <w:spacing w:after="0"/>
              <w:rPr>
                <w:sz w:val="1"/>
                <w:szCs w:val="1"/>
                <w:color w:val="auto"/>
              </w:rPr>
            </w:pPr>
          </w:p>
        </w:tc>
      </w:tr>
      <w:tr>
        <w:trPr>
          <w:trHeight w:val="105"/>
        </w:trPr>
        <w:tc>
          <w:tcPr>
            <w:tcW w:w="4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Revenues and Other Income</w:t>
            </w:r>
          </w:p>
        </w:tc>
        <w:tc>
          <w:tcPr>
            <w:tcW w:w="2960" w:type="dxa"/>
            <w:vAlign w:val="bottom"/>
            <w:tcBorders>
              <w:bottom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273,005</w:t>
            </w:r>
          </w:p>
        </w:tc>
        <w:tc>
          <w:tcPr>
            <w:tcW w:w="7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220,904</w:t>
            </w:r>
          </w:p>
        </w:tc>
        <w:tc>
          <w:tcPr>
            <w:tcW w:w="6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210,118</w:t>
            </w:r>
          </w:p>
        </w:tc>
        <w:tc>
          <w:tcPr>
            <w:tcW w:w="0" w:type="dxa"/>
            <w:vAlign w:val="bottom"/>
          </w:tcPr>
          <w:p>
            <w:pPr>
              <w:spacing w:after="0"/>
              <w:rPr>
                <w:sz w:val="1"/>
                <w:szCs w:val="1"/>
                <w:color w:val="auto"/>
              </w:rPr>
            </w:pPr>
          </w:p>
        </w:tc>
      </w:tr>
      <w:tr>
        <w:trPr>
          <w:trHeight w:val="92"/>
        </w:trPr>
        <w:tc>
          <w:tcPr>
            <w:tcW w:w="4860" w:type="dxa"/>
            <w:vAlign w:val="bottom"/>
          </w:tcPr>
          <w:p>
            <w:pPr>
              <w:spacing w:after="0" w:line="92" w:lineRule="exact"/>
              <w:rPr>
                <w:sz w:val="20"/>
                <w:szCs w:val="20"/>
                <w:color w:val="auto"/>
              </w:rPr>
            </w:pPr>
            <w:r>
              <w:rPr>
                <w:rFonts w:ascii="Arial" w:cs="Arial" w:eastAsia="Arial" w:hAnsi="Arial"/>
                <w:sz w:val="10"/>
                <w:szCs w:val="10"/>
                <w:b w:val="1"/>
                <w:bCs w:val="1"/>
                <w:color w:val="0077C0"/>
              </w:rPr>
              <w:t>Costs and Other Deductions</w:t>
            </w:r>
          </w:p>
        </w:tc>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171,397</w:t>
            </w: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860" w:type="dxa"/>
            <w:vAlign w:val="bottom"/>
          </w:tcPr>
          <w:p>
            <w:pPr>
              <w:ind w:left="80"/>
              <w:spacing w:after="0" w:line="104" w:lineRule="exact"/>
              <w:rPr>
                <w:sz w:val="20"/>
                <w:szCs w:val="20"/>
                <w:color w:val="auto"/>
              </w:rPr>
            </w:pPr>
            <w:r>
              <w:rPr>
                <w:rFonts w:ascii="Arial" w:cs="Arial" w:eastAsia="Arial" w:hAnsi="Arial"/>
                <w:sz w:val="10"/>
                <w:szCs w:val="10"/>
                <w:color w:val="auto"/>
              </w:rPr>
              <w:t>Purchased crude oil and products</w:t>
            </w:r>
            <w:r>
              <w:rPr>
                <w:rFonts w:ascii="Arial" w:cs="Arial" w:eastAsia="Arial" w:hAnsi="Arial"/>
                <w:sz w:val="8"/>
                <w:szCs w:val="8"/>
                <w:color w:val="auto"/>
              </w:rPr>
              <w:t>2</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133,309</w:t>
            </w:r>
          </w:p>
        </w:tc>
        <w:tc>
          <w:tcPr>
            <w:tcW w:w="680" w:type="dxa"/>
            <w:vAlign w:val="bottom"/>
          </w:tcPr>
          <w:p>
            <w:pPr>
              <w:spacing w:after="0"/>
              <w:rPr>
                <w:sz w:val="9"/>
                <w:szCs w:val="9"/>
                <w:color w:val="auto"/>
              </w:rPr>
            </w:pPr>
          </w:p>
        </w:tc>
        <w:tc>
          <w:tcPr>
            <w:tcW w:w="500" w:type="dxa"/>
            <w:vAlign w:val="bottom"/>
          </w:tcPr>
          <w:p>
            <w:pPr>
              <w:jc w:val="right"/>
              <w:spacing w:after="0" w:line="104" w:lineRule="exact"/>
              <w:rPr>
                <w:sz w:val="20"/>
                <w:szCs w:val="20"/>
                <w:color w:val="auto"/>
              </w:rPr>
            </w:pPr>
            <w:r>
              <w:rPr>
                <w:rFonts w:ascii="Arial" w:cs="Arial" w:eastAsia="Arial" w:hAnsi="Arial"/>
                <w:sz w:val="10"/>
                <w:szCs w:val="10"/>
                <w:color w:val="auto"/>
              </w:rPr>
              <w:t>128,151</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Operating expenses</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20,795</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16,932</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14,624</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Selling, general and administrative expenses</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5,756</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5,926</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5,093</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Exploration expenses</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1,169</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1,323</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1,364</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Depreciation, depletion and amortization</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9,528</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8,708</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7,506</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Taxes other than on income</w:t>
            </w:r>
            <w:r>
              <w:rPr>
                <w:rFonts w:ascii="Arial" w:cs="Arial" w:eastAsia="Arial" w:hAnsi="Arial"/>
                <w:sz w:val="8"/>
                <w:szCs w:val="8"/>
                <w:color w:val="auto"/>
              </w:rPr>
              <w:t>1</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21,303</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22,266</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20,883</w:t>
            </w:r>
          </w:p>
        </w:tc>
        <w:tc>
          <w:tcPr>
            <w:tcW w:w="0" w:type="dxa"/>
            <w:vAlign w:val="bottom"/>
          </w:tcPr>
          <w:p>
            <w:pPr>
              <w:spacing w:after="0"/>
              <w:rPr>
                <w:sz w:val="1"/>
                <w:szCs w:val="1"/>
                <w:color w:val="auto"/>
              </w:rPr>
            </w:pPr>
          </w:p>
        </w:tc>
      </w:tr>
      <w:tr>
        <w:trPr>
          <w:trHeight w:val="106"/>
        </w:trPr>
        <w:tc>
          <w:tcPr>
            <w:tcW w:w="4860" w:type="dxa"/>
            <w:vAlign w:val="bottom"/>
          </w:tcPr>
          <w:p>
            <w:pPr>
              <w:ind w:left="80"/>
              <w:spacing w:after="0" w:line="106" w:lineRule="exact"/>
              <w:rPr>
                <w:sz w:val="20"/>
                <w:szCs w:val="20"/>
                <w:color w:val="auto"/>
              </w:rPr>
            </w:pPr>
            <w:r>
              <w:rPr>
                <w:rFonts w:ascii="Arial" w:cs="Arial" w:eastAsia="Arial" w:hAnsi="Arial"/>
                <w:sz w:val="10"/>
                <w:szCs w:val="10"/>
                <w:color w:val="auto"/>
              </w:rPr>
              <w:t>Interest and debt expense</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760" w:type="dxa"/>
            <w:vAlign w:val="bottom"/>
          </w:tcPr>
          <w:p>
            <w:pPr>
              <w:spacing w:after="0"/>
              <w:rPr>
                <w:sz w:val="9"/>
                <w:szCs w:val="9"/>
                <w:color w:val="auto"/>
              </w:rPr>
            </w:pP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166</w:t>
            </w:r>
          </w:p>
        </w:tc>
        <w:tc>
          <w:tcPr>
            <w:tcW w:w="6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451</w:t>
            </w:r>
          </w:p>
        </w:tc>
        <w:tc>
          <w:tcPr>
            <w:tcW w:w="0" w:type="dxa"/>
            <w:vAlign w:val="bottom"/>
          </w:tcPr>
          <w:p>
            <w:pPr>
              <w:spacing w:after="0"/>
              <w:rPr>
                <w:sz w:val="1"/>
                <w:szCs w:val="1"/>
                <w:color w:val="auto"/>
              </w:rPr>
            </w:pPr>
          </w:p>
        </w:tc>
      </w:tr>
      <w:tr>
        <w:trPr>
          <w:trHeight w:val="120"/>
        </w:trPr>
        <w:tc>
          <w:tcPr>
            <w:tcW w:w="48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Minority interests</w:t>
            </w:r>
          </w:p>
        </w:tc>
        <w:tc>
          <w:tcPr>
            <w:tcW w:w="296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100</w:t>
            </w:r>
          </w:p>
        </w:tc>
        <w:tc>
          <w:tcPr>
            <w:tcW w:w="7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107</w:t>
            </w:r>
          </w:p>
        </w:tc>
        <w:tc>
          <w:tcPr>
            <w:tcW w:w="68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5"/>
        </w:trPr>
        <w:tc>
          <w:tcPr>
            <w:tcW w:w="4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Costs and Other Deductions</w:t>
            </w:r>
          </w:p>
        </w:tc>
        <w:tc>
          <w:tcPr>
            <w:tcW w:w="2960" w:type="dxa"/>
            <w:vAlign w:val="bottom"/>
            <w:tcBorders>
              <w:bottom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230,048</w:t>
            </w:r>
          </w:p>
        </w:tc>
        <w:tc>
          <w:tcPr>
            <w:tcW w:w="7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188,737</w:t>
            </w:r>
          </w:p>
        </w:tc>
        <w:tc>
          <w:tcPr>
            <w:tcW w:w="6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178,142</w:t>
            </w:r>
          </w:p>
        </w:tc>
        <w:tc>
          <w:tcPr>
            <w:tcW w:w="0" w:type="dxa"/>
            <w:vAlign w:val="bottom"/>
          </w:tcPr>
          <w:p>
            <w:pPr>
              <w:spacing w:after="0"/>
              <w:rPr>
                <w:sz w:val="1"/>
                <w:szCs w:val="1"/>
                <w:color w:val="auto"/>
              </w:rPr>
            </w:pPr>
          </w:p>
        </w:tc>
      </w:tr>
      <w:tr>
        <w:trPr>
          <w:trHeight w:val="90"/>
        </w:trPr>
        <w:tc>
          <w:tcPr>
            <w:tcW w:w="4860" w:type="dxa"/>
            <w:vAlign w:val="bottom"/>
          </w:tcPr>
          <w:p>
            <w:pPr>
              <w:spacing w:after="0" w:line="91" w:lineRule="exact"/>
              <w:rPr>
                <w:sz w:val="20"/>
                <w:szCs w:val="20"/>
                <w:color w:val="auto"/>
              </w:rPr>
            </w:pPr>
            <w:r>
              <w:rPr>
                <w:rFonts w:ascii="Arial" w:cs="Arial" w:eastAsia="Arial" w:hAnsi="Arial"/>
                <w:sz w:val="10"/>
                <w:szCs w:val="10"/>
                <w:b w:val="1"/>
                <w:bCs w:val="1"/>
                <w:color w:val="0077C0"/>
              </w:rPr>
              <w:t>Income Before Income Tax Expense</w:t>
            </w:r>
          </w:p>
        </w:tc>
        <w:tc>
          <w:tcPr>
            <w:tcW w:w="2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42,957</w:t>
            </w:r>
          </w:p>
        </w:tc>
        <w:tc>
          <w:tcPr>
            <w:tcW w:w="760" w:type="dxa"/>
            <w:vAlign w:val="bottom"/>
          </w:tcPr>
          <w:p>
            <w:pPr>
              <w:spacing w:after="0"/>
              <w:rPr>
                <w:sz w:val="7"/>
                <w:szCs w:val="7"/>
                <w:color w:val="auto"/>
              </w:rPr>
            </w:pPr>
          </w:p>
        </w:tc>
        <w:tc>
          <w:tcPr>
            <w:tcW w:w="700" w:type="dxa"/>
            <w:vAlign w:val="bottom"/>
          </w:tcPr>
          <w:p>
            <w:pPr>
              <w:jc w:val="right"/>
              <w:ind w:right="169"/>
              <w:spacing w:after="0" w:line="91" w:lineRule="exact"/>
              <w:rPr>
                <w:sz w:val="20"/>
                <w:szCs w:val="20"/>
                <w:color w:val="auto"/>
              </w:rPr>
            </w:pPr>
            <w:r>
              <w:rPr>
                <w:rFonts w:ascii="Arial" w:cs="Arial" w:eastAsia="Arial" w:hAnsi="Arial"/>
                <w:sz w:val="10"/>
                <w:szCs w:val="10"/>
                <w:color w:val="auto"/>
              </w:rPr>
              <w:t>32,167</w:t>
            </w:r>
          </w:p>
        </w:tc>
        <w:tc>
          <w:tcPr>
            <w:tcW w:w="680" w:type="dxa"/>
            <w:vAlign w:val="bottom"/>
          </w:tcPr>
          <w:p>
            <w:pPr>
              <w:spacing w:after="0"/>
              <w:rPr>
                <w:sz w:val="7"/>
                <w:szCs w:val="7"/>
                <w:color w:val="auto"/>
              </w:rPr>
            </w:pPr>
          </w:p>
        </w:tc>
        <w:tc>
          <w:tcPr>
            <w:tcW w:w="500" w:type="dxa"/>
            <w:vAlign w:val="bottom"/>
          </w:tcPr>
          <w:p>
            <w:pPr>
              <w:jc w:val="right"/>
              <w:spacing w:after="0" w:line="91" w:lineRule="exact"/>
              <w:rPr>
                <w:sz w:val="20"/>
                <w:szCs w:val="20"/>
                <w:color w:val="auto"/>
              </w:rPr>
            </w:pPr>
            <w:r>
              <w:rPr>
                <w:rFonts w:ascii="Arial" w:cs="Arial" w:eastAsia="Arial" w:hAnsi="Arial"/>
                <w:sz w:val="10"/>
                <w:szCs w:val="10"/>
                <w:color w:val="auto"/>
              </w:rPr>
              <w:t>31,976</w:t>
            </w:r>
          </w:p>
        </w:tc>
        <w:tc>
          <w:tcPr>
            <w:tcW w:w="0" w:type="dxa"/>
            <w:vAlign w:val="bottom"/>
          </w:tcPr>
          <w:p>
            <w:pPr>
              <w:spacing w:after="0"/>
              <w:rPr>
                <w:sz w:val="1"/>
                <w:szCs w:val="1"/>
                <w:color w:val="auto"/>
              </w:rPr>
            </w:pPr>
          </w:p>
        </w:tc>
      </w:tr>
      <w:tr>
        <w:trPr>
          <w:trHeight w:val="129"/>
        </w:trPr>
        <w:tc>
          <w:tcPr>
            <w:tcW w:w="486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Income Tax Expense</w:t>
            </w:r>
          </w:p>
        </w:tc>
        <w:tc>
          <w:tcPr>
            <w:tcW w:w="2960" w:type="dxa"/>
            <w:vAlign w:val="bottom"/>
            <w:tcBorders>
              <w:bottom w:val="single" w:sz="8" w:color="0077C0"/>
            </w:tcBorders>
          </w:tcPr>
          <w:p>
            <w:pPr>
              <w:spacing w:after="0"/>
              <w:rPr>
                <w:sz w:val="11"/>
                <w:szCs w:val="11"/>
                <w:color w:val="auto"/>
              </w:rPr>
            </w:pPr>
          </w:p>
        </w:tc>
        <w:tc>
          <w:tcPr>
            <w:tcW w:w="200" w:type="dxa"/>
            <w:vAlign w:val="bottom"/>
            <w:tcBorders>
              <w:bottom w:val="single" w:sz="8" w:color="0077C0"/>
            </w:tcBorders>
          </w:tcPr>
          <w:p>
            <w:pPr>
              <w:spacing w:after="0"/>
              <w:rPr>
                <w:sz w:val="11"/>
                <w:szCs w:val="11"/>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19,026</w:t>
            </w:r>
          </w:p>
        </w:tc>
        <w:tc>
          <w:tcPr>
            <w:tcW w:w="760" w:type="dxa"/>
            <w:vAlign w:val="bottom"/>
            <w:tcBorders>
              <w:bottom w:val="single" w:sz="8" w:color="0077C0"/>
            </w:tcBorders>
          </w:tcPr>
          <w:p>
            <w:pPr>
              <w:spacing w:after="0"/>
              <w:rPr>
                <w:sz w:val="11"/>
                <w:szCs w:val="11"/>
                <w:color w:val="auto"/>
              </w:rPr>
            </w:pP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13,479</w:t>
            </w:r>
          </w:p>
        </w:tc>
        <w:tc>
          <w:tcPr>
            <w:tcW w:w="68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14,838</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Net Income</w:t>
            </w:r>
          </w:p>
        </w:tc>
        <w:tc>
          <w:tcPr>
            <w:tcW w:w="3160" w:type="dxa"/>
            <w:vAlign w:val="bottom"/>
            <w:tcBorders>
              <w:bottom w:val="single" w:sz="8" w:color="0077C0"/>
            </w:tcBorders>
            <w:gridSpan w:val="2"/>
          </w:tcPr>
          <w:p>
            <w:pPr>
              <w:ind w:left="29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23,931</w:t>
            </w:r>
          </w:p>
        </w:tc>
        <w:tc>
          <w:tcPr>
            <w:tcW w:w="760" w:type="dxa"/>
            <w:vAlign w:val="bottom"/>
            <w:tcBorders>
              <w:bottom w:val="single" w:sz="8" w:color="0077C0"/>
            </w:tcBorders>
          </w:tcPr>
          <w:p>
            <w:pPr>
              <w:ind w:left="56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18,688</w:t>
            </w:r>
          </w:p>
        </w:tc>
        <w:tc>
          <w:tcPr>
            <w:tcW w:w="680" w:type="dxa"/>
            <w:vAlign w:val="bottom"/>
            <w:tcBorders>
              <w:bottom w:val="single" w:sz="8" w:color="0077C0"/>
            </w:tcBorders>
          </w:tcPr>
          <w:p>
            <w:pPr>
              <w:ind w:left="4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17,138</w:t>
            </w:r>
          </w:p>
        </w:tc>
        <w:tc>
          <w:tcPr>
            <w:tcW w:w="0" w:type="dxa"/>
            <w:vAlign w:val="bottom"/>
          </w:tcPr>
          <w:p>
            <w:pPr>
              <w:spacing w:after="0"/>
              <w:rPr>
                <w:sz w:val="1"/>
                <w:szCs w:val="1"/>
                <w:color w:val="auto"/>
              </w:rPr>
            </w:pPr>
          </w:p>
        </w:tc>
      </w:tr>
      <w:tr>
        <w:trPr>
          <w:trHeight w:val="101"/>
        </w:trPr>
        <w:tc>
          <w:tcPr>
            <w:tcW w:w="4860" w:type="dxa"/>
            <w:vAlign w:val="bottom"/>
          </w:tcPr>
          <w:p>
            <w:pPr>
              <w:spacing w:after="0" w:line="101" w:lineRule="exact"/>
              <w:rPr>
                <w:sz w:val="20"/>
                <w:szCs w:val="20"/>
                <w:color w:val="auto"/>
              </w:rPr>
            </w:pPr>
            <w:r>
              <w:rPr>
                <w:rFonts w:ascii="Arial" w:cs="Arial" w:eastAsia="Arial" w:hAnsi="Arial"/>
                <w:sz w:val="10"/>
                <w:szCs w:val="10"/>
                <w:b w:val="1"/>
                <w:bCs w:val="1"/>
                <w:color w:val="0077C0"/>
              </w:rPr>
              <w:t>Per-Share of Common Stock</w:t>
            </w:r>
          </w:p>
        </w:tc>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right w:val="single" w:sz="8" w:color="0077C0"/>
            </w:tcBorders>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860" w:type="dxa"/>
            <w:vAlign w:val="bottom"/>
          </w:tcPr>
          <w:p>
            <w:pPr>
              <w:ind w:left="180"/>
              <w:spacing w:after="0" w:line="106" w:lineRule="exact"/>
              <w:rPr>
                <w:sz w:val="20"/>
                <w:szCs w:val="20"/>
                <w:color w:val="auto"/>
              </w:rPr>
            </w:pPr>
            <w:r>
              <w:rPr>
                <w:rFonts w:ascii="Arial" w:cs="Arial" w:eastAsia="Arial" w:hAnsi="Arial"/>
                <w:sz w:val="10"/>
                <w:szCs w:val="10"/>
                <w:b w:val="1"/>
                <w:bCs w:val="1"/>
                <w:color w:val="0077C0"/>
              </w:rPr>
              <w:t>Net Income</w:t>
            </w: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860" w:type="dxa"/>
            <w:vAlign w:val="bottom"/>
          </w:tcPr>
          <w:p>
            <w:pPr>
              <w:ind w:left="180"/>
              <w:spacing w:after="0" w:line="106" w:lineRule="exact"/>
              <w:rPr>
                <w:sz w:val="20"/>
                <w:szCs w:val="20"/>
                <w:color w:val="auto"/>
              </w:rPr>
            </w:pPr>
            <w:r>
              <w:rPr>
                <w:rFonts w:ascii="Arial" w:cs="Arial" w:eastAsia="Arial" w:hAnsi="Arial"/>
                <w:sz w:val="10"/>
                <w:szCs w:val="10"/>
                <w:b w:val="1"/>
                <w:bCs w:val="1"/>
                <w:color w:val="0077C0"/>
              </w:rPr>
              <w:t>– Basic</w:t>
            </w:r>
          </w:p>
        </w:tc>
        <w:tc>
          <w:tcPr>
            <w:tcW w:w="3160" w:type="dxa"/>
            <w:vAlign w:val="bottom"/>
            <w:gridSpan w:val="2"/>
          </w:tcPr>
          <w:p>
            <w:pPr>
              <w:ind w:left="296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11.74</w:t>
            </w:r>
          </w:p>
        </w:tc>
        <w:tc>
          <w:tcPr>
            <w:tcW w:w="760" w:type="dxa"/>
            <w:vAlign w:val="bottom"/>
          </w:tcPr>
          <w:p>
            <w:pPr>
              <w:ind w:left="56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8.83</w:t>
            </w:r>
          </w:p>
        </w:tc>
        <w:tc>
          <w:tcPr>
            <w:tcW w:w="680" w:type="dxa"/>
            <w:vAlign w:val="bottom"/>
          </w:tcPr>
          <w:p>
            <w:pPr>
              <w:ind w:left="48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7.84</w:t>
            </w:r>
          </w:p>
        </w:tc>
        <w:tc>
          <w:tcPr>
            <w:tcW w:w="0" w:type="dxa"/>
            <w:vAlign w:val="bottom"/>
          </w:tcPr>
          <w:p>
            <w:pPr>
              <w:spacing w:after="0"/>
              <w:rPr>
                <w:sz w:val="1"/>
                <w:szCs w:val="1"/>
                <w:color w:val="auto"/>
              </w:rPr>
            </w:pPr>
          </w:p>
        </w:tc>
      </w:tr>
      <w:tr>
        <w:trPr>
          <w:trHeight w:val="129"/>
        </w:trPr>
        <w:tc>
          <w:tcPr>
            <w:tcW w:w="4860" w:type="dxa"/>
            <w:vAlign w:val="bottom"/>
            <w:tcBorders>
              <w:bottom w:val="single" w:sz="8" w:color="0077C0"/>
            </w:tcBorders>
          </w:tcPr>
          <w:p>
            <w:pPr>
              <w:ind w:left="180"/>
              <w:spacing w:after="0"/>
              <w:rPr>
                <w:sz w:val="20"/>
                <w:szCs w:val="20"/>
                <w:color w:val="auto"/>
              </w:rPr>
            </w:pPr>
            <w:r>
              <w:rPr>
                <w:rFonts w:ascii="Arial" w:cs="Arial" w:eastAsia="Arial" w:hAnsi="Arial"/>
                <w:sz w:val="10"/>
                <w:szCs w:val="10"/>
                <w:b w:val="1"/>
                <w:bCs w:val="1"/>
                <w:color w:val="0077C0"/>
              </w:rPr>
              <w:t>– Diluted</w:t>
            </w:r>
          </w:p>
        </w:tc>
        <w:tc>
          <w:tcPr>
            <w:tcW w:w="3160" w:type="dxa"/>
            <w:vAlign w:val="bottom"/>
            <w:tcBorders>
              <w:bottom w:val="single" w:sz="8" w:color="0077C0"/>
            </w:tcBorders>
            <w:gridSpan w:val="2"/>
          </w:tcPr>
          <w:p>
            <w:pPr>
              <w:ind w:left="29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11.67</w:t>
            </w:r>
          </w:p>
        </w:tc>
        <w:tc>
          <w:tcPr>
            <w:tcW w:w="760" w:type="dxa"/>
            <w:vAlign w:val="bottom"/>
            <w:tcBorders>
              <w:bottom w:val="single" w:sz="8" w:color="0077C0"/>
            </w:tcBorders>
          </w:tcPr>
          <w:p>
            <w:pPr>
              <w:ind w:left="56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8.77</w:t>
            </w:r>
          </w:p>
        </w:tc>
        <w:tc>
          <w:tcPr>
            <w:tcW w:w="680" w:type="dxa"/>
            <w:vAlign w:val="bottom"/>
            <w:tcBorders>
              <w:bottom w:val="single" w:sz="8" w:color="0077C0"/>
            </w:tcBorders>
          </w:tcPr>
          <w:p>
            <w:pPr>
              <w:ind w:left="4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51"/>
        </w:trPr>
        <w:tc>
          <w:tcPr>
            <w:tcW w:w="4860" w:type="dxa"/>
            <w:vAlign w:val="bottom"/>
          </w:tcPr>
          <w:p>
            <w:pPr>
              <w:spacing w:after="0"/>
              <w:rPr>
                <w:sz w:val="20"/>
                <w:szCs w:val="20"/>
                <w:color w:val="auto"/>
              </w:rPr>
            </w:pPr>
            <w:r>
              <w:rPr>
                <w:rFonts w:ascii="Arial" w:cs="Arial" w:eastAsia="Arial" w:hAnsi="Arial"/>
                <w:sz w:val="8"/>
                <w:szCs w:val="8"/>
                <w:color w:val="auto"/>
              </w:rPr>
              <w:t>1 Includes excise, value-added and similar taxes.</w:t>
            </w:r>
          </w:p>
        </w:tc>
        <w:tc>
          <w:tcPr>
            <w:tcW w:w="3160" w:type="dxa"/>
            <w:vAlign w:val="bottom"/>
            <w:gridSpan w:val="2"/>
          </w:tcPr>
          <w:p>
            <w:pPr>
              <w:ind w:left="2960"/>
              <w:spacing w:after="0"/>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69"/>
              <w:spacing w:after="0"/>
              <w:rPr>
                <w:sz w:val="20"/>
                <w:szCs w:val="20"/>
                <w:color w:val="auto"/>
              </w:rPr>
            </w:pPr>
            <w:r>
              <w:rPr>
                <w:rFonts w:ascii="Arial" w:cs="Arial" w:eastAsia="Arial" w:hAnsi="Arial"/>
                <w:sz w:val="9"/>
                <w:szCs w:val="9"/>
                <w:b w:val="1"/>
                <w:bCs w:val="1"/>
                <w:color w:val="auto"/>
              </w:rPr>
              <w:t>9,846</w:t>
            </w:r>
          </w:p>
        </w:tc>
        <w:tc>
          <w:tcPr>
            <w:tcW w:w="760" w:type="dxa"/>
            <w:vAlign w:val="bottom"/>
          </w:tcPr>
          <w:p>
            <w:pPr>
              <w:ind w:left="56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69"/>
              <w:spacing w:after="0"/>
              <w:rPr>
                <w:sz w:val="20"/>
                <w:szCs w:val="20"/>
                <w:color w:val="auto"/>
              </w:rPr>
            </w:pPr>
            <w:r>
              <w:rPr>
                <w:rFonts w:ascii="Arial" w:cs="Arial" w:eastAsia="Arial" w:hAnsi="Arial"/>
                <w:sz w:val="9"/>
                <w:szCs w:val="9"/>
                <w:color w:val="auto"/>
              </w:rPr>
              <w:t>10,121</w:t>
            </w:r>
          </w:p>
        </w:tc>
        <w:tc>
          <w:tcPr>
            <w:tcW w:w="680" w:type="dxa"/>
            <w:vAlign w:val="bottom"/>
          </w:tcPr>
          <w:p>
            <w:pPr>
              <w:ind w:left="48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9,551</w:t>
            </w:r>
          </w:p>
        </w:tc>
        <w:tc>
          <w:tcPr>
            <w:tcW w:w="0" w:type="dxa"/>
            <w:vAlign w:val="bottom"/>
          </w:tcPr>
          <w:p>
            <w:pPr>
              <w:spacing w:after="0"/>
              <w:rPr>
                <w:sz w:val="1"/>
                <w:szCs w:val="1"/>
                <w:color w:val="auto"/>
              </w:rPr>
            </w:pPr>
          </w:p>
        </w:tc>
      </w:tr>
    </w:tbl>
    <w:p>
      <w:pPr>
        <w:ind w:left="160" w:hanging="67"/>
        <w:spacing w:after="0" w:line="222" w:lineRule="auto"/>
        <w:tabs>
          <w:tab w:leader="none" w:pos="160" w:val="left"/>
        </w:tabs>
        <w:numPr>
          <w:ilvl w:val="0"/>
          <w:numId w:val="43"/>
        </w:numPr>
        <w:rPr>
          <w:rFonts w:ascii="Arial" w:cs="Arial" w:eastAsia="Arial" w:hAnsi="Arial"/>
          <w:sz w:val="8"/>
          <w:szCs w:val="8"/>
          <w:color w:val="auto"/>
        </w:rPr>
      </w:pPr>
      <w:r>
        <w:rPr>
          <w:rFonts w:ascii="Arial" w:cs="Arial" w:eastAsia="Arial" w:hAnsi="Arial"/>
          <w:sz w:val="9"/>
          <w:szCs w:val="9"/>
          <w:color w:val="auto"/>
        </w:rPr>
        <w:t>Includes amounts in revenues for buy/sell contracts; associated costs are in “Purchased crude oil and products.”</w:t>
      </w:r>
    </w:p>
    <w:p>
      <w:pPr>
        <w:ind w:left="180"/>
        <w:spacing w:after="0"/>
        <w:tabs>
          <w:tab w:leader="none" w:pos="7900" w:val="left"/>
          <w:tab w:leader="none" w:pos="8540" w:val="left"/>
          <w:tab w:leader="none" w:pos="9360" w:val="left"/>
          <w:tab w:leader="none" w:pos="10000" w:val="left"/>
          <w:tab w:leader="none" w:pos="10740" w:val="left"/>
          <w:tab w:leader="none" w:pos="11240" w:val="left"/>
        </w:tabs>
        <w:rPr>
          <w:sz w:val="20"/>
          <w:szCs w:val="20"/>
          <w:color w:val="auto"/>
        </w:rPr>
      </w:pPr>
      <w:r>
        <w:rPr>
          <w:rFonts w:ascii="Arial" w:cs="Arial" w:eastAsia="Arial" w:hAnsi="Arial"/>
          <w:sz w:val="9"/>
          <w:szCs w:val="9"/>
          <w:color w:val="auto"/>
        </w:rPr>
        <w:t>Refer also to Note 14, on page FS-43.</w:t>
      </w:r>
      <w:r>
        <w:rPr>
          <w:sz w:val="20"/>
          <w:szCs w:val="20"/>
          <w:color w:val="auto"/>
        </w:rPr>
        <w:tab/>
      </w:r>
      <w:r>
        <w:rPr>
          <w:rFonts w:ascii="Arial" w:cs="Arial" w:eastAsia="Arial" w:hAnsi="Arial"/>
          <w:sz w:val="9"/>
          <w:szCs w:val="9"/>
          <w:b w:val="1"/>
          <w:bCs w:val="1"/>
          <w:color w:val="auto"/>
        </w:rPr>
        <w:t>$</w:t>
      </w:r>
      <w:r>
        <w:rPr>
          <w:sz w:val="20"/>
          <w:szCs w:val="20"/>
          <w:color w:val="auto"/>
        </w:rPr>
        <w:tab/>
      </w:r>
      <w:r>
        <w:rPr>
          <w:rFonts w:ascii="Arial" w:cs="Arial" w:eastAsia="Arial" w:hAnsi="Arial"/>
          <w:sz w:val="9"/>
          <w:szCs w:val="9"/>
          <w:b w:val="1"/>
          <w:bCs w:val="1"/>
          <w:color w:val="auto"/>
        </w:rPr>
        <w:t>–</w:t>
      </w:r>
      <w:r>
        <w:rPr>
          <w:sz w:val="20"/>
          <w:szCs w:val="20"/>
          <w:color w:val="auto"/>
        </w:rPr>
        <w:tab/>
      </w:r>
      <w:r>
        <w:rPr>
          <w:rFonts w:ascii="Arial" w:cs="Arial" w:eastAsia="Arial" w:hAnsi="Arial"/>
          <w:sz w:val="9"/>
          <w:szCs w:val="9"/>
          <w:color w:val="auto"/>
        </w:rPr>
        <w:t>$</w:t>
      </w:r>
      <w:r>
        <w:rPr>
          <w:sz w:val="20"/>
          <w:szCs w:val="20"/>
          <w:color w:val="auto"/>
        </w:rPr>
        <w:tab/>
      </w:r>
      <w:r>
        <w:rPr>
          <w:rFonts w:ascii="Arial" w:cs="Arial" w:eastAsia="Arial" w:hAnsi="Arial"/>
          <w:sz w:val="9"/>
          <w:szCs w:val="9"/>
          <w:color w:val="auto"/>
        </w:rPr>
        <w:t>–</w:t>
      </w:r>
      <w:r>
        <w:rPr>
          <w:sz w:val="20"/>
          <w:szCs w:val="20"/>
          <w:color w:val="auto"/>
        </w:rPr>
        <w:tab/>
      </w:r>
      <w:r>
        <w:rPr>
          <w:rFonts w:ascii="Arial" w:cs="Arial" w:eastAsia="Arial" w:hAnsi="Arial"/>
          <w:sz w:val="9"/>
          <w:szCs w:val="9"/>
          <w:color w:val="auto"/>
        </w:rPr>
        <w:t>$</w:t>
      </w:r>
      <w:r>
        <w:rPr>
          <w:sz w:val="20"/>
          <w:szCs w:val="20"/>
          <w:color w:val="auto"/>
        </w:rPr>
        <w:tab/>
      </w:r>
      <w:r>
        <w:rPr>
          <w:rFonts w:ascii="Arial" w:cs="Arial" w:eastAsia="Arial" w:hAnsi="Arial"/>
          <w:sz w:val="7"/>
          <w:szCs w:val="7"/>
          <w:color w:val="auto"/>
        </w:rPr>
        <w:t>6,725</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FS-27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29297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2440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805" cy="244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0"/>
                <w:szCs w:val="10"/>
                <w:color w:val="auto"/>
                <w:w w:val="99"/>
              </w:rPr>
              <w:t>Year ended December 31</w:t>
            </w:r>
          </w:p>
        </w:tc>
        <w:tc>
          <w:tcPr>
            <w:tcW w:w="0" w:type="dxa"/>
            <w:vAlign w:val="bottom"/>
          </w:tcPr>
          <w:p>
            <w:pPr>
              <w:spacing w:after="0"/>
              <w:rPr>
                <w:sz w:val="1"/>
                <w:szCs w:val="1"/>
                <w:color w:val="auto"/>
              </w:rPr>
            </w:pPr>
          </w:p>
        </w:tc>
      </w:tr>
      <w:tr>
        <w:trPr>
          <w:trHeight w:val="95"/>
        </w:trPr>
        <w:tc>
          <w:tcPr>
            <w:tcW w:w="5300" w:type="dxa"/>
            <w:vAlign w:val="bottom"/>
            <w:tcBorders>
              <w:bottom w:val="single" w:sz="8" w:color="0077C0"/>
            </w:tcBorders>
          </w:tcPr>
          <w:p>
            <w:pPr>
              <w:spacing w:after="0"/>
              <w:rPr>
                <w:sz w:val="8"/>
                <w:szCs w:val="8"/>
                <w:color w:val="auto"/>
              </w:rPr>
            </w:pPr>
          </w:p>
        </w:tc>
        <w:tc>
          <w:tcPr>
            <w:tcW w:w="2880" w:type="dxa"/>
            <w:vAlign w:val="bottom"/>
            <w:tcBorders>
              <w:bottom w:val="single" w:sz="8" w:color="0077C0"/>
            </w:tcBorders>
          </w:tcPr>
          <w:p>
            <w:pPr>
              <w:spacing w:after="0"/>
              <w:rPr>
                <w:sz w:val="8"/>
                <w:szCs w:val="8"/>
                <w:color w:val="auto"/>
              </w:rPr>
            </w:pPr>
          </w:p>
        </w:tc>
        <w:tc>
          <w:tcPr>
            <w:tcW w:w="220" w:type="dxa"/>
            <w:vAlign w:val="bottom"/>
            <w:tcBorders>
              <w:top w:val="single" w:sz="8" w:color="0077C0"/>
              <w:bottom w:val="single" w:sz="8" w:color="0077C0"/>
            </w:tcBorders>
          </w:tcPr>
          <w:p>
            <w:pPr>
              <w:spacing w:after="0"/>
              <w:rPr>
                <w:sz w:val="8"/>
                <w:szCs w:val="8"/>
                <w:color w:val="auto"/>
              </w:rPr>
            </w:pPr>
          </w:p>
        </w:tc>
        <w:tc>
          <w:tcPr>
            <w:tcW w:w="68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440" w:type="dxa"/>
            <w:vAlign w:val="bottom"/>
            <w:tcBorders>
              <w:top w:val="single" w:sz="8" w:color="0077C0"/>
              <w:bottom w:val="single" w:sz="8" w:color="0077C0"/>
            </w:tcBorders>
          </w:tcPr>
          <w:p>
            <w:pPr>
              <w:spacing w:after="0"/>
              <w:rPr>
                <w:sz w:val="8"/>
                <w:szCs w:val="8"/>
                <w:color w:val="auto"/>
              </w:rPr>
            </w:pPr>
          </w:p>
        </w:tc>
        <w:tc>
          <w:tcPr>
            <w:tcW w:w="68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2007</w:t>
            </w:r>
          </w:p>
        </w:tc>
        <w:tc>
          <w:tcPr>
            <w:tcW w:w="70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3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Income</w:t>
            </w:r>
          </w:p>
        </w:tc>
        <w:tc>
          <w:tcPr>
            <w:tcW w:w="3100" w:type="dxa"/>
            <w:vAlign w:val="bottom"/>
            <w:tcBorders>
              <w:bottom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23,931</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18,688</w:t>
            </w:r>
          </w:p>
        </w:tc>
        <w:tc>
          <w:tcPr>
            <w:tcW w:w="70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17,138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300" w:type="dxa"/>
            <w:vAlign w:val="bottom"/>
          </w:tcPr>
          <w:p>
            <w:pPr>
              <w:spacing w:after="0" w:line="92" w:lineRule="exact"/>
              <w:rPr>
                <w:sz w:val="20"/>
                <w:szCs w:val="20"/>
                <w:color w:val="auto"/>
              </w:rPr>
            </w:pPr>
            <w:r>
              <w:rPr>
                <w:rFonts w:ascii="Arial" w:cs="Arial" w:eastAsia="Arial" w:hAnsi="Arial"/>
                <w:sz w:val="10"/>
                <w:szCs w:val="10"/>
                <w:color w:val="auto"/>
              </w:rPr>
              <w:t>Currency translation adjustment</w:t>
            </w: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right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(112)</w:t>
            </w: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300" w:type="dxa"/>
            <w:vAlign w:val="bottom"/>
          </w:tcPr>
          <w:p>
            <w:pPr>
              <w:ind w:left="80"/>
              <w:spacing w:after="0"/>
              <w:rPr>
                <w:sz w:val="20"/>
                <w:szCs w:val="20"/>
                <w:color w:val="auto"/>
              </w:rPr>
            </w:pPr>
            <w:r>
              <w:rPr>
                <w:rFonts w:ascii="Arial" w:cs="Arial" w:eastAsia="Arial" w:hAnsi="Arial"/>
                <w:sz w:val="10"/>
                <w:szCs w:val="10"/>
                <w:color w:val="auto"/>
              </w:rPr>
              <w:t>Unrealized net change arising during period</w:t>
            </w: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right w:val="single" w:sz="8" w:color="0077C0"/>
            </w:tcBorders>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31</w:t>
            </w:r>
          </w:p>
        </w:tc>
        <w:tc>
          <w:tcPr>
            <w:tcW w:w="70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3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Unrealized holding (loss) gain on securities</w:t>
            </w:r>
          </w:p>
        </w:tc>
        <w:tc>
          <w:tcPr>
            <w:tcW w:w="28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680" w:type="dxa"/>
            <w:vAlign w:val="bottom"/>
            <w:tcBorders>
              <w:top w:val="single" w:sz="8" w:color="0077C0"/>
              <w:right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(6)</w:t>
            </w:r>
          </w:p>
        </w:tc>
        <w:tc>
          <w:tcPr>
            <w:tcW w:w="44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300" w:type="dxa"/>
            <w:vAlign w:val="bottom"/>
          </w:tcPr>
          <w:p>
            <w:pPr>
              <w:ind w:left="80"/>
              <w:spacing w:after="0" w:line="104" w:lineRule="exact"/>
              <w:rPr>
                <w:sz w:val="20"/>
                <w:szCs w:val="20"/>
                <w:color w:val="auto"/>
              </w:rPr>
            </w:pPr>
            <w:r>
              <w:rPr>
                <w:rFonts w:ascii="Arial" w:cs="Arial" w:eastAsia="Arial" w:hAnsi="Arial"/>
                <w:sz w:val="10"/>
                <w:szCs w:val="10"/>
                <w:color w:val="auto"/>
              </w:rPr>
              <w:t>Net (loss) gain arising during period</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17</w:t>
            </w:r>
          </w:p>
        </w:tc>
        <w:tc>
          <w:tcPr>
            <w:tcW w:w="700" w:type="dxa"/>
            <w:vAlign w:val="bottom"/>
          </w:tcPr>
          <w:p>
            <w:pPr>
              <w:spacing w:after="0"/>
              <w:rPr>
                <w:sz w:val="9"/>
                <w:szCs w:val="9"/>
                <w:color w:val="auto"/>
              </w:rPr>
            </w:pPr>
          </w:p>
        </w:tc>
        <w:tc>
          <w:tcPr>
            <w:tcW w:w="50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20"/>
        </w:trPr>
        <w:tc>
          <w:tcPr>
            <w:tcW w:w="5300" w:type="dxa"/>
            <w:vAlign w:val="bottom"/>
          </w:tcPr>
          <w:p>
            <w:pPr>
              <w:ind w:left="80"/>
              <w:spacing w:after="0"/>
              <w:rPr>
                <w:sz w:val="20"/>
                <w:szCs w:val="20"/>
                <w:color w:val="auto"/>
              </w:rPr>
            </w:pPr>
            <w:r>
              <w:rPr>
                <w:rFonts w:ascii="Arial" w:cs="Arial" w:eastAsia="Arial" w:hAnsi="Arial"/>
                <w:sz w:val="10"/>
                <w:szCs w:val="10"/>
                <w:color w:val="auto"/>
              </w:rPr>
              <w:t>Reclassification to net income of net realized loss</w:t>
            </w: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2</w:t>
            </w:r>
          </w:p>
        </w:tc>
        <w:tc>
          <w:tcPr>
            <w:tcW w:w="700" w:type="dxa"/>
            <w:vAlign w:val="bottom"/>
          </w:tcPr>
          <w:p>
            <w:pPr>
              <w:spacing w:after="0"/>
              <w:rPr>
                <w:sz w:val="10"/>
                <w:szCs w:val="1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5300" w:type="dxa"/>
            <w:vAlign w:val="bottom"/>
            <w:tcBorders>
              <w:top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w:t>
            </w:r>
          </w:p>
        </w:tc>
        <w:tc>
          <w:tcPr>
            <w:tcW w:w="2880" w:type="dxa"/>
            <w:vAlign w:val="bottom"/>
            <w:tcBorders>
              <w:top w:val="single" w:sz="8" w:color="0077C0"/>
            </w:tcBorders>
          </w:tcPr>
          <w:p>
            <w:pPr>
              <w:spacing w:after="0"/>
              <w:rPr>
                <w:sz w:val="9"/>
                <w:szCs w:val="9"/>
                <w:color w:val="auto"/>
              </w:rPr>
            </w:pPr>
          </w:p>
        </w:tc>
        <w:tc>
          <w:tcPr>
            <w:tcW w:w="220" w:type="dxa"/>
            <w:vAlign w:val="bottom"/>
            <w:tcBorders>
              <w:top w:val="single" w:sz="8" w:color="0077C0"/>
            </w:tcBorders>
          </w:tcPr>
          <w:p>
            <w:pPr>
              <w:spacing w:after="0"/>
              <w:rPr>
                <w:sz w:val="9"/>
                <w:szCs w:val="9"/>
                <w:color w:val="auto"/>
              </w:rPr>
            </w:pPr>
          </w:p>
        </w:tc>
        <w:tc>
          <w:tcPr>
            <w:tcW w:w="680" w:type="dxa"/>
            <w:vAlign w:val="bottom"/>
            <w:tcBorders>
              <w:top w:val="single" w:sz="8" w:color="0077C0"/>
              <w:right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(6)</w:t>
            </w:r>
          </w:p>
        </w:tc>
        <w:tc>
          <w:tcPr>
            <w:tcW w:w="440" w:type="dxa"/>
            <w:vAlign w:val="bottom"/>
            <w:tcBorders>
              <w:top w:val="single" w:sz="8" w:color="0077C0"/>
            </w:tcBorders>
          </w:tcPr>
          <w:p>
            <w:pPr>
              <w:spacing w:after="0"/>
              <w:rPr>
                <w:sz w:val="9"/>
                <w:szCs w:val="9"/>
                <w:color w:val="auto"/>
              </w:rPr>
            </w:pPr>
          </w:p>
        </w:tc>
        <w:tc>
          <w:tcPr>
            <w:tcW w:w="680" w:type="dxa"/>
            <w:vAlign w:val="bottom"/>
            <w:tcBorders>
              <w:top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19</w:t>
            </w:r>
          </w:p>
        </w:tc>
        <w:tc>
          <w:tcPr>
            <w:tcW w:w="700" w:type="dxa"/>
            <w:vAlign w:val="bottom"/>
            <w:tcBorders>
              <w:top w:val="single" w:sz="8" w:color="0077C0"/>
            </w:tcBorders>
          </w:tcPr>
          <w:p>
            <w:pPr>
              <w:spacing w:after="0"/>
              <w:rPr>
                <w:sz w:val="9"/>
                <w:szCs w:val="9"/>
                <w:color w:val="auto"/>
              </w:rPr>
            </w:pPr>
          </w:p>
        </w:tc>
        <w:tc>
          <w:tcPr>
            <w:tcW w:w="480" w:type="dxa"/>
            <w:vAlign w:val="bottom"/>
            <w:tcBorders>
              <w:top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3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Derivatives</w:t>
            </w:r>
          </w:p>
        </w:tc>
        <w:tc>
          <w:tcPr>
            <w:tcW w:w="28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68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139</w:t>
            </w:r>
          </w:p>
        </w:tc>
        <w:tc>
          <w:tcPr>
            <w:tcW w:w="44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300" w:type="dxa"/>
            <w:vAlign w:val="bottom"/>
          </w:tcPr>
          <w:p>
            <w:pPr>
              <w:ind w:left="80"/>
              <w:spacing w:after="0" w:line="104" w:lineRule="exact"/>
              <w:rPr>
                <w:sz w:val="20"/>
                <w:szCs w:val="20"/>
                <w:color w:val="auto"/>
              </w:rPr>
            </w:pPr>
            <w:r>
              <w:rPr>
                <w:rFonts w:ascii="Arial" w:cs="Arial" w:eastAsia="Arial" w:hAnsi="Arial"/>
                <w:sz w:val="10"/>
                <w:szCs w:val="10"/>
                <w:color w:val="auto"/>
              </w:rPr>
              <w:t>Net derivatives gain (loss) on hedge transactions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(10)</w:t>
            </w:r>
          </w:p>
        </w:tc>
        <w:tc>
          <w:tcPr>
            <w:tcW w:w="700" w:type="dxa"/>
            <w:vAlign w:val="bottom"/>
          </w:tcPr>
          <w:p>
            <w:pPr>
              <w:spacing w:after="0"/>
              <w:rPr>
                <w:sz w:val="9"/>
                <w:szCs w:val="9"/>
                <w:color w:val="auto"/>
              </w:rPr>
            </w:pPr>
          </w:p>
        </w:tc>
        <w:tc>
          <w:tcPr>
            <w:tcW w:w="48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300" w:type="dxa"/>
            <w:vAlign w:val="bottom"/>
          </w:tcPr>
          <w:p>
            <w:pPr>
              <w:ind w:left="80"/>
              <w:spacing w:after="0" w:line="106" w:lineRule="exact"/>
              <w:rPr>
                <w:sz w:val="20"/>
                <w:szCs w:val="20"/>
                <w:color w:val="auto"/>
              </w:rPr>
            </w:pPr>
            <w:r>
              <w:rPr>
                <w:rFonts w:ascii="Arial" w:cs="Arial" w:eastAsia="Arial" w:hAnsi="Arial"/>
                <w:sz w:val="10"/>
                <w:szCs w:val="10"/>
                <w:color w:val="auto"/>
              </w:rPr>
              <w:t>Reclassification to net income of net realized loss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32</w:t>
            </w:r>
          </w:p>
        </w:tc>
        <w:tc>
          <w:tcPr>
            <w:tcW w:w="44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w:t>
            </w:r>
          </w:p>
        </w:tc>
        <w:tc>
          <w:tcPr>
            <w:tcW w:w="70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300" w:type="dxa"/>
            <w:vAlign w:val="bottom"/>
          </w:tcPr>
          <w:p>
            <w:pPr>
              <w:ind w:left="80"/>
              <w:spacing w:after="0"/>
              <w:rPr>
                <w:sz w:val="20"/>
                <w:szCs w:val="20"/>
                <w:color w:val="auto"/>
              </w:rPr>
            </w:pPr>
            <w:r>
              <w:rPr>
                <w:rFonts w:ascii="Arial" w:cs="Arial" w:eastAsia="Arial" w:hAnsi="Arial"/>
                <w:sz w:val="10"/>
                <w:szCs w:val="10"/>
                <w:color w:val="auto"/>
              </w:rPr>
              <w:t>Income taxes on derivatives transactions</w:t>
            </w: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right w:val="single" w:sz="8" w:color="0077C0"/>
            </w:tcBorders>
          </w:tcPr>
          <w:p>
            <w:pPr>
              <w:jc w:val="right"/>
              <w:ind w:right="14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61)</w:t>
            </w:r>
          </w:p>
        </w:tc>
        <w:tc>
          <w:tcPr>
            <w:tcW w:w="440" w:type="dxa"/>
            <w:vAlign w:val="bottom"/>
          </w:tcPr>
          <w:p>
            <w:pPr>
              <w:spacing w:after="0"/>
              <w:rPr>
                <w:sz w:val="10"/>
                <w:szCs w:val="10"/>
                <w:color w:val="auto"/>
              </w:rPr>
            </w:pPr>
          </w:p>
        </w:tc>
        <w:tc>
          <w:tcPr>
            <w:tcW w:w="680" w:type="dxa"/>
            <w:vAlign w:val="bottom"/>
          </w:tcPr>
          <w:p>
            <w:pPr>
              <w:jc w:val="right"/>
              <w:ind w:right="149"/>
              <w:spacing w:after="0"/>
              <w:rPr>
                <w:sz w:val="20"/>
                <w:szCs w:val="20"/>
                <w:color w:val="auto"/>
              </w:rPr>
            </w:pPr>
            <w:r>
              <w:rPr>
                <w:rFonts w:ascii="Arial" w:cs="Arial" w:eastAsia="Arial" w:hAnsi="Arial"/>
                <w:sz w:val="10"/>
                <w:szCs w:val="10"/>
                <w:color w:val="auto"/>
              </w:rPr>
              <w:t>(3)</w:t>
            </w:r>
          </w:p>
        </w:tc>
        <w:tc>
          <w:tcPr>
            <w:tcW w:w="700" w:type="dxa"/>
            <w:vAlign w:val="bottom"/>
          </w:tcPr>
          <w:p>
            <w:pPr>
              <w:spacing w:after="0"/>
              <w:rPr>
                <w:sz w:val="10"/>
                <w:szCs w:val="1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05"/>
        </w:trPr>
        <w:tc>
          <w:tcPr>
            <w:tcW w:w="5300" w:type="dxa"/>
            <w:vAlign w:val="bottom"/>
            <w:tcBorders>
              <w:top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w:t>
            </w:r>
          </w:p>
        </w:tc>
        <w:tc>
          <w:tcPr>
            <w:tcW w:w="2880" w:type="dxa"/>
            <w:vAlign w:val="bottom"/>
            <w:tcBorders>
              <w:top w:val="single" w:sz="8" w:color="0077C0"/>
            </w:tcBorders>
          </w:tcPr>
          <w:p>
            <w:pPr>
              <w:spacing w:after="0"/>
              <w:rPr>
                <w:sz w:val="9"/>
                <w:szCs w:val="9"/>
                <w:color w:val="auto"/>
              </w:rPr>
            </w:pPr>
          </w:p>
        </w:tc>
        <w:tc>
          <w:tcPr>
            <w:tcW w:w="220" w:type="dxa"/>
            <w:vAlign w:val="bottom"/>
            <w:tcBorders>
              <w:top w:val="single" w:sz="8" w:color="0077C0"/>
            </w:tcBorders>
          </w:tcPr>
          <w:p>
            <w:pPr>
              <w:spacing w:after="0"/>
              <w:rPr>
                <w:sz w:val="9"/>
                <w:szCs w:val="9"/>
                <w:color w:val="auto"/>
              </w:rPr>
            </w:pPr>
          </w:p>
        </w:tc>
        <w:tc>
          <w:tcPr>
            <w:tcW w:w="680" w:type="dxa"/>
            <w:vAlign w:val="bottom"/>
            <w:tcBorders>
              <w:top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110</w:t>
            </w:r>
          </w:p>
        </w:tc>
        <w:tc>
          <w:tcPr>
            <w:tcW w:w="440" w:type="dxa"/>
            <w:vAlign w:val="bottom"/>
            <w:tcBorders>
              <w:top w:val="single" w:sz="8" w:color="0077C0"/>
            </w:tcBorders>
          </w:tcPr>
          <w:p>
            <w:pPr>
              <w:spacing w:after="0"/>
              <w:rPr>
                <w:sz w:val="9"/>
                <w:szCs w:val="9"/>
                <w:color w:val="auto"/>
              </w:rPr>
            </w:pPr>
          </w:p>
        </w:tc>
        <w:tc>
          <w:tcPr>
            <w:tcW w:w="68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(6)</w:t>
            </w:r>
          </w:p>
        </w:tc>
        <w:tc>
          <w:tcPr>
            <w:tcW w:w="700" w:type="dxa"/>
            <w:vAlign w:val="bottom"/>
            <w:tcBorders>
              <w:top w:val="single" w:sz="8" w:color="0077C0"/>
            </w:tcBorders>
          </w:tcPr>
          <w:p>
            <w:pPr>
              <w:spacing w:after="0"/>
              <w:rPr>
                <w:sz w:val="9"/>
                <w:szCs w:val="9"/>
                <w:color w:val="auto"/>
              </w:rPr>
            </w:pPr>
          </w:p>
        </w:tc>
        <w:tc>
          <w:tcPr>
            <w:tcW w:w="480" w:type="dxa"/>
            <w:vAlign w:val="bottom"/>
            <w:tcBorders>
              <w:top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3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Defined benefit plans</w:t>
            </w:r>
          </w:p>
        </w:tc>
        <w:tc>
          <w:tcPr>
            <w:tcW w:w="28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68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00" w:type="dxa"/>
            <w:vAlign w:val="bottom"/>
          </w:tcPr>
          <w:p>
            <w:pPr>
              <w:ind w:left="80"/>
              <w:spacing w:after="0" w:line="106" w:lineRule="exact"/>
              <w:rPr>
                <w:sz w:val="20"/>
                <w:szCs w:val="20"/>
                <w:color w:val="auto"/>
              </w:rPr>
            </w:pPr>
            <w:r>
              <w:rPr>
                <w:rFonts w:ascii="Arial" w:cs="Arial" w:eastAsia="Arial" w:hAnsi="Arial"/>
                <w:sz w:val="10"/>
                <w:szCs w:val="10"/>
                <w:color w:val="auto"/>
              </w:rPr>
              <w:t>Minimum pension liability adjustment</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9"/>
                <w:szCs w:val="9"/>
                <w:color w:val="auto"/>
              </w:rPr>
            </w:pPr>
          </w:p>
        </w:tc>
        <w:tc>
          <w:tcPr>
            <w:tcW w:w="50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06"/>
        </w:trPr>
        <w:tc>
          <w:tcPr>
            <w:tcW w:w="5300" w:type="dxa"/>
            <w:vAlign w:val="bottom"/>
          </w:tcPr>
          <w:p>
            <w:pPr>
              <w:ind w:left="80"/>
              <w:spacing w:after="0" w:line="106" w:lineRule="exact"/>
              <w:rPr>
                <w:sz w:val="20"/>
                <w:szCs w:val="20"/>
                <w:color w:val="auto"/>
              </w:rPr>
            </w:pPr>
            <w:r>
              <w:rPr>
                <w:rFonts w:ascii="Arial" w:cs="Arial" w:eastAsia="Arial" w:hAnsi="Arial"/>
                <w:sz w:val="10"/>
                <w:szCs w:val="10"/>
                <w:color w:val="auto"/>
              </w:rPr>
              <w:t>Actuarial loss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483</w:t>
            </w: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300" w:type="dxa"/>
            <w:vAlign w:val="bottom"/>
          </w:tcPr>
          <w:p>
            <w:pPr>
              <w:ind w:left="180"/>
              <w:spacing w:after="0" w:line="104" w:lineRule="exact"/>
              <w:rPr>
                <w:sz w:val="20"/>
                <w:szCs w:val="20"/>
                <w:color w:val="auto"/>
              </w:rPr>
            </w:pPr>
            <w:r>
              <w:rPr>
                <w:rFonts w:ascii="Arial" w:cs="Arial" w:eastAsia="Arial" w:hAnsi="Arial"/>
                <w:sz w:val="10"/>
                <w:szCs w:val="10"/>
                <w:color w:val="auto"/>
              </w:rPr>
              <w:t>Amortization to net income of net actuarial loss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356</w:t>
            </w:r>
          </w:p>
        </w:tc>
        <w:tc>
          <w:tcPr>
            <w:tcW w:w="700" w:type="dxa"/>
            <w:vAlign w:val="bottom"/>
          </w:tcPr>
          <w:p>
            <w:pPr>
              <w:spacing w:after="0"/>
              <w:rPr>
                <w:sz w:val="9"/>
                <w:szCs w:val="9"/>
                <w:color w:val="auto"/>
              </w:rPr>
            </w:pPr>
          </w:p>
        </w:tc>
        <w:tc>
          <w:tcPr>
            <w:tcW w:w="500" w:type="dxa"/>
            <w:vAlign w:val="bottom"/>
            <w:gridSpan w:val="3"/>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300" w:type="dxa"/>
            <w:vAlign w:val="bottom"/>
          </w:tcPr>
          <w:p>
            <w:pPr>
              <w:ind w:left="180"/>
              <w:spacing w:after="0" w:line="108" w:lineRule="exact"/>
              <w:rPr>
                <w:sz w:val="20"/>
                <w:szCs w:val="20"/>
                <w:color w:val="auto"/>
              </w:rPr>
            </w:pPr>
            <w:r>
              <w:rPr>
                <w:rFonts w:ascii="Arial" w:cs="Arial" w:eastAsia="Arial" w:hAnsi="Arial"/>
                <w:sz w:val="10"/>
                <w:szCs w:val="10"/>
                <w:color w:val="auto"/>
              </w:rPr>
              <w:t>Actuarial (loss) gain arising during period</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tcPr>
          <w:p>
            <w:pPr>
              <w:jc w:val="right"/>
              <w:ind w:right="149"/>
              <w:spacing w:after="0" w:line="108" w:lineRule="exact"/>
              <w:rPr>
                <w:sz w:val="20"/>
                <w:szCs w:val="20"/>
                <w:color w:val="auto"/>
              </w:rPr>
            </w:pPr>
            <w:r>
              <w:rPr>
                <w:rFonts w:ascii="Arial" w:cs="Arial" w:eastAsia="Arial" w:hAnsi="Arial"/>
                <w:sz w:val="10"/>
                <w:szCs w:val="10"/>
                <w:b w:val="1"/>
                <w:bCs w:val="1"/>
                <w:color w:val="auto"/>
              </w:rPr>
              <w:t>(3,228)</w:t>
            </w:r>
          </w:p>
        </w:tc>
        <w:tc>
          <w:tcPr>
            <w:tcW w:w="440" w:type="dxa"/>
            <w:vAlign w:val="bottom"/>
          </w:tcPr>
          <w:p>
            <w:pPr>
              <w:spacing w:after="0"/>
              <w:rPr>
                <w:sz w:val="9"/>
                <w:szCs w:val="9"/>
                <w:color w:val="auto"/>
              </w:rPr>
            </w:pPr>
          </w:p>
        </w:tc>
        <w:tc>
          <w:tcPr>
            <w:tcW w:w="680" w:type="dxa"/>
            <w:vAlign w:val="bottom"/>
          </w:tcPr>
          <w:p>
            <w:pPr>
              <w:jc w:val="right"/>
              <w:ind w:right="189"/>
              <w:spacing w:after="0" w:line="108" w:lineRule="exact"/>
              <w:rPr>
                <w:sz w:val="20"/>
                <w:szCs w:val="20"/>
                <w:color w:val="auto"/>
              </w:rPr>
            </w:pPr>
            <w:r>
              <w:rPr>
                <w:rFonts w:ascii="Arial" w:cs="Arial" w:eastAsia="Arial" w:hAnsi="Arial"/>
                <w:sz w:val="10"/>
                <w:szCs w:val="10"/>
                <w:color w:val="auto"/>
              </w:rPr>
              <w:t>530</w:t>
            </w:r>
          </w:p>
        </w:tc>
        <w:tc>
          <w:tcPr>
            <w:tcW w:w="700" w:type="dxa"/>
            <w:vAlign w:val="bottom"/>
          </w:tcPr>
          <w:p>
            <w:pPr>
              <w:spacing w:after="0"/>
              <w:rPr>
                <w:sz w:val="9"/>
                <w:szCs w:val="9"/>
                <w:color w:val="auto"/>
              </w:rPr>
            </w:pPr>
          </w:p>
        </w:tc>
        <w:tc>
          <w:tcPr>
            <w:tcW w:w="50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5300" w:type="dxa"/>
            <w:vAlign w:val="bottom"/>
          </w:tcPr>
          <w:p>
            <w:pPr>
              <w:ind w:left="80"/>
              <w:spacing w:after="0" w:line="106" w:lineRule="exact"/>
              <w:rPr>
                <w:sz w:val="20"/>
                <w:szCs w:val="20"/>
                <w:color w:val="auto"/>
              </w:rPr>
            </w:pPr>
            <w:r>
              <w:rPr>
                <w:rFonts w:ascii="Arial" w:cs="Arial" w:eastAsia="Arial" w:hAnsi="Arial"/>
                <w:sz w:val="10"/>
                <w:szCs w:val="10"/>
                <w:color w:val="auto"/>
              </w:rPr>
              <w:t>Prior service cost</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(64)</w:t>
            </w: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300" w:type="dxa"/>
            <w:vAlign w:val="bottom"/>
          </w:tcPr>
          <w:p>
            <w:pPr>
              <w:ind w:left="180"/>
              <w:spacing w:after="0" w:line="104" w:lineRule="exact"/>
              <w:rPr>
                <w:sz w:val="20"/>
                <w:szCs w:val="20"/>
                <w:color w:val="auto"/>
              </w:rPr>
            </w:pPr>
            <w:r>
              <w:rPr>
                <w:rFonts w:ascii="Arial" w:cs="Arial" w:eastAsia="Arial" w:hAnsi="Arial"/>
                <w:sz w:val="10"/>
                <w:szCs w:val="10"/>
                <w:color w:val="auto"/>
              </w:rPr>
              <w:t>Amortization to net income of net prior service credits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(15)</w:t>
            </w:r>
          </w:p>
        </w:tc>
        <w:tc>
          <w:tcPr>
            <w:tcW w:w="700" w:type="dxa"/>
            <w:vAlign w:val="bottom"/>
          </w:tcPr>
          <w:p>
            <w:pPr>
              <w:spacing w:after="0"/>
              <w:rPr>
                <w:sz w:val="9"/>
                <w:szCs w:val="9"/>
                <w:color w:val="auto"/>
              </w:rPr>
            </w:pPr>
          </w:p>
        </w:tc>
        <w:tc>
          <w:tcPr>
            <w:tcW w:w="500" w:type="dxa"/>
            <w:vAlign w:val="bottom"/>
            <w:gridSpan w:val="3"/>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5300" w:type="dxa"/>
            <w:vAlign w:val="bottom"/>
          </w:tcPr>
          <w:p>
            <w:pPr>
              <w:ind w:left="180"/>
              <w:spacing w:after="0" w:line="106" w:lineRule="exact"/>
              <w:rPr>
                <w:sz w:val="20"/>
                <w:szCs w:val="20"/>
                <w:color w:val="auto"/>
              </w:rPr>
            </w:pPr>
            <w:r>
              <w:rPr>
                <w:rFonts w:ascii="Arial" w:cs="Arial" w:eastAsia="Arial" w:hAnsi="Arial"/>
                <w:sz w:val="10"/>
                <w:szCs w:val="10"/>
                <w:color w:val="auto"/>
              </w:rPr>
              <w:t>Prior service (credit) cost arising during period</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(32)</w:t>
            </w:r>
          </w:p>
        </w:tc>
        <w:tc>
          <w:tcPr>
            <w:tcW w:w="44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204</w:t>
            </w:r>
          </w:p>
        </w:tc>
        <w:tc>
          <w:tcPr>
            <w:tcW w:w="700" w:type="dxa"/>
            <w:vAlign w:val="bottom"/>
          </w:tcPr>
          <w:p>
            <w:pPr>
              <w:spacing w:after="0"/>
              <w:rPr>
                <w:sz w:val="9"/>
                <w:szCs w:val="9"/>
                <w:color w:val="auto"/>
              </w:rPr>
            </w:pPr>
          </w:p>
        </w:tc>
        <w:tc>
          <w:tcPr>
            <w:tcW w:w="50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5300" w:type="dxa"/>
            <w:vAlign w:val="bottom"/>
          </w:tcPr>
          <w:p>
            <w:pPr>
              <w:ind w:left="80"/>
              <w:spacing w:after="0" w:line="106" w:lineRule="exact"/>
              <w:rPr>
                <w:sz w:val="20"/>
                <w:szCs w:val="20"/>
                <w:color w:val="auto"/>
              </w:rPr>
            </w:pPr>
            <w:r>
              <w:rPr>
                <w:rFonts w:ascii="Arial" w:cs="Arial" w:eastAsia="Arial" w:hAnsi="Arial"/>
                <w:sz w:val="10"/>
                <w:szCs w:val="10"/>
                <w:color w:val="auto"/>
              </w:rPr>
              <w:t>Defined benefit plans sponsored by equity affiliates</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(97)</w:t>
            </w:r>
          </w:p>
        </w:tc>
        <w:tc>
          <w:tcPr>
            <w:tcW w:w="44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19</w:t>
            </w:r>
          </w:p>
        </w:tc>
        <w:tc>
          <w:tcPr>
            <w:tcW w:w="700" w:type="dxa"/>
            <w:vAlign w:val="bottom"/>
          </w:tcPr>
          <w:p>
            <w:pPr>
              <w:spacing w:after="0"/>
              <w:rPr>
                <w:sz w:val="9"/>
                <w:szCs w:val="9"/>
                <w:color w:val="auto"/>
              </w:rPr>
            </w:pPr>
          </w:p>
        </w:tc>
        <w:tc>
          <w:tcPr>
            <w:tcW w:w="50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53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Income taxes on defined benefit plans</w:t>
            </w:r>
          </w:p>
        </w:tc>
        <w:tc>
          <w:tcPr>
            <w:tcW w:w="28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1,037</w:t>
            </w:r>
          </w:p>
        </w:tc>
        <w:tc>
          <w:tcPr>
            <w:tcW w:w="4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(409)</w:t>
            </w:r>
          </w:p>
        </w:tc>
        <w:tc>
          <w:tcPr>
            <w:tcW w:w="7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3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w:t>
            </w:r>
          </w:p>
        </w:tc>
        <w:tc>
          <w:tcPr>
            <w:tcW w:w="28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680" w:type="dxa"/>
            <w:vAlign w:val="bottom"/>
            <w:tcBorders>
              <w:bottom w:val="single" w:sz="8" w:color="0077C0"/>
              <w:right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1,901)</w:t>
            </w:r>
          </w:p>
        </w:tc>
        <w:tc>
          <w:tcPr>
            <w:tcW w:w="44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685</w:t>
            </w:r>
          </w:p>
        </w:tc>
        <w:tc>
          <w:tcPr>
            <w:tcW w:w="7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300" w:type="dxa"/>
            <w:vAlign w:val="bottom"/>
          </w:tcPr>
          <w:p>
            <w:pPr>
              <w:spacing w:after="0" w:line="105" w:lineRule="exact"/>
              <w:rPr>
                <w:sz w:val="20"/>
                <w:szCs w:val="20"/>
                <w:color w:val="auto"/>
              </w:rPr>
            </w:pPr>
            <w:r>
              <w:rPr>
                <w:rFonts w:ascii="Arial" w:cs="Arial" w:eastAsia="Arial" w:hAnsi="Arial"/>
                <w:sz w:val="10"/>
                <w:szCs w:val="10"/>
                <w:b w:val="1"/>
                <w:bCs w:val="1"/>
                <w:color w:val="0077C0"/>
              </w:rPr>
              <w:t>Other Comprehensive (Loss) Gain, Net of Tax</w:t>
            </w:r>
          </w:p>
        </w:tc>
        <w:tc>
          <w:tcPr>
            <w:tcW w:w="2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right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(1,909)</w:t>
            </w:r>
          </w:p>
        </w:tc>
        <w:tc>
          <w:tcPr>
            <w:tcW w:w="440" w:type="dxa"/>
            <w:vAlign w:val="bottom"/>
          </w:tcPr>
          <w:p>
            <w:pPr>
              <w:spacing w:after="0"/>
              <w:rPr>
                <w:sz w:val="9"/>
                <w:szCs w:val="9"/>
                <w:color w:val="auto"/>
              </w:rPr>
            </w:pPr>
          </w:p>
        </w:tc>
        <w:tc>
          <w:tcPr>
            <w:tcW w:w="68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729</w:t>
            </w:r>
          </w:p>
        </w:tc>
        <w:tc>
          <w:tcPr>
            <w:tcW w:w="700" w:type="dxa"/>
            <w:vAlign w:val="bottom"/>
          </w:tcPr>
          <w:p>
            <w:pPr>
              <w:spacing w:after="0"/>
              <w:rPr>
                <w:sz w:val="9"/>
                <w:szCs w:val="9"/>
                <w:color w:val="auto"/>
              </w:rPr>
            </w:pPr>
          </w:p>
        </w:tc>
        <w:tc>
          <w:tcPr>
            <w:tcW w:w="500" w:type="dxa"/>
            <w:vAlign w:val="bottom"/>
            <w:gridSpan w:val="3"/>
          </w:tcPr>
          <w:p>
            <w:pPr>
              <w:jc w:val="right"/>
              <w:ind w:right="20"/>
              <w:spacing w:after="0" w:line="105"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14"/>
        </w:trPr>
        <w:tc>
          <w:tcPr>
            <w:tcW w:w="53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Comprehensive Income</w:t>
            </w:r>
          </w:p>
        </w:tc>
        <w:tc>
          <w:tcPr>
            <w:tcW w:w="3100" w:type="dxa"/>
            <w:vAlign w:val="bottom"/>
            <w:tcBorders>
              <w:top w:val="single" w:sz="8" w:color="0077C0"/>
              <w:bottom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22,022</w:t>
            </w: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19,417</w:t>
            </w:r>
          </w:p>
        </w:tc>
        <w:tc>
          <w:tcPr>
            <w:tcW w:w="700" w:type="dxa"/>
            <w:vAlign w:val="bottom"/>
            <w:tcBorders>
              <w:top w:val="single" w:sz="8" w:color="0077C0"/>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17,134</w:t>
            </w:r>
          </w:p>
        </w:tc>
        <w:tc>
          <w:tcPr>
            <w:tcW w:w="20" w:type="dxa"/>
            <w:vAlign w:val="bottom"/>
            <w:tcBorders>
              <w:top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auto"/>
        </w:rPr>
        <w:t>FS-28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Balance Sheet</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3752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805" cy="375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8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w w:val="85"/>
              </w:rPr>
              <w:t>At December 31</w:t>
            </w:r>
          </w:p>
        </w:tc>
        <w:tc>
          <w:tcPr>
            <w:tcW w:w="0" w:type="dxa"/>
            <w:vAlign w:val="bottom"/>
          </w:tcPr>
          <w:p>
            <w:pPr>
              <w:spacing w:after="0"/>
              <w:rPr>
                <w:sz w:val="1"/>
                <w:szCs w:val="1"/>
                <w:color w:val="auto"/>
              </w:rPr>
            </w:pPr>
          </w:p>
        </w:tc>
      </w:tr>
      <w:tr>
        <w:trPr>
          <w:trHeight w:val="95"/>
        </w:trPr>
        <w:tc>
          <w:tcPr>
            <w:tcW w:w="8800" w:type="dxa"/>
            <w:vAlign w:val="bottom"/>
            <w:tcBorders>
              <w:bottom w:val="single" w:sz="8" w:color="0077C0"/>
            </w:tcBorders>
          </w:tcPr>
          <w:p>
            <w:pPr>
              <w:spacing w:after="0"/>
              <w:rPr>
                <w:sz w:val="8"/>
                <w:szCs w:val="8"/>
                <w:color w:val="auto"/>
              </w:rPr>
            </w:pPr>
          </w:p>
        </w:tc>
        <w:tc>
          <w:tcPr>
            <w:tcW w:w="740" w:type="dxa"/>
            <w:vAlign w:val="bottom"/>
            <w:tcBorders>
              <w:bottom w:val="single" w:sz="8" w:color="0077C0"/>
            </w:tcBorders>
          </w:tcPr>
          <w:p>
            <w:pPr>
              <w:spacing w:after="0"/>
              <w:rPr>
                <w:sz w:val="8"/>
                <w:szCs w:val="8"/>
                <w:color w:val="auto"/>
              </w:rPr>
            </w:pPr>
          </w:p>
        </w:tc>
        <w:tc>
          <w:tcPr>
            <w:tcW w:w="200" w:type="dxa"/>
            <w:vAlign w:val="bottom"/>
            <w:tcBorders>
              <w:top w:val="single" w:sz="8" w:color="0077C0"/>
              <w:bottom w:val="single" w:sz="8" w:color="0077C0"/>
            </w:tcBorders>
          </w:tcPr>
          <w:p>
            <w:pPr>
              <w:spacing w:after="0"/>
              <w:rPr>
                <w:sz w:val="8"/>
                <w:szCs w:val="8"/>
                <w:color w:val="auto"/>
              </w:rPr>
            </w:pPr>
          </w:p>
        </w:tc>
        <w:tc>
          <w:tcPr>
            <w:tcW w:w="70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top w:val="single" w:sz="8" w:color="0077C0"/>
              <w:bottom w:val="single" w:sz="8" w:color="0077C0"/>
            </w:tcBorders>
          </w:tcPr>
          <w:p>
            <w:pPr>
              <w:spacing w:after="0"/>
              <w:rPr>
                <w:sz w:val="8"/>
                <w:szCs w:val="8"/>
                <w:color w:val="auto"/>
              </w:rPr>
            </w:pPr>
          </w:p>
        </w:tc>
        <w:tc>
          <w:tcPr>
            <w:tcW w:w="6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8800" w:type="dxa"/>
            <w:vAlign w:val="bottom"/>
          </w:tcPr>
          <w:p>
            <w:pPr>
              <w:spacing w:after="0" w:line="92" w:lineRule="exact"/>
              <w:rPr>
                <w:sz w:val="20"/>
                <w:szCs w:val="20"/>
                <w:color w:val="auto"/>
              </w:rPr>
            </w:pPr>
            <w:r>
              <w:rPr>
                <w:rFonts w:ascii="Arial" w:cs="Arial" w:eastAsia="Arial" w:hAnsi="Arial"/>
                <w:sz w:val="10"/>
                <w:szCs w:val="10"/>
                <w:b w:val="1"/>
                <w:bCs w:val="1"/>
                <w:color w:val="0077C0"/>
              </w:rPr>
              <w:t>Assets</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9,347</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0" w:type="dxa"/>
            <w:vAlign w:val="bottom"/>
          </w:tcPr>
          <w:p>
            <w:pPr>
              <w:ind w:left="80"/>
              <w:spacing w:after="0" w:line="104" w:lineRule="exact"/>
              <w:rPr>
                <w:sz w:val="20"/>
                <w:szCs w:val="20"/>
                <w:color w:val="auto"/>
              </w:rPr>
            </w:pPr>
            <w:r>
              <w:rPr>
                <w:rFonts w:ascii="Arial" w:cs="Arial" w:eastAsia="Arial" w:hAnsi="Arial"/>
                <w:sz w:val="10"/>
                <w:szCs w:val="10"/>
                <w:color w:val="auto"/>
              </w:rPr>
              <w:t>Cash and cash equivalents</w:t>
            </w:r>
          </w:p>
        </w:tc>
        <w:tc>
          <w:tcPr>
            <w:tcW w:w="940" w:type="dxa"/>
            <w:vAlign w:val="bottom"/>
            <w:gridSpan w:val="2"/>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7,362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Marketable securities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213</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732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0" w:type="dxa"/>
            <w:vAlign w:val="bottom"/>
          </w:tcPr>
          <w:p>
            <w:pPr>
              <w:ind w:left="80"/>
              <w:spacing w:after="0" w:line="108" w:lineRule="exact"/>
              <w:rPr>
                <w:sz w:val="20"/>
                <w:szCs w:val="20"/>
                <w:color w:val="auto"/>
              </w:rPr>
            </w:pPr>
            <w:r>
              <w:rPr>
                <w:rFonts w:ascii="Arial" w:cs="Arial" w:eastAsia="Arial" w:hAnsi="Arial"/>
                <w:sz w:val="10"/>
                <w:szCs w:val="10"/>
                <w:color w:val="auto"/>
              </w:rPr>
              <w:t>Accounts and notes receivable (less allowance: 2008 – $246; 2007 – $165)</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8" w:lineRule="exact"/>
              <w:rPr>
                <w:sz w:val="20"/>
                <w:szCs w:val="20"/>
                <w:color w:val="auto"/>
              </w:rPr>
            </w:pPr>
            <w:r>
              <w:rPr>
                <w:rFonts w:ascii="Arial" w:cs="Arial" w:eastAsia="Arial" w:hAnsi="Arial"/>
                <w:sz w:val="10"/>
                <w:szCs w:val="10"/>
                <w:b w:val="1"/>
                <w:bCs w:val="1"/>
                <w:color w:val="auto"/>
              </w:rPr>
              <w:t>15,856</w:t>
            </w:r>
          </w:p>
        </w:tc>
        <w:tc>
          <w:tcPr>
            <w:tcW w:w="2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22,446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Inventories: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5,175</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800" w:type="dxa"/>
            <w:vAlign w:val="bottom"/>
          </w:tcPr>
          <w:p>
            <w:pPr>
              <w:ind w:left="180"/>
              <w:spacing w:after="0" w:line="104" w:lineRule="exact"/>
              <w:rPr>
                <w:sz w:val="20"/>
                <w:szCs w:val="20"/>
                <w:color w:val="auto"/>
              </w:rPr>
            </w:pPr>
            <w:r>
              <w:rPr>
                <w:rFonts w:ascii="Arial" w:cs="Arial" w:eastAsia="Arial" w:hAnsi="Arial"/>
                <w:sz w:val="10"/>
                <w:szCs w:val="10"/>
                <w:color w:val="auto"/>
              </w:rPr>
              <w:t>Crude oil and petroleum products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4,003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180"/>
              <w:spacing w:after="0" w:line="106" w:lineRule="exact"/>
              <w:rPr>
                <w:sz w:val="20"/>
                <w:szCs w:val="20"/>
                <w:color w:val="auto"/>
              </w:rPr>
            </w:pPr>
            <w:r>
              <w:rPr>
                <w:rFonts w:ascii="Arial" w:cs="Arial" w:eastAsia="Arial" w:hAnsi="Arial"/>
                <w:sz w:val="10"/>
                <w:szCs w:val="10"/>
                <w:color w:val="auto"/>
              </w:rPr>
              <w:t>Chemicals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459</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0" w:type="dxa"/>
            <w:vAlign w:val="bottom"/>
          </w:tcPr>
          <w:p>
            <w:pPr>
              <w:ind w:left="180"/>
              <w:spacing w:after="0"/>
              <w:rPr>
                <w:sz w:val="20"/>
                <w:szCs w:val="20"/>
                <w:color w:val="auto"/>
              </w:rPr>
            </w:pPr>
            <w:r>
              <w:rPr>
                <w:rFonts w:ascii="Arial" w:cs="Arial" w:eastAsia="Arial" w:hAnsi="Arial"/>
                <w:sz w:val="10"/>
                <w:szCs w:val="10"/>
                <w:color w:val="auto"/>
              </w:rPr>
              <w:t>Materials, supplies and other</w:t>
            </w:r>
          </w:p>
        </w:tc>
        <w:tc>
          <w:tcPr>
            <w:tcW w:w="740" w:type="dxa"/>
            <w:vAlign w:val="bottom"/>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1,220</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0" w:type="dxa"/>
            <w:vAlign w:val="bottom"/>
          </w:tcPr>
          <w:p>
            <w:pPr>
              <w:ind w:left="280"/>
              <w:spacing w:after="0" w:line="91" w:lineRule="exact"/>
              <w:rPr>
                <w:sz w:val="20"/>
                <w:szCs w:val="20"/>
                <w:color w:val="auto"/>
              </w:rPr>
            </w:pPr>
            <w:r>
              <w:rPr>
                <w:rFonts w:ascii="Arial" w:cs="Arial" w:eastAsia="Arial" w:hAnsi="Arial"/>
                <w:sz w:val="10"/>
                <w:szCs w:val="10"/>
                <w:color w:val="auto"/>
              </w:rPr>
              <w:t>Total inventories</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6,854</w:t>
            </w:r>
          </w:p>
        </w:tc>
        <w:tc>
          <w:tcPr>
            <w:tcW w:w="2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5,310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8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74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4,200</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3,527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0" w:type="dxa"/>
            <w:vAlign w:val="bottom"/>
          </w:tcPr>
          <w:p>
            <w:pPr>
              <w:ind w:left="80"/>
              <w:spacing w:after="0" w:line="91" w:lineRule="exact"/>
              <w:rPr>
                <w:sz w:val="20"/>
                <w:szCs w:val="20"/>
                <w:color w:val="auto"/>
              </w:rPr>
            </w:pPr>
            <w:r>
              <w:rPr>
                <w:rFonts w:ascii="Arial" w:cs="Arial" w:eastAsia="Arial" w:hAnsi="Arial"/>
                <w:sz w:val="10"/>
                <w:szCs w:val="10"/>
                <w:b w:val="1"/>
                <w:bCs w:val="1"/>
                <w:color w:val="0077C0"/>
              </w:rPr>
              <w:t>Total Current Assets</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36,470</w:t>
            </w:r>
          </w:p>
        </w:tc>
        <w:tc>
          <w:tcPr>
            <w:tcW w:w="2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39,377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Long-term receivables, net</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2,413</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2,194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Investments and advances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20,920</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20,477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Properties, plant and equipment, at cost</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173,299</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154,084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0" w:type="dxa"/>
            <w:vAlign w:val="bottom"/>
          </w:tcPr>
          <w:p>
            <w:pPr>
              <w:ind w:left="80"/>
              <w:spacing w:after="0"/>
              <w:rPr>
                <w:sz w:val="20"/>
                <w:szCs w:val="20"/>
                <w:color w:val="auto"/>
              </w:rPr>
            </w:pPr>
            <w:r>
              <w:rPr>
                <w:rFonts w:ascii="Arial" w:cs="Arial" w:eastAsia="Arial" w:hAnsi="Arial"/>
                <w:sz w:val="10"/>
                <w:szCs w:val="10"/>
                <w:color w:val="auto"/>
              </w:rPr>
              <w:t>Less: Accumulated depreciation, depletion and amortization</w:t>
            </w:r>
          </w:p>
        </w:tc>
        <w:tc>
          <w:tcPr>
            <w:tcW w:w="740" w:type="dxa"/>
            <w:vAlign w:val="bottom"/>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81,519</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75,474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0" w:type="dxa"/>
            <w:vAlign w:val="bottom"/>
          </w:tcPr>
          <w:p>
            <w:pPr>
              <w:ind w:left="180"/>
              <w:spacing w:after="0" w:line="91" w:lineRule="exact"/>
              <w:rPr>
                <w:sz w:val="20"/>
                <w:szCs w:val="20"/>
                <w:color w:val="auto"/>
              </w:rPr>
            </w:pPr>
            <w:r>
              <w:rPr>
                <w:rFonts w:ascii="Arial" w:cs="Arial" w:eastAsia="Arial" w:hAnsi="Arial"/>
                <w:sz w:val="10"/>
                <w:szCs w:val="10"/>
                <w:color w:val="auto"/>
              </w:rPr>
              <w:t>Properties, plant and equipment, net</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91,780</w:t>
            </w:r>
          </w:p>
        </w:tc>
        <w:tc>
          <w:tcPr>
            <w:tcW w:w="2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78,610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Deferred charges and other assets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4,711</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3,491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Goodwill</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4,619</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4,637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0" w:type="dxa"/>
            <w:vAlign w:val="bottom"/>
          </w:tcPr>
          <w:p>
            <w:pPr>
              <w:ind w:left="80"/>
              <w:spacing w:after="0"/>
              <w:rPr>
                <w:sz w:val="20"/>
                <w:szCs w:val="20"/>
                <w:color w:val="auto"/>
              </w:rPr>
            </w:pPr>
            <w:r>
              <w:rPr>
                <w:rFonts w:ascii="Arial" w:cs="Arial" w:eastAsia="Arial" w:hAnsi="Arial"/>
                <w:sz w:val="10"/>
                <w:szCs w:val="10"/>
                <w:color w:val="auto"/>
              </w:rPr>
              <w:t>Assets held for sale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252</w:t>
            </w:r>
          </w:p>
        </w:tc>
        <w:tc>
          <w:tcPr>
            <w:tcW w:w="280" w:type="dxa"/>
            <w:vAlign w:val="bottom"/>
          </w:tcPr>
          <w:p>
            <w:pPr>
              <w:spacing w:after="0"/>
              <w:rPr>
                <w:sz w:val="10"/>
                <w:szCs w:val="1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880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Total Assets</w:t>
            </w:r>
          </w:p>
        </w:tc>
        <w:tc>
          <w:tcPr>
            <w:tcW w:w="940" w:type="dxa"/>
            <w:vAlign w:val="bottom"/>
            <w:tcBorders>
              <w:top w:val="single" w:sz="8" w:color="0077C0"/>
              <w:bottom w:val="single" w:sz="8" w:color="0077C0"/>
            </w:tcBorders>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0077C0"/>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161,165</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148,786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800" w:type="dxa"/>
            <w:vAlign w:val="bottom"/>
          </w:tcPr>
          <w:p>
            <w:pPr>
              <w:spacing w:after="0" w:line="92" w:lineRule="exact"/>
              <w:rPr>
                <w:sz w:val="20"/>
                <w:szCs w:val="20"/>
                <w:color w:val="auto"/>
              </w:rPr>
            </w:pPr>
            <w:r>
              <w:rPr>
                <w:rFonts w:ascii="Arial" w:cs="Arial" w:eastAsia="Arial" w:hAnsi="Arial"/>
                <w:sz w:val="10"/>
                <w:szCs w:val="10"/>
                <w:b w:val="1"/>
                <w:bCs w:val="1"/>
                <w:color w:val="0077C0"/>
              </w:rPr>
              <w:t>Liabilities and Stockholders’ Equity</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2,818</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800" w:type="dxa"/>
            <w:vAlign w:val="bottom"/>
          </w:tcPr>
          <w:p>
            <w:pPr>
              <w:ind w:left="80"/>
              <w:spacing w:after="0" w:line="104" w:lineRule="exact"/>
              <w:rPr>
                <w:sz w:val="20"/>
                <w:szCs w:val="20"/>
                <w:color w:val="auto"/>
              </w:rPr>
            </w:pPr>
            <w:r>
              <w:rPr>
                <w:rFonts w:ascii="Arial" w:cs="Arial" w:eastAsia="Arial" w:hAnsi="Arial"/>
                <w:sz w:val="10"/>
                <w:szCs w:val="10"/>
                <w:color w:val="auto"/>
              </w:rPr>
              <w:t>Short-term debt</w:t>
            </w:r>
          </w:p>
        </w:tc>
        <w:tc>
          <w:tcPr>
            <w:tcW w:w="940" w:type="dxa"/>
            <w:vAlign w:val="bottom"/>
            <w:gridSpan w:val="2"/>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1,162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Accounts payable</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16,580</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21,756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Accrued liabilities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8,077</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5,275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Federal and other taxes on income</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3,079</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3,972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 taxes payable</w:t>
            </w:r>
          </w:p>
        </w:tc>
        <w:tc>
          <w:tcPr>
            <w:tcW w:w="74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1,469</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1,633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00" w:type="dxa"/>
            <w:vAlign w:val="bottom"/>
          </w:tcPr>
          <w:p>
            <w:pPr>
              <w:ind w:left="80"/>
              <w:spacing w:after="0" w:line="91" w:lineRule="exact"/>
              <w:rPr>
                <w:sz w:val="20"/>
                <w:szCs w:val="20"/>
                <w:color w:val="auto"/>
              </w:rPr>
            </w:pPr>
            <w:r>
              <w:rPr>
                <w:rFonts w:ascii="Arial" w:cs="Arial" w:eastAsia="Arial" w:hAnsi="Arial"/>
                <w:sz w:val="10"/>
                <w:szCs w:val="10"/>
                <w:b w:val="1"/>
                <w:bCs w:val="1"/>
                <w:color w:val="0077C0"/>
              </w:rPr>
              <w:t>Total Current Liabilities</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32,023</w:t>
            </w:r>
          </w:p>
        </w:tc>
        <w:tc>
          <w:tcPr>
            <w:tcW w:w="2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33,798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Long-term debt</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5,742</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5,664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Capital lease obligations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341</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Deferred credits and other noncurrent obligations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17,678</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Noncurrent deferred income taxes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11,539</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12,170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Reserves for employee benefit plans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6,725</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4,449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Minority interests</w:t>
            </w:r>
          </w:p>
        </w:tc>
        <w:tc>
          <w:tcPr>
            <w:tcW w:w="74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469</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Total Liabilities</w:t>
            </w:r>
          </w:p>
        </w:tc>
        <w:tc>
          <w:tcPr>
            <w:tcW w:w="740" w:type="dxa"/>
            <w:vAlign w:val="bottom"/>
            <w:tcBorders>
              <w:bottom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74,517</w:t>
            </w:r>
          </w:p>
        </w:tc>
        <w:tc>
          <w:tcPr>
            <w:tcW w:w="2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71,698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800" w:type="dxa"/>
            <w:vAlign w:val="bottom"/>
          </w:tcPr>
          <w:p>
            <w:pPr>
              <w:ind w:left="80"/>
              <w:spacing w:after="0" w:line="91" w:lineRule="exact"/>
              <w:rPr>
                <w:sz w:val="20"/>
                <w:szCs w:val="20"/>
                <w:color w:val="auto"/>
              </w:rPr>
            </w:pPr>
            <w:r>
              <w:rPr>
                <w:rFonts w:ascii="Arial" w:cs="Arial" w:eastAsia="Arial" w:hAnsi="Arial"/>
                <w:sz w:val="10"/>
                <w:szCs w:val="10"/>
                <w:color w:val="auto"/>
              </w:rPr>
              <w:t>Preferred stock (authorized 100,000,000 shares, $1.00 par value; none issued)</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Common stock (authorized 6,000,000,000 shares at December 31, 2008, and 4,000,000,000 at December 31, 2007; $0.75 par value; 2,442,676,580 shares issued at December 31, 2008 and 2007)</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1,832</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1,832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Capital in excess of par value</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14,448</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14,289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Retained earnings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101,102</w:t>
            </w:r>
          </w:p>
        </w:tc>
        <w:tc>
          <w:tcPr>
            <w:tcW w:w="2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82,329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Notes receivable – key employees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9"/>
                <w:szCs w:val="9"/>
                <w:color w:val="auto"/>
              </w:rPr>
            </w:pPr>
          </w:p>
        </w:tc>
        <w:tc>
          <w:tcPr>
            <w:tcW w:w="6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Accumulated other comprehensive loss</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(3,924)</w:t>
            </w:r>
          </w:p>
        </w:tc>
        <w:tc>
          <w:tcPr>
            <w:tcW w:w="280" w:type="dxa"/>
            <w:vAlign w:val="bottom"/>
          </w:tcPr>
          <w:p>
            <w:pPr>
              <w:spacing w:after="0"/>
              <w:rPr>
                <w:sz w:val="9"/>
                <w:szCs w:val="9"/>
                <w:color w:val="auto"/>
              </w:rPr>
            </w:pPr>
          </w:p>
        </w:tc>
        <w:tc>
          <w:tcPr>
            <w:tcW w:w="6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(2,015)</w:t>
            </w:r>
          </w:p>
        </w:tc>
        <w:tc>
          <w:tcPr>
            <w:tcW w:w="0" w:type="dxa"/>
            <w:vAlign w:val="bottom"/>
          </w:tcPr>
          <w:p>
            <w:pPr>
              <w:spacing w:after="0"/>
              <w:rPr>
                <w:sz w:val="1"/>
                <w:szCs w:val="1"/>
                <w:color w:val="auto"/>
              </w:rPr>
            </w:pPr>
          </w:p>
        </w:tc>
      </w:tr>
      <w:tr>
        <w:trPr>
          <w:trHeight w:val="106"/>
        </w:trPr>
        <w:tc>
          <w:tcPr>
            <w:tcW w:w="8800" w:type="dxa"/>
            <w:vAlign w:val="bottom"/>
          </w:tcPr>
          <w:p>
            <w:pPr>
              <w:ind w:left="80"/>
              <w:spacing w:after="0" w:line="106" w:lineRule="exact"/>
              <w:rPr>
                <w:sz w:val="20"/>
                <w:szCs w:val="20"/>
                <w:color w:val="auto"/>
              </w:rPr>
            </w:pPr>
            <w:r>
              <w:rPr>
                <w:rFonts w:ascii="Arial" w:cs="Arial" w:eastAsia="Arial" w:hAnsi="Arial"/>
                <w:sz w:val="10"/>
                <w:szCs w:val="10"/>
                <w:color w:val="auto"/>
              </w:rPr>
              <w:t>Deferred compensation and benefit plan trust</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(434)</w:t>
            </w:r>
          </w:p>
        </w:tc>
        <w:tc>
          <w:tcPr>
            <w:tcW w:w="280" w:type="dxa"/>
            <w:vAlign w:val="bottom"/>
          </w:tcPr>
          <w:p>
            <w:pPr>
              <w:spacing w:after="0"/>
              <w:rPr>
                <w:sz w:val="9"/>
                <w:szCs w:val="9"/>
                <w:color w:val="auto"/>
              </w:rPr>
            </w:pPr>
          </w:p>
        </w:tc>
        <w:tc>
          <w:tcPr>
            <w:tcW w:w="6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(454)</w:t>
            </w:r>
          </w:p>
        </w:tc>
        <w:tc>
          <w:tcPr>
            <w:tcW w:w="0" w:type="dxa"/>
            <w:vAlign w:val="bottom"/>
          </w:tcPr>
          <w:p>
            <w:pPr>
              <w:spacing w:after="0"/>
              <w:rPr>
                <w:sz w:val="1"/>
                <w:szCs w:val="1"/>
                <w:color w:val="auto"/>
              </w:rPr>
            </w:pPr>
          </w:p>
        </w:tc>
      </w:tr>
      <w:tr>
        <w:trPr>
          <w:trHeight w:val="120"/>
        </w:trPr>
        <w:tc>
          <w:tcPr>
            <w:tcW w:w="8800" w:type="dxa"/>
            <w:vAlign w:val="bottom"/>
          </w:tcPr>
          <w:p>
            <w:pPr>
              <w:ind w:left="80"/>
              <w:spacing w:after="0"/>
              <w:rPr>
                <w:sz w:val="20"/>
                <w:szCs w:val="20"/>
                <w:color w:val="auto"/>
              </w:rPr>
            </w:pPr>
            <w:r>
              <w:rPr>
                <w:rFonts w:ascii="Arial" w:cs="Arial" w:eastAsia="Arial" w:hAnsi="Arial"/>
                <w:sz w:val="10"/>
                <w:szCs w:val="10"/>
                <w:color w:val="auto"/>
              </w:rPr>
              <w:t>Treasury stock, at cost (2008 – 438,444,795 shares; 2007 – 352,242,618 shares)</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(26,376)</w:t>
            </w:r>
          </w:p>
        </w:tc>
        <w:tc>
          <w:tcPr>
            <w:tcW w:w="28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(18,892)</w:t>
            </w:r>
          </w:p>
        </w:tc>
        <w:tc>
          <w:tcPr>
            <w:tcW w:w="0" w:type="dxa"/>
            <w:vAlign w:val="bottom"/>
          </w:tcPr>
          <w:p>
            <w:pPr>
              <w:spacing w:after="0"/>
              <w:rPr>
                <w:sz w:val="1"/>
                <w:szCs w:val="1"/>
                <w:color w:val="auto"/>
              </w:rPr>
            </w:pPr>
          </w:p>
        </w:tc>
      </w:tr>
      <w:tr>
        <w:trPr>
          <w:trHeight w:val="105"/>
        </w:trPr>
        <w:tc>
          <w:tcPr>
            <w:tcW w:w="880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Total Stockholders’ Equity</w:t>
            </w:r>
          </w:p>
        </w:tc>
        <w:tc>
          <w:tcPr>
            <w:tcW w:w="740" w:type="dxa"/>
            <w:vAlign w:val="bottom"/>
            <w:tcBorders>
              <w:top w:val="single" w:sz="8" w:color="0077C0"/>
              <w:bottom w:val="single" w:sz="8" w:color="0077C0"/>
            </w:tcBorders>
          </w:tcPr>
          <w:p>
            <w:pPr>
              <w:spacing w:after="0"/>
              <w:rPr>
                <w:sz w:val="9"/>
                <w:szCs w:val="9"/>
                <w:color w:val="auto"/>
              </w:rPr>
            </w:pPr>
          </w:p>
        </w:tc>
        <w:tc>
          <w:tcPr>
            <w:tcW w:w="200" w:type="dxa"/>
            <w:vAlign w:val="bottom"/>
            <w:tcBorders>
              <w:top w:val="single" w:sz="8" w:color="0077C0"/>
              <w:bottom w:val="single" w:sz="8" w:color="0077C0"/>
            </w:tcBorders>
          </w:tcPr>
          <w:p>
            <w:pPr>
              <w:spacing w:after="0"/>
              <w:rPr>
                <w:sz w:val="9"/>
                <w:szCs w:val="9"/>
                <w:color w:val="auto"/>
              </w:rPr>
            </w:pPr>
          </w:p>
        </w:tc>
        <w:tc>
          <w:tcPr>
            <w:tcW w:w="700" w:type="dxa"/>
            <w:vAlign w:val="bottom"/>
            <w:tcBorders>
              <w:top w:val="single" w:sz="8" w:color="0077C0"/>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86,648</w:t>
            </w:r>
          </w:p>
        </w:tc>
        <w:tc>
          <w:tcPr>
            <w:tcW w:w="2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77,088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8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Total Liabilities and Stockholders’ Equity</w:t>
            </w:r>
          </w:p>
        </w:tc>
        <w:tc>
          <w:tcPr>
            <w:tcW w:w="940" w:type="dxa"/>
            <w:vAlign w:val="bottom"/>
            <w:tcBorders>
              <w:bottom w:val="single" w:sz="8" w:color="0077C0"/>
            </w:tcBorders>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161,165</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148,786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auto"/>
        </w:rPr>
        <w:t>FS-29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3124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805" cy="312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0"/>
                <w:szCs w:val="10"/>
                <w:color w:val="auto"/>
                <w:w w:val="99"/>
              </w:rPr>
              <w:t>Year ended December 31</w:t>
            </w:r>
          </w:p>
        </w:tc>
        <w:tc>
          <w:tcPr>
            <w:tcW w:w="0" w:type="dxa"/>
            <w:vAlign w:val="bottom"/>
          </w:tcPr>
          <w:p>
            <w:pPr>
              <w:spacing w:after="0"/>
              <w:rPr>
                <w:sz w:val="1"/>
                <w:szCs w:val="1"/>
                <w:color w:val="auto"/>
              </w:rPr>
            </w:pPr>
          </w:p>
        </w:tc>
      </w:tr>
      <w:tr>
        <w:trPr>
          <w:trHeight w:val="95"/>
        </w:trPr>
        <w:tc>
          <w:tcPr>
            <w:tcW w:w="5500" w:type="dxa"/>
            <w:vAlign w:val="bottom"/>
            <w:tcBorders>
              <w:bottom w:val="single" w:sz="8" w:color="0077C0"/>
            </w:tcBorders>
          </w:tcPr>
          <w:p>
            <w:pPr>
              <w:spacing w:after="0"/>
              <w:rPr>
                <w:sz w:val="8"/>
                <w:szCs w:val="8"/>
                <w:color w:val="auto"/>
              </w:rPr>
            </w:pPr>
          </w:p>
        </w:tc>
        <w:tc>
          <w:tcPr>
            <w:tcW w:w="2680" w:type="dxa"/>
            <w:vAlign w:val="bottom"/>
            <w:tcBorders>
              <w:bottom w:val="single" w:sz="8" w:color="0077C0"/>
            </w:tcBorders>
          </w:tcPr>
          <w:p>
            <w:pPr>
              <w:spacing w:after="0"/>
              <w:rPr>
                <w:sz w:val="8"/>
                <w:szCs w:val="8"/>
                <w:color w:val="auto"/>
              </w:rPr>
            </w:pPr>
          </w:p>
        </w:tc>
        <w:tc>
          <w:tcPr>
            <w:tcW w:w="200" w:type="dxa"/>
            <w:vAlign w:val="bottom"/>
            <w:tcBorders>
              <w:top w:val="single" w:sz="8" w:color="0077C0"/>
              <w:bottom w:val="single" w:sz="8" w:color="0077C0"/>
            </w:tcBorders>
          </w:tcPr>
          <w:p>
            <w:pPr>
              <w:spacing w:after="0"/>
              <w:rPr>
                <w:sz w:val="8"/>
                <w:szCs w:val="8"/>
                <w:color w:val="auto"/>
              </w:rPr>
            </w:pPr>
          </w:p>
        </w:tc>
        <w:tc>
          <w:tcPr>
            <w:tcW w:w="70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420" w:type="dxa"/>
            <w:vAlign w:val="bottom"/>
            <w:tcBorders>
              <w:top w:val="single" w:sz="8" w:color="0077C0"/>
              <w:bottom w:val="single" w:sz="8" w:color="0077C0"/>
            </w:tcBorders>
          </w:tcPr>
          <w:p>
            <w:pPr>
              <w:spacing w:after="0"/>
              <w:rPr>
                <w:sz w:val="8"/>
                <w:szCs w:val="8"/>
                <w:color w:val="auto"/>
              </w:rPr>
            </w:pPr>
          </w:p>
        </w:tc>
        <w:tc>
          <w:tcPr>
            <w:tcW w:w="7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2007</w:t>
            </w:r>
          </w:p>
        </w:tc>
        <w:tc>
          <w:tcPr>
            <w:tcW w:w="68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500" w:type="dxa"/>
            <w:vAlign w:val="bottom"/>
          </w:tcPr>
          <w:p>
            <w:pPr>
              <w:spacing w:after="0" w:line="92" w:lineRule="exact"/>
              <w:rPr>
                <w:sz w:val="20"/>
                <w:szCs w:val="20"/>
                <w:color w:val="auto"/>
              </w:rPr>
            </w:pPr>
            <w:r>
              <w:rPr>
                <w:rFonts w:ascii="Arial" w:cs="Arial" w:eastAsia="Arial" w:hAnsi="Arial"/>
                <w:sz w:val="10"/>
                <w:szCs w:val="10"/>
                <w:b w:val="1"/>
                <w:bCs w:val="1"/>
                <w:color w:val="0077C0"/>
              </w:rPr>
              <w:t>Operating Activities</w:t>
            </w:r>
          </w:p>
        </w:tc>
        <w:tc>
          <w:tcPr>
            <w:tcW w:w="28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23,931</w:t>
            </w: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Net income</w:t>
            </w:r>
          </w:p>
        </w:tc>
        <w:tc>
          <w:tcPr>
            <w:tcW w:w="2880" w:type="dxa"/>
            <w:vAlign w:val="bottom"/>
            <w:gridSpan w:val="2"/>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18,688</w:t>
            </w:r>
          </w:p>
        </w:tc>
        <w:tc>
          <w:tcPr>
            <w:tcW w:w="68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17,138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Adjustments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9,528</w:t>
            </w: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00" w:type="dxa"/>
            <w:vAlign w:val="bottom"/>
          </w:tcPr>
          <w:p>
            <w:pPr>
              <w:ind w:left="180"/>
              <w:spacing w:after="0" w:line="104" w:lineRule="exact"/>
              <w:rPr>
                <w:sz w:val="20"/>
                <w:szCs w:val="20"/>
                <w:color w:val="auto"/>
              </w:rPr>
            </w:pPr>
            <w:r>
              <w:rPr>
                <w:rFonts w:ascii="Arial" w:cs="Arial" w:eastAsia="Arial" w:hAnsi="Arial"/>
                <w:sz w:val="10"/>
                <w:szCs w:val="10"/>
                <w:color w:val="auto"/>
              </w:rPr>
              <w:t>Depreciation, depletion and amortization</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8,708</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7,506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Dry hole expense</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375</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507</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Distributions less than income from equity affiliates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(440)</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(1,439)</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(979)</w:t>
            </w: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Net before-tax gains on asset retirements and sales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(1,358)</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(2,315)</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(229)</w:t>
            </w: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Net foreign currency effects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(355)</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378</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Deferred income tax provision</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598</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261</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614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Net (increase) decrease in operating working capital</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(1,673)</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685</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1,044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Minority interest in net income</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100</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107</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Increase in long-term receivables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(161)</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(82)</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(900)</w:t>
            </w: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(Increase) decrease in other deferred charges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(84)</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(530)</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180"/>
              <w:spacing w:after="0" w:line="106" w:lineRule="exact"/>
              <w:rPr>
                <w:sz w:val="20"/>
                <w:szCs w:val="20"/>
                <w:color w:val="auto"/>
              </w:rPr>
            </w:pPr>
            <w:r>
              <w:rPr>
                <w:rFonts w:ascii="Arial" w:cs="Arial" w:eastAsia="Arial" w:hAnsi="Arial"/>
                <w:sz w:val="10"/>
                <w:szCs w:val="10"/>
                <w:color w:val="auto"/>
              </w:rPr>
              <w:t>Cash contributions to employee pension plans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(839)</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(317)</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(449)</w:t>
            </w:r>
          </w:p>
        </w:tc>
        <w:tc>
          <w:tcPr>
            <w:tcW w:w="0" w:type="dxa"/>
            <w:vAlign w:val="bottom"/>
          </w:tcPr>
          <w:p>
            <w:pPr>
              <w:spacing w:after="0"/>
              <w:rPr>
                <w:sz w:val="1"/>
                <w:szCs w:val="1"/>
                <w:color w:val="auto"/>
              </w:rPr>
            </w:pPr>
          </w:p>
        </w:tc>
      </w:tr>
      <w:tr>
        <w:trPr>
          <w:trHeight w:val="120"/>
        </w:trPr>
        <w:tc>
          <w:tcPr>
            <w:tcW w:w="5500" w:type="dxa"/>
            <w:vAlign w:val="bottom"/>
          </w:tcPr>
          <w:p>
            <w:pPr>
              <w:ind w:left="180"/>
              <w:spacing w:after="0"/>
              <w:rPr>
                <w:sz w:val="20"/>
                <w:szCs w:val="20"/>
                <w:color w:val="auto"/>
              </w:rPr>
            </w:pPr>
            <w:r>
              <w:rPr>
                <w:rFonts w:ascii="Arial" w:cs="Arial" w:eastAsia="Arial" w:hAnsi="Arial"/>
                <w:sz w:val="10"/>
                <w:szCs w:val="10"/>
                <w:color w:val="auto"/>
              </w:rPr>
              <w:t>Other</w:t>
            </w: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10</w:t>
            </w:r>
          </w:p>
        </w:tc>
        <w:tc>
          <w:tcPr>
            <w:tcW w:w="420" w:type="dxa"/>
            <w:vAlign w:val="bottom"/>
          </w:tcPr>
          <w:p>
            <w:pPr>
              <w:spacing w:after="0"/>
              <w:rPr>
                <w:sz w:val="10"/>
                <w:szCs w:val="10"/>
                <w:color w:val="auto"/>
              </w:rPr>
            </w:pPr>
          </w:p>
        </w:tc>
        <w:tc>
          <w:tcPr>
            <w:tcW w:w="700" w:type="dxa"/>
            <w:vAlign w:val="bottom"/>
          </w:tcPr>
          <w:p>
            <w:pPr>
              <w:jc w:val="right"/>
              <w:ind w:right="189"/>
              <w:spacing w:after="0"/>
              <w:rPr>
                <w:sz w:val="20"/>
                <w:szCs w:val="20"/>
                <w:color w:val="auto"/>
              </w:rPr>
            </w:pPr>
            <w:r>
              <w:rPr>
                <w:rFonts w:ascii="Arial" w:cs="Arial" w:eastAsia="Arial" w:hAnsi="Arial"/>
                <w:sz w:val="10"/>
                <w:szCs w:val="10"/>
                <w:color w:val="auto"/>
              </w:rPr>
              <w:t>326</w:t>
            </w:r>
          </w:p>
        </w:tc>
        <w:tc>
          <w:tcPr>
            <w:tcW w:w="680" w:type="dxa"/>
            <w:vAlign w:val="bottom"/>
          </w:tcPr>
          <w:p>
            <w:pPr>
              <w:spacing w:after="0"/>
              <w:rPr>
                <w:sz w:val="10"/>
                <w:szCs w:val="1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0"/>
                <w:szCs w:val="10"/>
                <w:color w:val="auto"/>
              </w:rPr>
              <w:t>(503)</w:t>
            </w:r>
          </w:p>
        </w:tc>
        <w:tc>
          <w:tcPr>
            <w:tcW w:w="0" w:type="dxa"/>
            <w:vAlign w:val="bottom"/>
          </w:tcPr>
          <w:p>
            <w:pPr>
              <w:spacing w:after="0"/>
              <w:rPr>
                <w:sz w:val="1"/>
                <w:szCs w:val="1"/>
                <w:color w:val="auto"/>
              </w:rPr>
            </w:pPr>
          </w:p>
        </w:tc>
      </w:tr>
      <w:tr>
        <w:trPr>
          <w:trHeight w:val="105"/>
        </w:trPr>
        <w:tc>
          <w:tcPr>
            <w:tcW w:w="5500" w:type="dxa"/>
            <w:vAlign w:val="bottom"/>
            <w:tcBorders>
              <w:top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Cash Provided by Operating Activities</w:t>
            </w:r>
          </w:p>
        </w:tc>
        <w:tc>
          <w:tcPr>
            <w:tcW w:w="2680" w:type="dxa"/>
            <w:vAlign w:val="bottom"/>
            <w:tcBorders>
              <w:top w:val="single" w:sz="8" w:color="0077C0"/>
            </w:tcBorders>
          </w:tcPr>
          <w:p>
            <w:pPr>
              <w:spacing w:after="0"/>
              <w:rPr>
                <w:sz w:val="9"/>
                <w:szCs w:val="9"/>
                <w:color w:val="auto"/>
              </w:rPr>
            </w:pPr>
          </w:p>
        </w:tc>
        <w:tc>
          <w:tcPr>
            <w:tcW w:w="200" w:type="dxa"/>
            <w:vAlign w:val="bottom"/>
            <w:tcBorders>
              <w:top w:val="single" w:sz="8" w:color="0077C0"/>
            </w:tcBorders>
          </w:tcPr>
          <w:p>
            <w:pPr>
              <w:spacing w:after="0"/>
              <w:rPr>
                <w:sz w:val="9"/>
                <w:szCs w:val="9"/>
                <w:color w:val="auto"/>
              </w:rPr>
            </w:pPr>
          </w:p>
        </w:tc>
        <w:tc>
          <w:tcPr>
            <w:tcW w:w="700" w:type="dxa"/>
            <w:vAlign w:val="bottom"/>
            <w:tcBorders>
              <w:top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29,632</w:t>
            </w:r>
          </w:p>
        </w:tc>
        <w:tc>
          <w:tcPr>
            <w:tcW w:w="420" w:type="dxa"/>
            <w:vAlign w:val="bottom"/>
            <w:tcBorders>
              <w:top w:val="single" w:sz="8" w:color="0077C0"/>
            </w:tcBorders>
          </w:tcPr>
          <w:p>
            <w:pPr>
              <w:spacing w:after="0"/>
              <w:rPr>
                <w:sz w:val="9"/>
                <w:szCs w:val="9"/>
                <w:color w:val="auto"/>
              </w:rPr>
            </w:pPr>
          </w:p>
        </w:tc>
        <w:tc>
          <w:tcPr>
            <w:tcW w:w="700" w:type="dxa"/>
            <w:vAlign w:val="bottom"/>
            <w:tcBorders>
              <w:top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24,977</w:t>
            </w:r>
          </w:p>
        </w:tc>
        <w:tc>
          <w:tcPr>
            <w:tcW w:w="680" w:type="dxa"/>
            <w:vAlign w:val="bottom"/>
            <w:tcBorders>
              <w:top w:val="single" w:sz="8" w:color="0077C0"/>
            </w:tcBorders>
          </w:tcPr>
          <w:p>
            <w:pPr>
              <w:spacing w:after="0"/>
              <w:rPr>
                <w:sz w:val="9"/>
                <w:szCs w:val="9"/>
                <w:color w:val="auto"/>
              </w:rPr>
            </w:pPr>
          </w:p>
        </w:tc>
        <w:tc>
          <w:tcPr>
            <w:tcW w:w="500" w:type="dxa"/>
            <w:vAlign w:val="bottom"/>
            <w:tcBorders>
              <w:top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24,323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5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Investing Activities</w:t>
            </w:r>
          </w:p>
        </w:tc>
        <w:tc>
          <w:tcPr>
            <w:tcW w:w="268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700" w:type="dxa"/>
            <w:vAlign w:val="bottom"/>
            <w:tcBorders>
              <w:top w:val="single" w:sz="8" w:color="0077C0"/>
              <w:right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(19,666)</w:t>
            </w:r>
          </w:p>
        </w:tc>
        <w:tc>
          <w:tcPr>
            <w:tcW w:w="42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500" w:type="dxa"/>
            <w:vAlign w:val="bottom"/>
          </w:tcPr>
          <w:p>
            <w:pPr>
              <w:ind w:left="80"/>
              <w:spacing w:after="0" w:line="104" w:lineRule="exact"/>
              <w:rPr>
                <w:sz w:val="20"/>
                <w:szCs w:val="20"/>
                <w:color w:val="auto"/>
              </w:rPr>
            </w:pPr>
            <w:r>
              <w:rPr>
                <w:rFonts w:ascii="Arial" w:cs="Arial" w:eastAsia="Arial" w:hAnsi="Arial"/>
                <w:sz w:val="10"/>
                <w:szCs w:val="10"/>
                <w:color w:val="auto"/>
              </w:rPr>
              <w:t>Capital expenditures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(16,678)</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(13,813)</w:t>
            </w: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Repayment of loans by equity affiliates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179</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Proceeds from asset sales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1,491</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3,338</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989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Net sales of marketable securities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483</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185</w:t>
            </w:r>
          </w:p>
        </w:tc>
        <w:tc>
          <w:tcPr>
            <w:tcW w:w="680" w:type="dxa"/>
            <w:vAlign w:val="bottom"/>
          </w:tcPr>
          <w:p>
            <w:pPr>
              <w:spacing w:after="0"/>
              <w:rPr>
                <w:sz w:val="9"/>
                <w:szCs w:val="9"/>
                <w:color w:val="auto"/>
              </w:rPr>
            </w:pP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500" w:type="dxa"/>
            <w:vAlign w:val="bottom"/>
          </w:tcPr>
          <w:p>
            <w:pPr>
              <w:ind w:left="80"/>
              <w:spacing w:after="0"/>
              <w:rPr>
                <w:sz w:val="20"/>
                <w:szCs w:val="20"/>
                <w:color w:val="auto"/>
              </w:rPr>
            </w:pPr>
            <w:r>
              <w:rPr>
                <w:rFonts w:ascii="Arial" w:cs="Arial" w:eastAsia="Arial" w:hAnsi="Arial"/>
                <w:sz w:val="10"/>
                <w:szCs w:val="10"/>
                <w:color w:val="auto"/>
              </w:rPr>
              <w:t>Net sales (purchases) of other short-term investments</w:t>
            </w: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432</w:t>
            </w:r>
          </w:p>
        </w:tc>
        <w:tc>
          <w:tcPr>
            <w:tcW w:w="420" w:type="dxa"/>
            <w:vAlign w:val="bottom"/>
          </w:tcPr>
          <w:p>
            <w:pPr>
              <w:spacing w:after="0"/>
              <w:rPr>
                <w:sz w:val="10"/>
                <w:szCs w:val="10"/>
                <w:color w:val="auto"/>
              </w:rPr>
            </w:pPr>
          </w:p>
        </w:tc>
        <w:tc>
          <w:tcPr>
            <w:tcW w:w="700" w:type="dxa"/>
            <w:vAlign w:val="bottom"/>
          </w:tcPr>
          <w:p>
            <w:pPr>
              <w:jc w:val="right"/>
              <w:ind w:right="149"/>
              <w:spacing w:after="0"/>
              <w:rPr>
                <w:sz w:val="20"/>
                <w:szCs w:val="20"/>
                <w:color w:val="auto"/>
              </w:rPr>
            </w:pPr>
            <w:r>
              <w:rPr>
                <w:rFonts w:ascii="Arial" w:cs="Arial" w:eastAsia="Arial" w:hAnsi="Arial"/>
                <w:sz w:val="10"/>
                <w:szCs w:val="10"/>
                <w:color w:val="auto"/>
              </w:rPr>
              <w:t>(799)</w:t>
            </w:r>
          </w:p>
        </w:tc>
        <w:tc>
          <w:tcPr>
            <w:tcW w:w="680" w:type="dxa"/>
            <w:vAlign w:val="bottom"/>
          </w:tcPr>
          <w:p>
            <w:pPr>
              <w:spacing w:after="0"/>
              <w:rPr>
                <w:sz w:val="10"/>
                <w:szCs w:val="10"/>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5500" w:type="dxa"/>
            <w:vAlign w:val="bottom"/>
            <w:tcBorders>
              <w:top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Cash Used for Investing Activities</w:t>
            </w:r>
          </w:p>
        </w:tc>
        <w:tc>
          <w:tcPr>
            <w:tcW w:w="2680" w:type="dxa"/>
            <w:vAlign w:val="bottom"/>
            <w:tcBorders>
              <w:top w:val="single" w:sz="8" w:color="0077C0"/>
            </w:tcBorders>
          </w:tcPr>
          <w:p>
            <w:pPr>
              <w:spacing w:after="0"/>
              <w:rPr>
                <w:sz w:val="9"/>
                <w:szCs w:val="9"/>
                <w:color w:val="auto"/>
              </w:rPr>
            </w:pPr>
          </w:p>
        </w:tc>
        <w:tc>
          <w:tcPr>
            <w:tcW w:w="200" w:type="dxa"/>
            <w:vAlign w:val="bottom"/>
            <w:tcBorders>
              <w:top w:val="single" w:sz="8" w:color="0077C0"/>
            </w:tcBorders>
          </w:tcPr>
          <w:p>
            <w:pPr>
              <w:spacing w:after="0"/>
              <w:rPr>
                <w:sz w:val="9"/>
                <w:szCs w:val="9"/>
                <w:color w:val="auto"/>
              </w:rPr>
            </w:pPr>
          </w:p>
        </w:tc>
        <w:tc>
          <w:tcPr>
            <w:tcW w:w="700" w:type="dxa"/>
            <w:vAlign w:val="bottom"/>
            <w:tcBorders>
              <w:top w:val="single" w:sz="8" w:color="0077C0"/>
              <w:right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(17,081)</w:t>
            </w:r>
          </w:p>
        </w:tc>
        <w:tc>
          <w:tcPr>
            <w:tcW w:w="420" w:type="dxa"/>
            <w:vAlign w:val="bottom"/>
            <w:tcBorders>
              <w:top w:val="single" w:sz="8" w:color="0077C0"/>
            </w:tcBorders>
          </w:tcPr>
          <w:p>
            <w:pPr>
              <w:spacing w:after="0"/>
              <w:rPr>
                <w:sz w:val="9"/>
                <w:szCs w:val="9"/>
                <w:color w:val="auto"/>
              </w:rPr>
            </w:pPr>
          </w:p>
        </w:tc>
        <w:tc>
          <w:tcPr>
            <w:tcW w:w="70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(13,933)</w:t>
            </w:r>
          </w:p>
        </w:tc>
        <w:tc>
          <w:tcPr>
            <w:tcW w:w="680" w:type="dxa"/>
            <w:vAlign w:val="bottom"/>
            <w:tcBorders>
              <w:top w:val="single" w:sz="8" w:color="0077C0"/>
            </w:tcBorders>
          </w:tcPr>
          <w:p>
            <w:pPr>
              <w:spacing w:after="0"/>
              <w:rPr>
                <w:sz w:val="9"/>
                <w:szCs w:val="9"/>
                <w:color w:val="auto"/>
              </w:rPr>
            </w:pPr>
          </w:p>
        </w:tc>
        <w:tc>
          <w:tcPr>
            <w:tcW w:w="500" w:type="dxa"/>
            <w:vAlign w:val="bottom"/>
            <w:tcBorders>
              <w:top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(12,219)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5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Financing Activities</w:t>
            </w:r>
          </w:p>
        </w:tc>
        <w:tc>
          <w:tcPr>
            <w:tcW w:w="268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70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2,647</w:t>
            </w:r>
          </w:p>
        </w:tc>
        <w:tc>
          <w:tcPr>
            <w:tcW w:w="42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500" w:type="dxa"/>
            <w:vAlign w:val="bottom"/>
          </w:tcPr>
          <w:p>
            <w:pPr>
              <w:ind w:left="80"/>
              <w:spacing w:after="0" w:line="104" w:lineRule="exact"/>
              <w:rPr>
                <w:sz w:val="20"/>
                <w:szCs w:val="20"/>
                <w:color w:val="auto"/>
              </w:rPr>
            </w:pPr>
            <w:r>
              <w:rPr>
                <w:rFonts w:ascii="Arial" w:cs="Arial" w:eastAsia="Arial" w:hAnsi="Arial"/>
                <w:sz w:val="10"/>
                <w:szCs w:val="10"/>
                <w:color w:val="auto"/>
              </w:rPr>
              <w:t>Net borrowings (payments) of short-term obligations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(345)</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(677)</w:t>
            </w: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Repayments of long-term debt and other financing obligations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(965)</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(3,343)</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(2,224)</w:t>
            </w: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Proceeds from issuances of long-term debt</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650</w:t>
            </w:r>
          </w:p>
        </w:tc>
        <w:tc>
          <w:tcPr>
            <w:tcW w:w="680" w:type="dxa"/>
            <w:vAlign w:val="bottom"/>
          </w:tcPr>
          <w:p>
            <w:pPr>
              <w:spacing w:after="0"/>
              <w:rPr>
                <w:sz w:val="9"/>
                <w:szCs w:val="9"/>
                <w:color w:val="auto"/>
              </w:rPr>
            </w:pPr>
          </w:p>
        </w:tc>
        <w:tc>
          <w:tcPr>
            <w:tcW w:w="52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Cash dividends – common stock</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(5,162)</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(4,791)</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(4,396)</w:t>
            </w:r>
          </w:p>
        </w:tc>
        <w:tc>
          <w:tcPr>
            <w:tcW w:w="0" w:type="dxa"/>
            <w:vAlign w:val="bottom"/>
          </w:tcPr>
          <w:p>
            <w:pPr>
              <w:spacing w:after="0"/>
              <w:rPr>
                <w:sz w:val="1"/>
                <w:szCs w:val="1"/>
                <w:color w:val="auto"/>
              </w:rPr>
            </w:pPr>
          </w:p>
        </w:tc>
      </w:tr>
      <w:tr>
        <w:trPr>
          <w:trHeight w:val="106"/>
        </w:trPr>
        <w:tc>
          <w:tcPr>
            <w:tcW w:w="5500" w:type="dxa"/>
            <w:vAlign w:val="bottom"/>
          </w:tcPr>
          <w:p>
            <w:pPr>
              <w:ind w:left="80"/>
              <w:spacing w:after="0" w:line="106" w:lineRule="exact"/>
              <w:rPr>
                <w:sz w:val="20"/>
                <w:szCs w:val="20"/>
                <w:color w:val="auto"/>
              </w:rPr>
            </w:pPr>
            <w:r>
              <w:rPr>
                <w:rFonts w:ascii="Arial" w:cs="Arial" w:eastAsia="Arial" w:hAnsi="Arial"/>
                <w:sz w:val="10"/>
                <w:szCs w:val="10"/>
                <w:color w:val="auto"/>
              </w:rPr>
              <w:t>Dividends paid to minority interests</w:t>
            </w: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(99)</w:t>
            </w:r>
          </w:p>
        </w:tc>
        <w:tc>
          <w:tcPr>
            <w:tcW w:w="42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(77)</w:t>
            </w:r>
          </w:p>
        </w:tc>
        <w:tc>
          <w:tcPr>
            <w:tcW w:w="680" w:type="dxa"/>
            <w:vAlign w:val="bottom"/>
          </w:tcPr>
          <w:p>
            <w:pPr>
              <w:spacing w:after="0"/>
              <w:rPr>
                <w:sz w:val="9"/>
                <w:szCs w:val="9"/>
                <w:color w:val="auto"/>
              </w:rPr>
            </w:pP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20"/>
        </w:trPr>
        <w:tc>
          <w:tcPr>
            <w:tcW w:w="5500" w:type="dxa"/>
            <w:vAlign w:val="bottom"/>
          </w:tcPr>
          <w:p>
            <w:pPr>
              <w:ind w:left="80"/>
              <w:spacing w:after="0"/>
              <w:rPr>
                <w:sz w:val="20"/>
                <w:szCs w:val="20"/>
                <w:color w:val="auto"/>
              </w:rPr>
            </w:pPr>
            <w:r>
              <w:rPr>
                <w:rFonts w:ascii="Arial" w:cs="Arial" w:eastAsia="Arial" w:hAnsi="Arial"/>
                <w:sz w:val="10"/>
                <w:szCs w:val="10"/>
                <w:color w:val="auto"/>
              </w:rPr>
              <w:t>Net purchases of treasury shares</w:t>
            </w: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right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(6,821)</w:t>
            </w:r>
          </w:p>
        </w:tc>
        <w:tc>
          <w:tcPr>
            <w:tcW w:w="420" w:type="dxa"/>
            <w:vAlign w:val="bottom"/>
          </w:tcPr>
          <w:p>
            <w:pPr>
              <w:spacing w:after="0"/>
              <w:rPr>
                <w:sz w:val="10"/>
                <w:szCs w:val="10"/>
                <w:color w:val="auto"/>
              </w:rPr>
            </w:pPr>
          </w:p>
        </w:tc>
        <w:tc>
          <w:tcPr>
            <w:tcW w:w="700" w:type="dxa"/>
            <w:vAlign w:val="bottom"/>
          </w:tcPr>
          <w:p>
            <w:pPr>
              <w:jc w:val="right"/>
              <w:ind w:right="149"/>
              <w:spacing w:after="0"/>
              <w:rPr>
                <w:sz w:val="20"/>
                <w:szCs w:val="20"/>
                <w:color w:val="auto"/>
              </w:rPr>
            </w:pPr>
            <w:r>
              <w:rPr>
                <w:rFonts w:ascii="Arial" w:cs="Arial" w:eastAsia="Arial" w:hAnsi="Arial"/>
                <w:sz w:val="10"/>
                <w:szCs w:val="10"/>
                <w:color w:val="auto"/>
              </w:rPr>
              <w:t>(6,389)</w:t>
            </w:r>
          </w:p>
        </w:tc>
        <w:tc>
          <w:tcPr>
            <w:tcW w:w="680" w:type="dxa"/>
            <w:vAlign w:val="bottom"/>
          </w:tcPr>
          <w:p>
            <w:pPr>
              <w:spacing w:after="0"/>
              <w:rPr>
                <w:sz w:val="10"/>
                <w:szCs w:val="10"/>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0"/>
                <w:szCs w:val="10"/>
                <w:color w:val="auto"/>
              </w:rPr>
              <w:t>(4,491)</w:t>
            </w:r>
          </w:p>
        </w:tc>
        <w:tc>
          <w:tcPr>
            <w:tcW w:w="0" w:type="dxa"/>
            <w:vAlign w:val="bottom"/>
          </w:tcPr>
          <w:p>
            <w:pPr>
              <w:spacing w:after="0"/>
              <w:rPr>
                <w:sz w:val="1"/>
                <w:szCs w:val="1"/>
                <w:color w:val="auto"/>
              </w:rPr>
            </w:pPr>
          </w:p>
        </w:tc>
      </w:tr>
      <w:tr>
        <w:trPr>
          <w:trHeight w:val="105"/>
        </w:trPr>
        <w:tc>
          <w:tcPr>
            <w:tcW w:w="5500" w:type="dxa"/>
            <w:vAlign w:val="bottom"/>
            <w:tcBorders>
              <w:top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Cash Used for Financing Activities</w:t>
            </w:r>
          </w:p>
        </w:tc>
        <w:tc>
          <w:tcPr>
            <w:tcW w:w="2680" w:type="dxa"/>
            <w:vAlign w:val="bottom"/>
            <w:tcBorders>
              <w:top w:val="single" w:sz="8" w:color="0077C0"/>
            </w:tcBorders>
          </w:tcPr>
          <w:p>
            <w:pPr>
              <w:spacing w:after="0"/>
              <w:rPr>
                <w:sz w:val="9"/>
                <w:szCs w:val="9"/>
                <w:color w:val="auto"/>
              </w:rPr>
            </w:pPr>
          </w:p>
        </w:tc>
        <w:tc>
          <w:tcPr>
            <w:tcW w:w="200" w:type="dxa"/>
            <w:vAlign w:val="bottom"/>
            <w:tcBorders>
              <w:top w:val="single" w:sz="8" w:color="0077C0"/>
            </w:tcBorders>
          </w:tcPr>
          <w:p>
            <w:pPr>
              <w:spacing w:after="0"/>
              <w:rPr>
                <w:sz w:val="9"/>
                <w:szCs w:val="9"/>
                <w:color w:val="auto"/>
              </w:rPr>
            </w:pPr>
          </w:p>
        </w:tc>
        <w:tc>
          <w:tcPr>
            <w:tcW w:w="700" w:type="dxa"/>
            <w:vAlign w:val="bottom"/>
            <w:tcBorders>
              <w:top w:val="single" w:sz="8" w:color="0077C0"/>
              <w:right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(10,400)</w:t>
            </w:r>
          </w:p>
        </w:tc>
        <w:tc>
          <w:tcPr>
            <w:tcW w:w="420" w:type="dxa"/>
            <w:vAlign w:val="bottom"/>
            <w:tcBorders>
              <w:top w:val="single" w:sz="8" w:color="0077C0"/>
            </w:tcBorders>
          </w:tcPr>
          <w:p>
            <w:pPr>
              <w:spacing w:after="0"/>
              <w:rPr>
                <w:sz w:val="9"/>
                <w:szCs w:val="9"/>
                <w:color w:val="auto"/>
              </w:rPr>
            </w:pPr>
          </w:p>
        </w:tc>
        <w:tc>
          <w:tcPr>
            <w:tcW w:w="70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(14,295)</w:t>
            </w:r>
          </w:p>
        </w:tc>
        <w:tc>
          <w:tcPr>
            <w:tcW w:w="680" w:type="dxa"/>
            <w:vAlign w:val="bottom"/>
            <w:tcBorders>
              <w:top w:val="single" w:sz="8" w:color="0077C0"/>
            </w:tcBorders>
          </w:tcPr>
          <w:p>
            <w:pPr>
              <w:spacing w:after="0"/>
              <w:rPr>
                <w:sz w:val="9"/>
                <w:szCs w:val="9"/>
                <w:color w:val="auto"/>
              </w:rPr>
            </w:pPr>
          </w:p>
        </w:tc>
        <w:tc>
          <w:tcPr>
            <w:tcW w:w="48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(11,848)</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5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Effect of Exchange Rate Changes on Cash and Cash Equivalents</w:t>
            </w:r>
          </w:p>
        </w:tc>
        <w:tc>
          <w:tcPr>
            <w:tcW w:w="2680" w:type="dxa"/>
            <w:vAlign w:val="bottom"/>
            <w:tcBorders>
              <w:top w:val="single" w:sz="8" w:color="0077C0"/>
              <w:bottom w:val="single" w:sz="8" w:color="0077C0"/>
            </w:tcBorders>
          </w:tcPr>
          <w:p>
            <w:pPr>
              <w:spacing w:after="0"/>
              <w:rPr>
                <w:sz w:val="9"/>
                <w:szCs w:val="9"/>
                <w:color w:val="auto"/>
              </w:rPr>
            </w:pPr>
          </w:p>
        </w:tc>
        <w:tc>
          <w:tcPr>
            <w:tcW w:w="200" w:type="dxa"/>
            <w:vAlign w:val="bottom"/>
            <w:tcBorders>
              <w:top w:val="single" w:sz="8" w:color="0077C0"/>
              <w:bottom w:val="single" w:sz="8" w:color="0077C0"/>
            </w:tcBorders>
          </w:tcPr>
          <w:p>
            <w:pPr>
              <w:spacing w:after="0"/>
              <w:rPr>
                <w:sz w:val="9"/>
                <w:szCs w:val="9"/>
                <w:color w:val="auto"/>
              </w:rPr>
            </w:pPr>
          </w:p>
        </w:tc>
        <w:tc>
          <w:tcPr>
            <w:tcW w:w="700" w:type="dxa"/>
            <w:vAlign w:val="bottom"/>
            <w:tcBorders>
              <w:top w:val="single" w:sz="8" w:color="0077C0"/>
              <w:bottom w:val="single" w:sz="8" w:color="0077C0"/>
              <w:right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(166)</w:t>
            </w:r>
          </w:p>
        </w:tc>
        <w:tc>
          <w:tcPr>
            <w:tcW w:w="420" w:type="dxa"/>
            <w:vAlign w:val="bottom"/>
            <w:tcBorders>
              <w:top w:val="single" w:sz="8" w:color="0077C0"/>
              <w:bottom w:val="single" w:sz="8" w:color="0077C0"/>
            </w:tcBorders>
          </w:tcPr>
          <w:p>
            <w:pPr>
              <w:spacing w:after="0"/>
              <w:rPr>
                <w:sz w:val="9"/>
                <w:szCs w:val="9"/>
                <w:color w:val="auto"/>
              </w:rPr>
            </w:pPr>
          </w:p>
        </w:tc>
        <w:tc>
          <w:tcPr>
            <w:tcW w:w="7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120</w:t>
            </w:r>
          </w:p>
        </w:tc>
        <w:tc>
          <w:tcPr>
            <w:tcW w:w="6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194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500" w:type="dxa"/>
            <w:vAlign w:val="bottom"/>
          </w:tcPr>
          <w:p>
            <w:pPr>
              <w:spacing w:after="0" w:line="91" w:lineRule="exact"/>
              <w:rPr>
                <w:sz w:val="20"/>
                <w:szCs w:val="20"/>
                <w:color w:val="auto"/>
              </w:rPr>
            </w:pPr>
            <w:r>
              <w:rPr>
                <w:rFonts w:ascii="Arial" w:cs="Arial" w:eastAsia="Arial" w:hAnsi="Arial"/>
                <w:sz w:val="10"/>
                <w:szCs w:val="10"/>
                <w:b w:val="1"/>
                <w:bCs w:val="1"/>
                <w:color w:val="0077C0"/>
              </w:rPr>
              <w:t>Net Change in Cash and Cash Equivalents</w:t>
            </w:r>
          </w:p>
        </w:tc>
        <w:tc>
          <w:tcPr>
            <w:tcW w:w="2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1,985</w:t>
            </w:r>
          </w:p>
        </w:tc>
        <w:tc>
          <w:tcPr>
            <w:tcW w:w="420" w:type="dxa"/>
            <w:vAlign w:val="bottom"/>
          </w:tcPr>
          <w:p>
            <w:pPr>
              <w:spacing w:after="0"/>
              <w:rPr>
                <w:sz w:val="7"/>
                <w:szCs w:val="7"/>
                <w:color w:val="auto"/>
              </w:rPr>
            </w:pPr>
          </w:p>
        </w:tc>
        <w:tc>
          <w:tcPr>
            <w:tcW w:w="700" w:type="dxa"/>
            <w:vAlign w:val="bottom"/>
          </w:tcPr>
          <w:p>
            <w:pPr>
              <w:jc w:val="right"/>
              <w:ind w:right="149"/>
              <w:spacing w:after="0" w:line="91" w:lineRule="exact"/>
              <w:rPr>
                <w:sz w:val="20"/>
                <w:szCs w:val="20"/>
                <w:color w:val="auto"/>
              </w:rPr>
            </w:pPr>
            <w:r>
              <w:rPr>
                <w:rFonts w:ascii="Arial" w:cs="Arial" w:eastAsia="Arial" w:hAnsi="Arial"/>
                <w:sz w:val="10"/>
                <w:szCs w:val="10"/>
                <w:color w:val="auto"/>
              </w:rPr>
              <w:t>(3,131)</w:t>
            </w:r>
          </w:p>
        </w:tc>
        <w:tc>
          <w:tcPr>
            <w:tcW w:w="680" w:type="dxa"/>
            <w:vAlign w:val="bottom"/>
          </w:tcPr>
          <w:p>
            <w:pPr>
              <w:spacing w:after="0"/>
              <w:rPr>
                <w:sz w:val="7"/>
                <w:szCs w:val="7"/>
                <w:color w:val="auto"/>
              </w:rPr>
            </w:pPr>
          </w:p>
        </w:tc>
        <w:tc>
          <w:tcPr>
            <w:tcW w:w="50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450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50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Cash and Cash Equivalents at January 1</w:t>
            </w:r>
          </w:p>
        </w:tc>
        <w:tc>
          <w:tcPr>
            <w:tcW w:w="268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7,362</w:t>
            </w:r>
          </w:p>
        </w:tc>
        <w:tc>
          <w:tcPr>
            <w:tcW w:w="4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10,493</w:t>
            </w:r>
          </w:p>
        </w:tc>
        <w:tc>
          <w:tcPr>
            <w:tcW w:w="68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10,043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Cash and Cash Equivalents at December 31</w:t>
            </w:r>
          </w:p>
        </w:tc>
        <w:tc>
          <w:tcPr>
            <w:tcW w:w="2880" w:type="dxa"/>
            <w:vAlign w:val="bottom"/>
            <w:tcBorders>
              <w:bottom w:val="single" w:sz="8" w:color="0077C0"/>
            </w:tcBorders>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9,347</w:t>
            </w:r>
          </w:p>
        </w:tc>
        <w:tc>
          <w:tcPr>
            <w:tcW w:w="4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7,362</w:t>
            </w:r>
          </w:p>
        </w:tc>
        <w:tc>
          <w:tcPr>
            <w:tcW w:w="68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10,493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auto"/>
        </w:rPr>
        <w:t>FS-30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Stockholders’ Equity</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Shares in thousands; amounts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4185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805" cy="418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3980" w:type="dxa"/>
            <w:vAlign w:val="bottom"/>
          </w:tcPr>
          <w:p>
            <w:pPr>
              <w:spacing w:after="0"/>
              <w:rPr>
                <w:sz w:val="10"/>
                <w:szCs w:val="10"/>
                <w:color w:val="auto"/>
              </w:rPr>
            </w:pPr>
          </w:p>
        </w:tc>
        <w:tc>
          <w:tcPr>
            <w:tcW w:w="136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2008</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2007</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980" w:type="dxa"/>
            <w:vAlign w:val="bottom"/>
            <w:tcBorders>
              <w:bottom w:val="single" w:sz="8" w:color="0077C0"/>
            </w:tcBorders>
          </w:tcPr>
          <w:p>
            <w:pPr>
              <w:spacing w:after="0"/>
              <w:rPr>
                <w:sz w:val="8"/>
                <w:szCs w:val="8"/>
                <w:color w:val="auto"/>
              </w:rPr>
            </w:pPr>
          </w:p>
        </w:tc>
        <w:tc>
          <w:tcPr>
            <w:tcW w:w="1360" w:type="dxa"/>
            <w:vAlign w:val="bottom"/>
            <w:tcBorders>
              <w:bottom w:val="single" w:sz="8" w:color="0077C0"/>
            </w:tcBorders>
          </w:tcPr>
          <w:p>
            <w:pPr>
              <w:jc w:val="right"/>
              <w:ind w:right="629"/>
              <w:spacing w:after="0" w:line="95" w:lineRule="exact"/>
              <w:rPr>
                <w:sz w:val="20"/>
                <w:szCs w:val="20"/>
                <w:color w:val="auto"/>
              </w:rPr>
            </w:pPr>
            <w:r>
              <w:rPr>
                <w:rFonts w:ascii="Arial" w:cs="Arial" w:eastAsia="Arial" w:hAnsi="Arial"/>
                <w:sz w:val="10"/>
                <w:szCs w:val="10"/>
                <w:color w:val="auto"/>
              </w:rPr>
              <w:t>Shares</w:t>
            </w:r>
          </w:p>
        </w:tc>
        <w:tc>
          <w:tcPr>
            <w:tcW w:w="220" w:type="dxa"/>
            <w:vAlign w:val="bottom"/>
            <w:tcBorders>
              <w:bottom w:val="single" w:sz="8" w:color="0077C0"/>
            </w:tcBorders>
          </w:tcPr>
          <w:p>
            <w:pPr>
              <w:spacing w:after="0"/>
              <w:rPr>
                <w:sz w:val="8"/>
                <w:szCs w:val="8"/>
                <w:color w:val="auto"/>
              </w:rPr>
            </w:pPr>
          </w:p>
        </w:tc>
        <w:tc>
          <w:tcPr>
            <w:tcW w:w="70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Amount</w:t>
            </w:r>
          </w:p>
        </w:tc>
        <w:tc>
          <w:tcPr>
            <w:tcW w:w="1260" w:type="dxa"/>
            <w:vAlign w:val="bottom"/>
            <w:tcBorders>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Shares</w:t>
            </w:r>
          </w:p>
        </w:tc>
        <w:tc>
          <w:tcPr>
            <w:tcW w:w="540" w:type="dxa"/>
            <w:vAlign w:val="bottom"/>
            <w:tcBorders>
              <w:bottom w:val="single" w:sz="8" w:color="0077C0"/>
            </w:tcBorders>
          </w:tcPr>
          <w:p>
            <w:pPr>
              <w:spacing w:after="0"/>
              <w:rPr>
                <w:sz w:val="8"/>
                <w:szCs w:val="8"/>
                <w:color w:val="auto"/>
              </w:rPr>
            </w:pPr>
          </w:p>
        </w:tc>
        <w:tc>
          <w:tcPr>
            <w:tcW w:w="1000" w:type="dxa"/>
            <w:vAlign w:val="bottom"/>
            <w:tcBorders>
              <w:bottom w:val="single" w:sz="8" w:color="0077C0"/>
            </w:tcBorders>
          </w:tcPr>
          <w:p>
            <w:pPr>
              <w:jc w:val="right"/>
              <w:ind w:right="469"/>
              <w:spacing w:after="0" w:line="95" w:lineRule="exact"/>
              <w:rPr>
                <w:sz w:val="20"/>
                <w:szCs w:val="20"/>
                <w:color w:val="auto"/>
              </w:rPr>
            </w:pPr>
            <w:r>
              <w:rPr>
                <w:rFonts w:ascii="Arial" w:cs="Arial" w:eastAsia="Arial" w:hAnsi="Arial"/>
                <w:sz w:val="10"/>
                <w:szCs w:val="10"/>
                <w:color w:val="auto"/>
              </w:rPr>
              <w:t>Amount</w:t>
            </w:r>
          </w:p>
        </w:tc>
        <w:tc>
          <w:tcPr>
            <w:tcW w:w="1240" w:type="dxa"/>
            <w:vAlign w:val="bottom"/>
            <w:tcBorders>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Shares</w:t>
            </w:r>
          </w:p>
        </w:tc>
        <w:tc>
          <w:tcPr>
            <w:tcW w:w="560" w:type="dxa"/>
            <w:vAlign w:val="bottom"/>
            <w:tcBorders>
              <w:bottom w:val="single" w:sz="8" w:color="0077C0"/>
            </w:tcBorders>
          </w:tcPr>
          <w:p>
            <w:pPr>
              <w:spacing w:after="0"/>
              <w:rPr>
                <w:sz w:val="8"/>
                <w:szCs w:val="8"/>
                <w:color w:val="auto"/>
              </w:rPr>
            </w:pPr>
          </w:p>
        </w:tc>
        <w:tc>
          <w:tcPr>
            <w:tcW w:w="50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Amount</w:t>
            </w:r>
          </w:p>
        </w:tc>
        <w:tc>
          <w:tcPr>
            <w:tcW w:w="20" w:type="dxa"/>
            <w:vAlign w:val="bottom"/>
            <w:tcBorders>
              <w:bottom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line="105" w:lineRule="exact"/>
              <w:rPr>
                <w:sz w:val="20"/>
                <w:szCs w:val="20"/>
                <w:color w:val="auto"/>
              </w:rPr>
            </w:pPr>
            <w:r>
              <w:rPr>
                <w:rFonts w:ascii="Arial" w:cs="Arial" w:eastAsia="Arial" w:hAnsi="Arial"/>
                <w:sz w:val="10"/>
                <w:szCs w:val="10"/>
                <w:b w:val="1"/>
                <w:bCs w:val="1"/>
                <w:color w:val="0077C0"/>
              </w:rPr>
              <w:t>Preferred Stock</w:t>
            </w:r>
          </w:p>
        </w:tc>
        <w:tc>
          <w:tcPr>
            <w:tcW w:w="1360" w:type="dxa"/>
            <w:vAlign w:val="bottom"/>
          </w:tcPr>
          <w:p>
            <w:pPr>
              <w:jc w:val="right"/>
              <w:ind w:right="629"/>
              <w:spacing w:after="0" w:line="105" w:lineRule="exact"/>
              <w:rPr>
                <w:sz w:val="20"/>
                <w:szCs w:val="20"/>
                <w:color w:val="auto"/>
              </w:rPr>
            </w:pPr>
            <w:r>
              <w:rPr>
                <w:rFonts w:ascii="Arial" w:cs="Arial" w:eastAsia="Arial" w:hAnsi="Arial"/>
                <w:sz w:val="10"/>
                <w:szCs w:val="10"/>
                <w:b w:val="1"/>
                <w:bCs w:val="1"/>
                <w:color w:val="auto"/>
              </w:rPr>
              <w:t>–</w:t>
            </w:r>
          </w:p>
        </w:tc>
        <w:tc>
          <w:tcPr>
            <w:tcW w:w="22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1260" w:type="dxa"/>
            <w:vAlign w:val="bottom"/>
          </w:tcPr>
          <w:p>
            <w:pPr>
              <w:jc w:val="right"/>
              <w:ind w:right="309"/>
              <w:spacing w:after="0" w:line="105"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5" w:lineRule="exact"/>
              <w:rPr>
                <w:sz w:val="20"/>
                <w:szCs w:val="20"/>
                <w:color w:val="auto"/>
              </w:rPr>
            </w:pPr>
            <w:r>
              <w:rPr>
                <w:rFonts w:ascii="Arial" w:cs="Arial" w:eastAsia="Arial" w:hAnsi="Arial"/>
                <w:sz w:val="10"/>
                <w:szCs w:val="10"/>
                <w:color w:val="auto"/>
              </w:rPr>
              <w:t>–</w:t>
            </w:r>
          </w:p>
        </w:tc>
        <w:tc>
          <w:tcPr>
            <w:tcW w:w="1240" w:type="dxa"/>
            <w:vAlign w:val="bottom"/>
          </w:tcPr>
          <w:p>
            <w:pPr>
              <w:jc w:val="right"/>
              <w:ind w:right="309"/>
              <w:spacing w:after="0" w:line="105"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Common Stock</w:t>
            </w:r>
          </w:p>
        </w:tc>
        <w:tc>
          <w:tcPr>
            <w:tcW w:w="1360" w:type="dxa"/>
            <w:vAlign w:val="bottom"/>
            <w:tcBorders>
              <w:top w:val="single" w:sz="8" w:color="0077C0"/>
            </w:tcBorders>
            <w:vMerge w:val="restart"/>
          </w:tcPr>
          <w:p>
            <w:pPr>
              <w:jc w:val="right"/>
              <w:ind w:right="629"/>
              <w:spacing w:after="0"/>
              <w:rPr>
                <w:sz w:val="20"/>
                <w:szCs w:val="20"/>
                <w:color w:val="auto"/>
              </w:rPr>
            </w:pPr>
            <w:r>
              <w:rPr>
                <w:rFonts w:ascii="Arial" w:cs="Arial" w:eastAsia="Arial" w:hAnsi="Arial"/>
                <w:sz w:val="10"/>
                <w:szCs w:val="10"/>
                <w:b w:val="1"/>
                <w:bCs w:val="1"/>
                <w:color w:val="auto"/>
              </w:rPr>
              <w:t>2,442,677</w:t>
            </w:r>
          </w:p>
        </w:tc>
        <w:tc>
          <w:tcPr>
            <w:tcW w:w="220" w:type="dxa"/>
            <w:vAlign w:val="bottom"/>
            <w:tcBorders>
              <w:top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1,832</w:t>
            </w: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1000" w:type="dxa"/>
            <w:vAlign w:val="bottom"/>
            <w:tcBorders>
              <w:top w:val="single" w:sz="8" w:color="0077C0"/>
            </w:tcBorders>
          </w:tcPr>
          <w:p>
            <w:pPr>
              <w:spacing w:after="0"/>
              <w:rPr>
                <w:sz w:val="8"/>
                <w:szCs w:val="8"/>
                <w:color w:val="auto"/>
              </w:rPr>
            </w:pP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2,442,677</w:t>
            </w: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4" w:lineRule="exact"/>
              <w:rPr>
                <w:sz w:val="20"/>
                <w:szCs w:val="20"/>
                <w:color w:val="auto"/>
              </w:rPr>
            </w:pPr>
            <w:r>
              <w:rPr>
                <w:rFonts w:ascii="Arial" w:cs="Arial" w:eastAsia="Arial" w:hAnsi="Arial"/>
                <w:sz w:val="10"/>
                <w:szCs w:val="10"/>
                <w:color w:val="auto"/>
              </w:rPr>
              <w:t>1,832</w:t>
            </w:r>
          </w:p>
        </w:tc>
        <w:tc>
          <w:tcPr>
            <w:tcW w:w="12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2,442,677</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1,832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80"/>
              <w:spacing w:after="0"/>
              <w:rPr>
                <w:sz w:val="20"/>
                <w:szCs w:val="20"/>
                <w:color w:val="auto"/>
              </w:rPr>
            </w:pPr>
            <w:r>
              <w:rPr>
                <w:rFonts w:ascii="Arial" w:cs="Arial" w:eastAsia="Arial" w:hAnsi="Arial"/>
                <w:sz w:val="10"/>
                <w:szCs w:val="10"/>
                <w:b w:val="1"/>
                <w:bCs w:val="1"/>
                <w:color w:val="0077C0"/>
              </w:rPr>
              <w:t>Balance at December 31</w:t>
            </w:r>
          </w:p>
        </w:tc>
        <w:tc>
          <w:tcPr>
            <w:tcW w:w="1360" w:type="dxa"/>
            <w:vAlign w:val="bottom"/>
          </w:tcPr>
          <w:p>
            <w:pPr>
              <w:jc w:val="right"/>
              <w:ind w:right="629"/>
              <w:spacing w:after="0"/>
              <w:rPr>
                <w:sz w:val="20"/>
                <w:szCs w:val="20"/>
                <w:color w:val="auto"/>
              </w:rPr>
            </w:pPr>
            <w:r>
              <w:rPr>
                <w:rFonts w:ascii="Arial" w:cs="Arial" w:eastAsia="Arial" w:hAnsi="Arial"/>
                <w:sz w:val="10"/>
                <w:szCs w:val="10"/>
                <w:b w:val="1"/>
                <w:bCs w:val="1"/>
                <w:color w:val="auto"/>
              </w:rPr>
              <w:t>2,442,677</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1,832</w:t>
            </w:r>
          </w:p>
        </w:tc>
        <w:tc>
          <w:tcPr>
            <w:tcW w:w="1260" w:type="dxa"/>
            <w:vAlign w:val="bottom"/>
          </w:tcPr>
          <w:p>
            <w:pPr>
              <w:jc w:val="right"/>
              <w:ind w:right="309"/>
              <w:spacing w:after="0"/>
              <w:rPr>
                <w:sz w:val="20"/>
                <w:szCs w:val="20"/>
                <w:color w:val="auto"/>
              </w:rPr>
            </w:pPr>
            <w:r>
              <w:rPr>
                <w:rFonts w:ascii="Arial" w:cs="Arial" w:eastAsia="Arial" w:hAnsi="Arial"/>
                <w:sz w:val="10"/>
                <w:szCs w:val="10"/>
                <w:color w:val="auto"/>
              </w:rPr>
              <w:t>2,442,677</w:t>
            </w:r>
          </w:p>
        </w:tc>
        <w:tc>
          <w:tcPr>
            <w:tcW w:w="5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rPr>
                <w:sz w:val="20"/>
                <w:szCs w:val="20"/>
                <w:color w:val="auto"/>
              </w:rPr>
            </w:pPr>
            <w:r>
              <w:rPr>
                <w:rFonts w:ascii="Arial" w:cs="Arial" w:eastAsia="Arial" w:hAnsi="Arial"/>
                <w:sz w:val="10"/>
                <w:szCs w:val="10"/>
                <w:color w:val="auto"/>
              </w:rPr>
              <w:t>1,832</w:t>
            </w:r>
          </w:p>
        </w:tc>
        <w:tc>
          <w:tcPr>
            <w:tcW w:w="1240" w:type="dxa"/>
            <w:vAlign w:val="bottom"/>
          </w:tcPr>
          <w:p>
            <w:pPr>
              <w:jc w:val="right"/>
              <w:ind w:right="309"/>
              <w:spacing w:after="0"/>
              <w:rPr>
                <w:sz w:val="20"/>
                <w:szCs w:val="20"/>
                <w:color w:val="auto"/>
              </w:rPr>
            </w:pPr>
            <w:r>
              <w:rPr>
                <w:rFonts w:ascii="Arial" w:cs="Arial" w:eastAsia="Arial" w:hAnsi="Arial"/>
                <w:sz w:val="10"/>
                <w:szCs w:val="10"/>
                <w:color w:val="auto"/>
              </w:rPr>
              <w:t>2,442,677</w:t>
            </w:r>
          </w:p>
        </w:tc>
        <w:tc>
          <w:tcPr>
            <w:tcW w:w="56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1,832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Capital in Excess of Par</w:t>
            </w:r>
          </w:p>
        </w:tc>
        <w:tc>
          <w:tcPr>
            <w:tcW w:w="13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14,289</w:t>
            </w: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1000" w:type="dxa"/>
            <w:vAlign w:val="bottom"/>
            <w:tcBorders>
              <w:top w:val="single" w:sz="8" w:color="0077C0"/>
            </w:tcBorders>
          </w:tcPr>
          <w:p>
            <w:pPr>
              <w:spacing w:after="0"/>
              <w:rPr>
                <w:sz w:val="8"/>
                <w:szCs w:val="8"/>
                <w:color w:val="auto"/>
              </w:rPr>
            </w:pP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4" w:lineRule="exact"/>
              <w:rPr>
                <w:sz w:val="20"/>
                <w:szCs w:val="20"/>
                <w:color w:val="auto"/>
              </w:rPr>
            </w:pPr>
            <w:r>
              <w:rPr>
                <w:rFonts w:ascii="Arial" w:cs="Arial" w:eastAsia="Arial" w:hAnsi="Arial"/>
                <w:sz w:val="10"/>
                <w:szCs w:val="10"/>
                <w:color w:val="auto"/>
              </w:rPr>
              <w:t>14,126</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13,894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80"/>
              <w:spacing w:after="0"/>
              <w:rPr>
                <w:sz w:val="20"/>
                <w:szCs w:val="20"/>
                <w:color w:val="auto"/>
              </w:rPr>
            </w:pPr>
            <w:r>
              <w:rPr>
                <w:rFonts w:ascii="Arial" w:cs="Arial" w:eastAsia="Arial" w:hAnsi="Arial"/>
                <w:sz w:val="10"/>
                <w:szCs w:val="10"/>
                <w:color w:val="auto"/>
              </w:rPr>
              <w:t>Treasury stock transactions</w:t>
            </w:r>
          </w:p>
        </w:tc>
        <w:tc>
          <w:tcPr>
            <w:tcW w:w="136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159</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163</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232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980" w:type="dxa"/>
            <w:vAlign w:val="bottom"/>
          </w:tcPr>
          <w:p>
            <w:pPr>
              <w:ind w:left="80"/>
              <w:spacing w:after="0" w:line="105"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Pr>
          <w:p>
            <w:pPr>
              <w:spacing w:after="0"/>
              <w:rPr>
                <w:sz w:val="9"/>
                <w:szCs w:val="9"/>
                <w:color w:val="auto"/>
              </w:rPr>
            </w:pPr>
          </w:p>
        </w:tc>
        <w:tc>
          <w:tcPr>
            <w:tcW w:w="22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14,448</w:t>
            </w:r>
          </w:p>
        </w:tc>
        <w:tc>
          <w:tcPr>
            <w:tcW w:w="1260" w:type="dxa"/>
            <w:vAlign w:val="bottom"/>
          </w:tcPr>
          <w:p>
            <w:pPr>
              <w:spacing w:after="0"/>
              <w:rPr>
                <w:sz w:val="9"/>
                <w:szCs w:val="9"/>
                <w:color w:val="auto"/>
              </w:rPr>
            </w:pPr>
          </w:p>
        </w:tc>
        <w:tc>
          <w:tcPr>
            <w:tcW w:w="54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5" w:lineRule="exact"/>
              <w:rPr>
                <w:sz w:val="20"/>
                <w:szCs w:val="20"/>
                <w:color w:val="auto"/>
              </w:rPr>
            </w:pPr>
            <w:r>
              <w:rPr>
                <w:rFonts w:ascii="Arial" w:cs="Arial" w:eastAsia="Arial" w:hAnsi="Arial"/>
                <w:sz w:val="10"/>
                <w:szCs w:val="10"/>
                <w:color w:val="auto"/>
              </w:rPr>
              <w:t>14,289</w:t>
            </w:r>
          </w:p>
        </w:tc>
        <w:tc>
          <w:tcPr>
            <w:tcW w:w="1240" w:type="dxa"/>
            <w:vAlign w:val="bottom"/>
          </w:tcPr>
          <w:p>
            <w:pPr>
              <w:spacing w:after="0"/>
              <w:rPr>
                <w:sz w:val="9"/>
                <w:szCs w:val="9"/>
                <w:color w:val="auto"/>
              </w:rPr>
            </w:pPr>
          </w:p>
        </w:tc>
        <w:tc>
          <w:tcPr>
            <w:tcW w:w="56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14,126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Retained Earnings</w:t>
            </w:r>
          </w:p>
        </w:tc>
        <w:tc>
          <w:tcPr>
            <w:tcW w:w="13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82,329</w:t>
            </w: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1000" w:type="dxa"/>
            <w:vAlign w:val="bottom"/>
            <w:tcBorders>
              <w:top w:val="single" w:sz="8" w:color="0077C0"/>
            </w:tcBorders>
          </w:tcPr>
          <w:p>
            <w:pPr>
              <w:spacing w:after="0"/>
              <w:rPr>
                <w:sz w:val="8"/>
                <w:szCs w:val="8"/>
                <w:color w:val="auto"/>
              </w:rPr>
            </w:pP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4" w:lineRule="exact"/>
              <w:rPr>
                <w:sz w:val="20"/>
                <w:szCs w:val="20"/>
                <w:color w:val="auto"/>
              </w:rPr>
            </w:pPr>
            <w:r>
              <w:rPr>
                <w:rFonts w:ascii="Arial" w:cs="Arial" w:eastAsia="Arial" w:hAnsi="Arial"/>
                <w:sz w:val="10"/>
                <w:szCs w:val="10"/>
                <w:color w:val="auto"/>
              </w:rPr>
              <w:t>68,464</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55,738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Net income</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23,931</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jc w:val="right"/>
              <w:ind w:right="469"/>
              <w:spacing w:after="0" w:line="106" w:lineRule="exact"/>
              <w:rPr>
                <w:sz w:val="20"/>
                <w:szCs w:val="20"/>
                <w:color w:val="auto"/>
              </w:rPr>
            </w:pPr>
            <w:r>
              <w:rPr>
                <w:rFonts w:ascii="Arial" w:cs="Arial" w:eastAsia="Arial" w:hAnsi="Arial"/>
                <w:sz w:val="10"/>
                <w:szCs w:val="10"/>
                <w:color w:val="auto"/>
              </w:rPr>
              <w:t>18,688</w:t>
            </w: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17,138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tcPr>
          <w:p>
            <w:pPr>
              <w:ind w:left="80"/>
              <w:spacing w:after="0" w:line="108" w:lineRule="exact"/>
              <w:rPr>
                <w:sz w:val="20"/>
                <w:szCs w:val="20"/>
                <w:color w:val="auto"/>
              </w:rPr>
            </w:pPr>
            <w:r>
              <w:rPr>
                <w:rFonts w:ascii="Arial" w:cs="Arial" w:eastAsia="Arial" w:hAnsi="Arial"/>
                <w:sz w:val="10"/>
                <w:szCs w:val="10"/>
                <w:color w:val="auto"/>
              </w:rPr>
              <w:t>Cash dividends on common stock</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(5,162)</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jc w:val="right"/>
              <w:ind w:right="429"/>
              <w:spacing w:after="0" w:line="108" w:lineRule="exact"/>
              <w:rPr>
                <w:sz w:val="20"/>
                <w:szCs w:val="20"/>
                <w:color w:val="auto"/>
              </w:rPr>
            </w:pPr>
            <w:r>
              <w:rPr>
                <w:rFonts w:ascii="Arial" w:cs="Arial" w:eastAsia="Arial" w:hAnsi="Arial"/>
                <w:sz w:val="10"/>
                <w:szCs w:val="10"/>
                <w:color w:val="auto"/>
              </w:rPr>
              <w:t>(4,791)</w:t>
            </w: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(4,396)</w:t>
            </w: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Adoption of EITF 04-6, “Accounting for Stripping Costs Incurred during</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180"/>
              <w:spacing w:after="0" w:line="104" w:lineRule="exact"/>
              <w:rPr>
                <w:sz w:val="20"/>
                <w:szCs w:val="20"/>
                <w:color w:val="auto"/>
              </w:rPr>
            </w:pPr>
            <w:r>
              <w:rPr>
                <w:rFonts w:ascii="Arial" w:cs="Arial" w:eastAsia="Arial" w:hAnsi="Arial"/>
                <w:sz w:val="10"/>
                <w:szCs w:val="10"/>
                <w:color w:val="auto"/>
              </w:rPr>
              <w:t>Production in the Mining Industry”</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jc w:val="right"/>
              <w:ind w:right="469"/>
              <w:spacing w:after="0" w:line="104" w:lineRule="exact"/>
              <w:rPr>
                <w:sz w:val="20"/>
                <w:szCs w:val="20"/>
                <w:color w:val="auto"/>
              </w:rPr>
            </w:pPr>
            <w:r>
              <w:rPr>
                <w:rFonts w:ascii="Arial" w:cs="Arial" w:eastAsia="Arial" w:hAnsi="Arial"/>
                <w:sz w:val="10"/>
                <w:szCs w:val="10"/>
                <w:color w:val="auto"/>
              </w:rPr>
              <w:t>–</w:t>
            </w: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Adoption of FIN 48, “Accounting for Uncertainty in Income Taxes”</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jc w:val="right"/>
              <w:ind w:right="429"/>
              <w:spacing w:after="0" w:line="106" w:lineRule="exact"/>
              <w:rPr>
                <w:sz w:val="20"/>
                <w:szCs w:val="20"/>
                <w:color w:val="auto"/>
              </w:rPr>
            </w:pPr>
            <w:r>
              <w:rPr>
                <w:rFonts w:ascii="Arial" w:cs="Arial" w:eastAsia="Arial" w:hAnsi="Arial"/>
                <w:sz w:val="10"/>
                <w:szCs w:val="10"/>
                <w:color w:val="auto"/>
              </w:rPr>
              <w:t>(35)</w:t>
            </w: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3980" w:type="dxa"/>
            <w:vAlign w:val="bottom"/>
          </w:tcPr>
          <w:p>
            <w:pPr>
              <w:ind w:left="80"/>
              <w:spacing w:after="0"/>
              <w:rPr>
                <w:sz w:val="20"/>
                <w:szCs w:val="20"/>
                <w:color w:val="auto"/>
              </w:rPr>
            </w:pPr>
            <w:r>
              <w:rPr>
                <w:rFonts w:ascii="Arial" w:cs="Arial" w:eastAsia="Arial" w:hAnsi="Arial"/>
                <w:sz w:val="10"/>
                <w:szCs w:val="10"/>
                <w:color w:val="auto"/>
              </w:rPr>
              <w:t>Tax benefit from dividends paid on unallocated ESOP shares and other</w:t>
            </w:r>
          </w:p>
        </w:tc>
        <w:tc>
          <w:tcPr>
            <w:tcW w:w="136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3</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98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101,102</w:t>
            </w:r>
          </w:p>
        </w:tc>
        <w:tc>
          <w:tcPr>
            <w:tcW w:w="1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0077C0"/>
            </w:tcBorders>
          </w:tcPr>
          <w:p>
            <w:pPr>
              <w:jc w:val="right"/>
              <w:ind w:right="469"/>
              <w:spacing w:after="0" w:line="105" w:lineRule="exact"/>
              <w:rPr>
                <w:sz w:val="20"/>
                <w:szCs w:val="20"/>
                <w:color w:val="auto"/>
              </w:rPr>
            </w:pPr>
            <w:r>
              <w:rPr>
                <w:rFonts w:ascii="Arial" w:cs="Arial" w:eastAsia="Arial" w:hAnsi="Arial"/>
                <w:sz w:val="10"/>
                <w:szCs w:val="10"/>
                <w:color w:val="auto"/>
              </w:rPr>
              <w:t>82,329</w:t>
            </w:r>
          </w:p>
        </w:tc>
        <w:tc>
          <w:tcPr>
            <w:tcW w:w="124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68,464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line="105" w:lineRule="exact"/>
              <w:rPr>
                <w:sz w:val="20"/>
                <w:szCs w:val="20"/>
                <w:color w:val="auto"/>
              </w:rPr>
            </w:pPr>
            <w:r>
              <w:rPr>
                <w:rFonts w:ascii="Arial" w:cs="Arial" w:eastAsia="Arial" w:hAnsi="Arial"/>
                <w:sz w:val="10"/>
                <w:szCs w:val="10"/>
                <w:b w:val="1"/>
                <w:bCs w:val="1"/>
                <w:color w:val="0077C0"/>
              </w:rPr>
              <w:t>Notes Receivable – Key Employees</w:t>
            </w:r>
          </w:p>
        </w:tc>
        <w:tc>
          <w:tcPr>
            <w:tcW w:w="1360" w:type="dxa"/>
            <w:vAlign w:val="bottom"/>
          </w:tcPr>
          <w:p>
            <w:pPr>
              <w:spacing w:after="0"/>
              <w:rPr>
                <w:sz w:val="9"/>
                <w:szCs w:val="9"/>
                <w:color w:val="auto"/>
              </w:rPr>
            </w:pPr>
          </w:p>
        </w:tc>
        <w:tc>
          <w:tcPr>
            <w:tcW w:w="22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1260" w:type="dxa"/>
            <w:vAlign w:val="bottom"/>
          </w:tcPr>
          <w:p>
            <w:pPr>
              <w:spacing w:after="0"/>
              <w:rPr>
                <w:sz w:val="9"/>
                <w:szCs w:val="9"/>
                <w:color w:val="auto"/>
              </w:rPr>
            </w:pPr>
          </w:p>
        </w:tc>
        <w:tc>
          <w:tcPr>
            <w:tcW w:w="54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5" w:lineRule="exact"/>
              <w:rPr>
                <w:sz w:val="20"/>
                <w:szCs w:val="20"/>
                <w:color w:val="auto"/>
              </w:rPr>
            </w:pPr>
            <w:r>
              <w:rPr>
                <w:rFonts w:ascii="Arial" w:cs="Arial" w:eastAsia="Arial" w:hAnsi="Arial"/>
                <w:sz w:val="10"/>
                <w:szCs w:val="10"/>
                <w:color w:val="auto"/>
              </w:rPr>
              <w:t>(1)</w:t>
            </w:r>
          </w:p>
        </w:tc>
        <w:tc>
          <w:tcPr>
            <w:tcW w:w="1240" w:type="dxa"/>
            <w:vAlign w:val="bottom"/>
          </w:tcPr>
          <w:p>
            <w:pPr>
              <w:spacing w:after="0"/>
              <w:rPr>
                <w:sz w:val="9"/>
                <w:szCs w:val="9"/>
                <w:color w:val="auto"/>
              </w:rPr>
            </w:pPr>
          </w:p>
        </w:tc>
        <w:tc>
          <w:tcPr>
            <w:tcW w:w="56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5"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92"/>
        </w:trPr>
        <w:tc>
          <w:tcPr>
            <w:tcW w:w="3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Accumulated Other Comprehensive Loss</w:t>
            </w:r>
          </w:p>
        </w:tc>
        <w:tc>
          <w:tcPr>
            <w:tcW w:w="13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700" w:type="dxa"/>
            <w:vAlign w:val="bottom"/>
            <w:tcBorders>
              <w:top w:val="single" w:sz="8" w:color="0077C0"/>
              <w:right w:val="single" w:sz="8" w:color="0077C0"/>
            </w:tcBorders>
          </w:tcPr>
          <w:p>
            <w:pPr>
              <w:spacing w:after="0"/>
              <w:rPr>
                <w:sz w:val="8"/>
                <w:szCs w:val="8"/>
                <w:color w:val="auto"/>
              </w:rPr>
            </w:pP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1000" w:type="dxa"/>
            <w:vAlign w:val="bottom"/>
            <w:tcBorders>
              <w:top w:val="single" w:sz="8" w:color="0077C0"/>
            </w:tcBorders>
          </w:tcPr>
          <w:p>
            <w:pPr>
              <w:spacing w:after="0"/>
              <w:rPr>
                <w:sz w:val="8"/>
                <w:szCs w:val="8"/>
                <w:color w:val="auto"/>
              </w:rPr>
            </w:pP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Currency translation adjustment</w:t>
            </w:r>
          </w:p>
        </w:tc>
        <w:tc>
          <w:tcPr>
            <w:tcW w:w="1360" w:type="dxa"/>
            <w:vAlign w:val="bottom"/>
          </w:tcPr>
          <w:p>
            <w:pPr>
              <w:spacing w:after="0"/>
              <w:rPr>
                <w:sz w:val="9"/>
                <w:szCs w:val="9"/>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(59)</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1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4" w:lineRule="exact"/>
              <w:rPr>
                <w:sz w:val="20"/>
                <w:szCs w:val="20"/>
                <w:color w:val="auto"/>
              </w:rPr>
            </w:pPr>
            <w:r>
              <w:rPr>
                <w:rFonts w:ascii="Arial" w:cs="Arial" w:eastAsia="Arial" w:hAnsi="Arial"/>
                <w:sz w:val="10"/>
                <w:szCs w:val="10"/>
                <w:color w:val="auto"/>
              </w:rPr>
              <w:t>(90)</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20"/>
        </w:trPr>
        <w:tc>
          <w:tcPr>
            <w:tcW w:w="3980" w:type="dxa"/>
            <w:vAlign w:val="bottom"/>
          </w:tcPr>
          <w:p>
            <w:pPr>
              <w:ind w:left="180"/>
              <w:spacing w:after="0"/>
              <w:rPr>
                <w:sz w:val="20"/>
                <w:szCs w:val="20"/>
                <w:color w:val="auto"/>
              </w:rPr>
            </w:pPr>
            <w:r>
              <w:rPr>
                <w:rFonts w:ascii="Arial" w:cs="Arial" w:eastAsia="Arial" w:hAnsi="Arial"/>
                <w:sz w:val="10"/>
                <w:szCs w:val="10"/>
                <w:color w:val="auto"/>
              </w:rPr>
              <w:t>Change during year</w:t>
            </w:r>
          </w:p>
        </w:tc>
        <w:tc>
          <w:tcPr>
            <w:tcW w:w="136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(112)</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31</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980" w:type="dxa"/>
            <w:vAlign w:val="bottom"/>
          </w:tcPr>
          <w:p>
            <w:pPr>
              <w:ind w:left="180"/>
              <w:spacing w:after="0" w:line="92" w:lineRule="exact"/>
              <w:rPr>
                <w:sz w:val="20"/>
                <w:szCs w:val="20"/>
                <w:color w:val="auto"/>
              </w:rPr>
            </w:pPr>
            <w:r>
              <w:rPr>
                <w:rFonts w:ascii="Arial" w:cs="Arial" w:eastAsia="Arial" w:hAnsi="Arial"/>
                <w:sz w:val="10"/>
                <w:szCs w:val="10"/>
                <w:color w:val="auto"/>
              </w:rPr>
              <w:t>Balance at December 31</w:t>
            </w:r>
          </w:p>
        </w:tc>
        <w:tc>
          <w:tcPr>
            <w:tcW w:w="1360" w:type="dxa"/>
            <w:vAlign w:val="bottom"/>
          </w:tcPr>
          <w:p>
            <w:pPr>
              <w:spacing w:after="0"/>
              <w:rPr>
                <w:sz w:val="8"/>
                <w:szCs w:val="8"/>
                <w:color w:val="auto"/>
              </w:rPr>
            </w:pPr>
          </w:p>
        </w:tc>
        <w:tc>
          <w:tcPr>
            <w:tcW w:w="220" w:type="dxa"/>
            <w:vAlign w:val="bottom"/>
          </w:tcPr>
          <w:p>
            <w:pPr>
              <w:jc w:val="right"/>
              <w:ind w:right="109"/>
              <w:spacing w:after="0" w:line="92"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29"/>
              <w:spacing w:after="0" w:line="92" w:lineRule="exact"/>
              <w:rPr>
                <w:sz w:val="20"/>
                <w:szCs w:val="20"/>
                <w:color w:val="auto"/>
              </w:rPr>
            </w:pPr>
            <w:r>
              <w:rPr>
                <w:rFonts w:ascii="Arial" w:cs="Arial" w:eastAsia="Arial" w:hAnsi="Arial"/>
                <w:sz w:val="10"/>
                <w:szCs w:val="10"/>
                <w:b w:val="1"/>
                <w:bCs w:val="1"/>
                <w:color w:val="auto"/>
              </w:rPr>
              <w:t>(171)</w:t>
            </w:r>
          </w:p>
        </w:tc>
        <w:tc>
          <w:tcPr>
            <w:tcW w:w="1260" w:type="dxa"/>
            <w:vAlign w:val="bottom"/>
          </w:tcPr>
          <w:p>
            <w:pPr>
              <w:spacing w:after="0"/>
              <w:rPr>
                <w:sz w:val="8"/>
                <w:szCs w:val="8"/>
                <w:color w:val="auto"/>
              </w:rPr>
            </w:pPr>
          </w:p>
        </w:tc>
        <w:tc>
          <w:tcPr>
            <w:tcW w:w="540" w:type="dxa"/>
            <w:vAlign w:val="bottom"/>
          </w:tcPr>
          <w:p>
            <w:pPr>
              <w:jc w:val="right"/>
              <w:ind w:right="109"/>
              <w:spacing w:after="0" w:line="92"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92" w:lineRule="exact"/>
              <w:rPr>
                <w:sz w:val="20"/>
                <w:szCs w:val="20"/>
                <w:color w:val="auto"/>
              </w:rPr>
            </w:pPr>
            <w:r>
              <w:rPr>
                <w:rFonts w:ascii="Arial" w:cs="Arial" w:eastAsia="Arial" w:hAnsi="Arial"/>
                <w:sz w:val="10"/>
                <w:szCs w:val="10"/>
                <w:color w:val="auto"/>
              </w:rPr>
              <w:t>(59)</w:t>
            </w:r>
          </w:p>
        </w:tc>
        <w:tc>
          <w:tcPr>
            <w:tcW w:w="1240" w:type="dxa"/>
            <w:vAlign w:val="bottom"/>
          </w:tcPr>
          <w:p>
            <w:pPr>
              <w:spacing w:after="0"/>
              <w:rPr>
                <w:sz w:val="8"/>
                <w:szCs w:val="8"/>
                <w:color w:val="auto"/>
              </w:rPr>
            </w:pPr>
          </w:p>
        </w:tc>
        <w:tc>
          <w:tcPr>
            <w:tcW w:w="560" w:type="dxa"/>
            <w:vAlign w:val="bottom"/>
          </w:tcPr>
          <w:p>
            <w:pPr>
              <w:jc w:val="right"/>
              <w:ind w:right="109"/>
              <w:spacing w:after="0" w:line="92"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92" w:lineRule="exact"/>
              <w:rPr>
                <w:sz w:val="20"/>
                <w:szCs w:val="20"/>
                <w:color w:val="auto"/>
              </w:rPr>
            </w:pPr>
            <w:r>
              <w:rPr>
                <w:rFonts w:ascii="Arial" w:cs="Arial" w:eastAsia="Arial" w:hAnsi="Arial"/>
                <w:sz w:val="10"/>
                <w:szCs w:val="10"/>
                <w:color w:val="auto"/>
              </w:rPr>
              <w:t>(90)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Pension and other postretirement benefit plans</w:t>
            </w:r>
          </w:p>
        </w:tc>
        <w:tc>
          <w:tcPr>
            <w:tcW w:w="1360" w:type="dxa"/>
            <w:vAlign w:val="bottom"/>
          </w:tcPr>
          <w:p>
            <w:pPr>
              <w:spacing w:after="0"/>
              <w:rPr>
                <w:sz w:val="9"/>
                <w:szCs w:val="9"/>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(2,008)</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1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4" w:lineRule="exact"/>
              <w:rPr>
                <w:sz w:val="20"/>
                <w:szCs w:val="20"/>
                <w:color w:val="auto"/>
              </w:rPr>
            </w:pPr>
            <w:r>
              <w:rPr>
                <w:rFonts w:ascii="Arial" w:cs="Arial" w:eastAsia="Arial" w:hAnsi="Arial"/>
                <w:sz w:val="10"/>
                <w:szCs w:val="10"/>
                <w:color w:val="auto"/>
              </w:rPr>
              <w:t>(2,585)</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08"/>
        </w:trPr>
        <w:tc>
          <w:tcPr>
            <w:tcW w:w="3980" w:type="dxa"/>
            <w:vAlign w:val="bottom"/>
          </w:tcPr>
          <w:p>
            <w:pPr>
              <w:ind w:left="180"/>
              <w:spacing w:after="0" w:line="108" w:lineRule="exact"/>
              <w:rPr>
                <w:sz w:val="20"/>
                <w:szCs w:val="20"/>
                <w:color w:val="auto"/>
              </w:rPr>
            </w:pPr>
            <w:r>
              <w:rPr>
                <w:rFonts w:ascii="Arial" w:cs="Arial" w:eastAsia="Arial" w:hAnsi="Arial"/>
                <w:sz w:val="10"/>
                <w:szCs w:val="10"/>
                <w:color w:val="auto"/>
              </w:rPr>
              <w:t>Change to defined benefit plans during year</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(1,901)</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jc w:val="right"/>
              <w:ind w:right="469"/>
              <w:spacing w:after="0" w:line="108" w:lineRule="exact"/>
              <w:rPr>
                <w:sz w:val="20"/>
                <w:szCs w:val="20"/>
                <w:color w:val="auto"/>
              </w:rPr>
            </w:pPr>
            <w:r>
              <w:rPr>
                <w:rFonts w:ascii="Arial" w:cs="Arial" w:eastAsia="Arial" w:hAnsi="Arial"/>
                <w:sz w:val="10"/>
                <w:szCs w:val="10"/>
                <w:color w:val="auto"/>
              </w:rPr>
              <w:t>685</w:t>
            </w: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106"/>
        </w:trPr>
        <w:tc>
          <w:tcPr>
            <w:tcW w:w="3980" w:type="dxa"/>
            <w:vAlign w:val="bottom"/>
          </w:tcPr>
          <w:p>
            <w:pPr>
              <w:ind w:left="180"/>
              <w:spacing w:after="0" w:line="106" w:lineRule="exact"/>
              <w:rPr>
                <w:sz w:val="20"/>
                <w:szCs w:val="20"/>
                <w:color w:val="auto"/>
              </w:rPr>
            </w:pPr>
            <w:r>
              <w:rPr>
                <w:rFonts w:ascii="Arial" w:cs="Arial" w:eastAsia="Arial" w:hAnsi="Arial"/>
                <w:sz w:val="10"/>
                <w:szCs w:val="10"/>
                <w:color w:val="auto"/>
              </w:rPr>
              <w:t>Adoption of FAS 158, “Employers’ Accounting for Defined Benefit Pension</w:t>
            </w: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980" w:type="dxa"/>
            <w:vAlign w:val="bottom"/>
          </w:tcPr>
          <w:p>
            <w:pPr>
              <w:ind w:left="280"/>
              <w:spacing w:after="0"/>
              <w:rPr>
                <w:sz w:val="20"/>
                <w:szCs w:val="20"/>
                <w:color w:val="auto"/>
              </w:rPr>
            </w:pPr>
            <w:r>
              <w:rPr>
                <w:rFonts w:ascii="Arial" w:cs="Arial" w:eastAsia="Arial" w:hAnsi="Arial"/>
                <w:sz w:val="10"/>
                <w:szCs w:val="10"/>
                <w:color w:val="auto"/>
              </w:rPr>
              <w:t>and Other Postretirement Plans”</w:t>
            </w: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right w:val="single" w:sz="8" w:color="0077C0"/>
            </w:tcBorders>
            <w:vMerge w:val="continue"/>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ind w:right="429"/>
              <w:spacing w:after="0"/>
              <w:rPr>
                <w:sz w:val="20"/>
                <w:szCs w:val="20"/>
                <w:color w:val="auto"/>
              </w:rPr>
            </w:pPr>
            <w:r>
              <w:rPr>
                <w:rFonts w:ascii="Arial" w:cs="Arial" w:eastAsia="Arial" w:hAnsi="Arial"/>
                <w:sz w:val="10"/>
                <w:szCs w:val="10"/>
                <w:color w:val="auto"/>
              </w:rPr>
              <w:t>(108)</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0"/>
                <w:szCs w:val="10"/>
                <w:color w:val="auto"/>
              </w:rPr>
              <w:t>(2,203)</w:t>
            </w:r>
          </w:p>
        </w:tc>
        <w:tc>
          <w:tcPr>
            <w:tcW w:w="0" w:type="dxa"/>
            <w:vAlign w:val="bottom"/>
          </w:tcPr>
          <w:p>
            <w:pPr>
              <w:spacing w:after="0"/>
              <w:rPr>
                <w:sz w:val="1"/>
                <w:szCs w:val="1"/>
                <w:color w:val="auto"/>
              </w:rPr>
            </w:pPr>
          </w:p>
        </w:tc>
      </w:tr>
      <w:tr>
        <w:trPr>
          <w:trHeight w:val="90"/>
        </w:trPr>
        <w:tc>
          <w:tcPr>
            <w:tcW w:w="3980" w:type="dxa"/>
            <w:vAlign w:val="bottom"/>
          </w:tcPr>
          <w:p>
            <w:pPr>
              <w:ind w:left="180"/>
              <w:spacing w:after="0" w:line="91" w:lineRule="exact"/>
              <w:rPr>
                <w:sz w:val="20"/>
                <w:szCs w:val="20"/>
                <w:color w:val="auto"/>
              </w:rPr>
            </w:pPr>
            <w:r>
              <w:rPr>
                <w:rFonts w:ascii="Arial" w:cs="Arial" w:eastAsia="Arial" w:hAnsi="Arial"/>
                <w:sz w:val="10"/>
                <w:szCs w:val="10"/>
                <w:color w:val="auto"/>
              </w:rPr>
              <w:t>Balance at December 31</w:t>
            </w:r>
          </w:p>
        </w:tc>
        <w:tc>
          <w:tcPr>
            <w:tcW w:w="1360" w:type="dxa"/>
            <w:vAlign w:val="bottom"/>
          </w:tcPr>
          <w:p>
            <w:pPr>
              <w:spacing w:after="0"/>
              <w:rPr>
                <w:sz w:val="7"/>
                <w:szCs w:val="7"/>
                <w:color w:val="auto"/>
              </w:rPr>
            </w:pPr>
          </w:p>
        </w:tc>
        <w:tc>
          <w:tcPr>
            <w:tcW w:w="22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(3,909)</w:t>
            </w:r>
          </w:p>
        </w:tc>
        <w:tc>
          <w:tcPr>
            <w:tcW w:w="126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1000" w:type="dxa"/>
            <w:vAlign w:val="bottom"/>
            <w:tcBorders>
              <w:top w:val="single" w:sz="8" w:color="0077C0"/>
            </w:tcBorders>
          </w:tcPr>
          <w:p>
            <w:pPr>
              <w:jc w:val="right"/>
              <w:ind w:right="429"/>
              <w:spacing w:after="0" w:line="91" w:lineRule="exact"/>
              <w:rPr>
                <w:sz w:val="20"/>
                <w:szCs w:val="20"/>
                <w:color w:val="auto"/>
              </w:rPr>
            </w:pPr>
            <w:r>
              <w:rPr>
                <w:rFonts w:ascii="Arial" w:cs="Arial" w:eastAsia="Arial" w:hAnsi="Arial"/>
                <w:sz w:val="10"/>
                <w:szCs w:val="10"/>
                <w:color w:val="auto"/>
              </w:rPr>
              <w:t>(2,008)</w:t>
            </w:r>
          </w:p>
        </w:tc>
        <w:tc>
          <w:tcPr>
            <w:tcW w:w="124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(2,585)</w:t>
            </w: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Unrealized net holding gain on securities Balance at January 1</w:t>
            </w:r>
          </w:p>
        </w:tc>
        <w:tc>
          <w:tcPr>
            <w:tcW w:w="1360" w:type="dxa"/>
            <w:vAlign w:val="bottom"/>
          </w:tcPr>
          <w:p>
            <w:pPr>
              <w:spacing w:after="0"/>
              <w:rPr>
                <w:sz w:val="9"/>
                <w:szCs w:val="9"/>
                <w:color w:val="auto"/>
              </w:rPr>
            </w:pPr>
          </w:p>
        </w:tc>
        <w:tc>
          <w:tcPr>
            <w:tcW w:w="22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19</w:t>
            </w:r>
          </w:p>
        </w:tc>
        <w:tc>
          <w:tcPr>
            <w:tcW w:w="1260" w:type="dxa"/>
            <w:vAlign w:val="bottom"/>
          </w:tcPr>
          <w:p>
            <w:pPr>
              <w:spacing w:after="0"/>
              <w:rPr>
                <w:sz w:val="9"/>
                <w:szCs w:val="9"/>
                <w:color w:val="auto"/>
              </w:rPr>
            </w:pPr>
          </w:p>
        </w:tc>
        <w:tc>
          <w:tcPr>
            <w:tcW w:w="5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6" w:lineRule="exact"/>
              <w:rPr>
                <w:sz w:val="20"/>
                <w:szCs w:val="20"/>
                <w:color w:val="auto"/>
              </w:rPr>
            </w:pPr>
            <w:r>
              <w:rPr>
                <w:rFonts w:ascii="Arial" w:cs="Arial" w:eastAsia="Arial" w:hAnsi="Arial"/>
                <w:sz w:val="10"/>
                <w:szCs w:val="10"/>
                <w:color w:val="auto"/>
              </w:rPr>
              <w:t>–</w:t>
            </w:r>
          </w:p>
        </w:tc>
        <w:tc>
          <w:tcPr>
            <w:tcW w:w="1240" w:type="dxa"/>
            <w:vAlign w:val="bottom"/>
          </w:tcPr>
          <w:p>
            <w:pPr>
              <w:spacing w:after="0"/>
              <w:rPr>
                <w:sz w:val="9"/>
                <w:szCs w:val="9"/>
                <w:color w:val="auto"/>
              </w:rPr>
            </w:pPr>
          </w:p>
        </w:tc>
        <w:tc>
          <w:tcPr>
            <w:tcW w:w="5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180"/>
              <w:spacing w:after="0"/>
              <w:rPr>
                <w:sz w:val="20"/>
                <w:szCs w:val="20"/>
                <w:color w:val="auto"/>
              </w:rPr>
            </w:pPr>
            <w:r>
              <w:rPr>
                <w:rFonts w:ascii="Arial" w:cs="Arial" w:eastAsia="Arial" w:hAnsi="Arial"/>
                <w:sz w:val="10"/>
                <w:szCs w:val="10"/>
                <w:color w:val="auto"/>
              </w:rPr>
              <w:t>Change during year</w:t>
            </w: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(6)</w:t>
            </w: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ind w:right="469"/>
              <w:spacing w:after="0"/>
              <w:rPr>
                <w:sz w:val="20"/>
                <w:szCs w:val="20"/>
                <w:color w:val="auto"/>
              </w:rPr>
            </w:pPr>
            <w:r>
              <w:rPr>
                <w:rFonts w:ascii="Arial" w:cs="Arial" w:eastAsia="Arial" w:hAnsi="Arial"/>
                <w:sz w:val="10"/>
                <w:szCs w:val="10"/>
                <w:color w:val="auto"/>
              </w:rPr>
              <w:t>19</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92"/>
        </w:trPr>
        <w:tc>
          <w:tcPr>
            <w:tcW w:w="3980" w:type="dxa"/>
            <w:vAlign w:val="bottom"/>
          </w:tcPr>
          <w:p>
            <w:pPr>
              <w:ind w:left="180"/>
              <w:spacing w:after="0" w:line="92" w:lineRule="exact"/>
              <w:rPr>
                <w:sz w:val="20"/>
                <w:szCs w:val="20"/>
                <w:color w:val="auto"/>
              </w:rPr>
            </w:pPr>
            <w:r>
              <w:rPr>
                <w:rFonts w:ascii="Arial" w:cs="Arial" w:eastAsia="Arial" w:hAnsi="Arial"/>
                <w:sz w:val="10"/>
                <w:szCs w:val="10"/>
                <w:color w:val="auto"/>
              </w:rPr>
              <w:t>Balance at December 31</w:t>
            </w:r>
          </w:p>
        </w:tc>
        <w:tc>
          <w:tcPr>
            <w:tcW w:w="1360" w:type="dxa"/>
            <w:vAlign w:val="bottom"/>
          </w:tcPr>
          <w:p>
            <w:pPr>
              <w:spacing w:after="0"/>
              <w:rPr>
                <w:sz w:val="8"/>
                <w:szCs w:val="8"/>
                <w:color w:val="auto"/>
              </w:rPr>
            </w:pPr>
          </w:p>
        </w:tc>
        <w:tc>
          <w:tcPr>
            <w:tcW w:w="22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tcPr>
          <w:p>
            <w:pPr>
              <w:jc w:val="right"/>
              <w:ind w:right="169"/>
              <w:spacing w:after="0" w:line="92" w:lineRule="exact"/>
              <w:rPr>
                <w:sz w:val="20"/>
                <w:szCs w:val="20"/>
                <w:color w:val="auto"/>
              </w:rPr>
            </w:pPr>
            <w:r>
              <w:rPr>
                <w:rFonts w:ascii="Arial" w:cs="Arial" w:eastAsia="Arial" w:hAnsi="Arial"/>
                <w:sz w:val="10"/>
                <w:szCs w:val="10"/>
                <w:b w:val="1"/>
                <w:bCs w:val="1"/>
                <w:color w:val="auto"/>
              </w:rPr>
              <w:t>13</w:t>
            </w: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w:t>
            </w:r>
          </w:p>
        </w:tc>
        <w:tc>
          <w:tcPr>
            <w:tcW w:w="1000" w:type="dxa"/>
            <w:vAlign w:val="bottom"/>
            <w:tcBorders>
              <w:top w:val="single" w:sz="8" w:color="0077C0"/>
            </w:tcBorders>
          </w:tcPr>
          <w:p>
            <w:pPr>
              <w:jc w:val="right"/>
              <w:ind w:right="469"/>
              <w:spacing w:after="0" w:line="92" w:lineRule="exact"/>
              <w:rPr>
                <w:sz w:val="20"/>
                <w:szCs w:val="20"/>
                <w:color w:val="auto"/>
              </w:rPr>
            </w:pPr>
            <w:r>
              <w:rPr>
                <w:rFonts w:ascii="Arial" w:cs="Arial" w:eastAsia="Arial" w:hAnsi="Arial"/>
                <w:sz w:val="10"/>
                <w:szCs w:val="10"/>
                <w:color w:val="auto"/>
              </w:rPr>
              <w:t>19</w:t>
            </w: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0077C0"/>
            </w:tcBorders>
            <w:gridSpan w:val="2"/>
          </w:tcPr>
          <w:p>
            <w:pPr>
              <w:jc w:val="right"/>
              <w:ind w:right="20"/>
              <w:spacing w:after="0" w:line="9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Net derivatives gain (loss) on hedge transactions</w:t>
            </w:r>
          </w:p>
        </w:tc>
        <w:tc>
          <w:tcPr>
            <w:tcW w:w="1360" w:type="dxa"/>
            <w:vAlign w:val="bottom"/>
          </w:tcPr>
          <w:p>
            <w:pPr>
              <w:spacing w:after="0"/>
              <w:rPr>
                <w:sz w:val="9"/>
                <w:szCs w:val="9"/>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33</w:t>
            </w: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1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69"/>
              <w:spacing w:after="0" w:line="104" w:lineRule="exact"/>
              <w:rPr>
                <w:sz w:val="20"/>
                <w:szCs w:val="20"/>
                <w:color w:val="auto"/>
              </w:rPr>
            </w:pPr>
            <w:r>
              <w:rPr>
                <w:rFonts w:ascii="Arial" w:cs="Arial" w:eastAsia="Arial" w:hAnsi="Arial"/>
                <w:sz w:val="10"/>
                <w:szCs w:val="10"/>
                <w:color w:val="auto"/>
              </w:rPr>
              <w:t>39</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20"/>
        </w:trPr>
        <w:tc>
          <w:tcPr>
            <w:tcW w:w="3980" w:type="dxa"/>
            <w:vAlign w:val="bottom"/>
          </w:tcPr>
          <w:p>
            <w:pPr>
              <w:ind w:left="180"/>
              <w:spacing w:after="0"/>
              <w:rPr>
                <w:sz w:val="20"/>
                <w:szCs w:val="20"/>
                <w:color w:val="auto"/>
              </w:rPr>
            </w:pPr>
            <w:r>
              <w:rPr>
                <w:rFonts w:ascii="Arial" w:cs="Arial" w:eastAsia="Arial" w:hAnsi="Arial"/>
                <w:sz w:val="10"/>
                <w:szCs w:val="10"/>
                <w:color w:val="auto"/>
              </w:rPr>
              <w:t>Change during year</w:t>
            </w:r>
          </w:p>
        </w:tc>
        <w:tc>
          <w:tcPr>
            <w:tcW w:w="136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110</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29"/>
              <w:spacing w:after="0"/>
              <w:rPr>
                <w:sz w:val="20"/>
                <w:szCs w:val="20"/>
                <w:color w:val="auto"/>
              </w:rPr>
            </w:pPr>
            <w:r>
              <w:rPr>
                <w:rFonts w:ascii="Arial" w:cs="Arial" w:eastAsia="Arial" w:hAnsi="Arial"/>
                <w:sz w:val="10"/>
                <w:szCs w:val="10"/>
                <w:color w:val="auto"/>
              </w:rPr>
              <w:t>(6)</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980" w:type="dxa"/>
            <w:vAlign w:val="bottom"/>
          </w:tcPr>
          <w:p>
            <w:pPr>
              <w:ind w:left="180"/>
              <w:spacing w:after="0" w:line="105" w:lineRule="exact"/>
              <w:rPr>
                <w:sz w:val="20"/>
                <w:szCs w:val="20"/>
                <w:color w:val="auto"/>
              </w:rPr>
            </w:pPr>
            <w:r>
              <w:rPr>
                <w:rFonts w:ascii="Arial" w:cs="Arial" w:eastAsia="Arial" w:hAnsi="Arial"/>
                <w:sz w:val="10"/>
                <w:szCs w:val="10"/>
                <w:color w:val="auto"/>
              </w:rPr>
              <w:t>Balance at December 31</w:t>
            </w:r>
          </w:p>
        </w:tc>
        <w:tc>
          <w:tcPr>
            <w:tcW w:w="1360" w:type="dxa"/>
            <w:vAlign w:val="bottom"/>
          </w:tcPr>
          <w:p>
            <w:pPr>
              <w:spacing w:after="0"/>
              <w:rPr>
                <w:sz w:val="9"/>
                <w:szCs w:val="9"/>
                <w:color w:val="auto"/>
              </w:rPr>
            </w:pPr>
          </w:p>
        </w:tc>
        <w:tc>
          <w:tcPr>
            <w:tcW w:w="2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143</w:t>
            </w:r>
          </w:p>
        </w:tc>
        <w:tc>
          <w:tcPr>
            <w:tcW w:w="1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0077C0"/>
            </w:tcBorders>
          </w:tcPr>
          <w:p>
            <w:pPr>
              <w:jc w:val="right"/>
              <w:ind w:right="469"/>
              <w:spacing w:after="0" w:line="105" w:lineRule="exact"/>
              <w:rPr>
                <w:sz w:val="20"/>
                <w:szCs w:val="20"/>
                <w:color w:val="auto"/>
              </w:rPr>
            </w:pPr>
            <w:r>
              <w:rPr>
                <w:rFonts w:ascii="Arial" w:cs="Arial" w:eastAsia="Arial" w:hAnsi="Arial"/>
                <w:sz w:val="10"/>
                <w:szCs w:val="10"/>
                <w:color w:val="auto"/>
              </w:rPr>
              <w:t>33</w:t>
            </w:r>
          </w:p>
        </w:tc>
        <w:tc>
          <w:tcPr>
            <w:tcW w:w="124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80" w:type="dxa"/>
            <w:vAlign w:val="bottom"/>
          </w:tcPr>
          <w:p>
            <w:pPr>
              <w:ind w:left="80"/>
              <w:spacing w:after="0" w:line="105"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Pr>
          <w:p>
            <w:pPr>
              <w:spacing w:after="0"/>
              <w:rPr>
                <w:sz w:val="9"/>
                <w:szCs w:val="9"/>
                <w:color w:val="auto"/>
              </w:rPr>
            </w:pPr>
          </w:p>
        </w:tc>
        <w:tc>
          <w:tcPr>
            <w:tcW w:w="22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(3,924)</w:t>
            </w:r>
          </w:p>
        </w:tc>
        <w:tc>
          <w:tcPr>
            <w:tcW w:w="1260" w:type="dxa"/>
            <w:vAlign w:val="bottom"/>
          </w:tcPr>
          <w:p>
            <w:pPr>
              <w:spacing w:after="0"/>
              <w:rPr>
                <w:sz w:val="9"/>
                <w:szCs w:val="9"/>
                <w:color w:val="auto"/>
              </w:rPr>
            </w:pPr>
          </w:p>
        </w:tc>
        <w:tc>
          <w:tcPr>
            <w:tcW w:w="54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5" w:lineRule="exact"/>
              <w:rPr>
                <w:sz w:val="20"/>
                <w:szCs w:val="20"/>
                <w:color w:val="auto"/>
              </w:rPr>
            </w:pPr>
            <w:r>
              <w:rPr>
                <w:rFonts w:ascii="Arial" w:cs="Arial" w:eastAsia="Arial" w:hAnsi="Arial"/>
                <w:sz w:val="10"/>
                <w:szCs w:val="10"/>
                <w:color w:val="auto"/>
              </w:rPr>
              <w:t>(2,015)</w:t>
            </w:r>
          </w:p>
        </w:tc>
        <w:tc>
          <w:tcPr>
            <w:tcW w:w="1240" w:type="dxa"/>
            <w:vAlign w:val="bottom"/>
          </w:tcPr>
          <w:p>
            <w:pPr>
              <w:spacing w:after="0"/>
              <w:rPr>
                <w:sz w:val="9"/>
                <w:szCs w:val="9"/>
                <w:color w:val="auto"/>
              </w:rPr>
            </w:pPr>
          </w:p>
        </w:tc>
        <w:tc>
          <w:tcPr>
            <w:tcW w:w="56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(2,636)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Deferred Compensation and Benefit Plan Trust Deferred Compensation</w:t>
            </w:r>
          </w:p>
        </w:tc>
        <w:tc>
          <w:tcPr>
            <w:tcW w:w="13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(214)</w:t>
            </w:r>
          </w:p>
        </w:tc>
        <w:tc>
          <w:tcPr>
            <w:tcW w:w="1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1000" w:type="dxa"/>
            <w:vAlign w:val="bottom"/>
            <w:tcBorders>
              <w:top w:val="single" w:sz="8" w:color="0077C0"/>
            </w:tcBorders>
          </w:tcPr>
          <w:p>
            <w:pPr>
              <w:spacing w:after="0"/>
              <w:rPr>
                <w:sz w:val="8"/>
                <w:szCs w:val="8"/>
                <w:color w:val="auto"/>
              </w:rPr>
            </w:pPr>
          </w:p>
        </w:tc>
        <w:tc>
          <w:tcPr>
            <w:tcW w:w="12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1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4" w:lineRule="exact"/>
              <w:rPr>
                <w:sz w:val="20"/>
                <w:szCs w:val="20"/>
                <w:color w:val="auto"/>
              </w:rPr>
            </w:pPr>
            <w:r>
              <w:rPr>
                <w:rFonts w:ascii="Arial" w:cs="Arial" w:eastAsia="Arial" w:hAnsi="Arial"/>
                <w:sz w:val="10"/>
                <w:szCs w:val="10"/>
                <w:color w:val="auto"/>
              </w:rPr>
              <w:t>(214)</w:t>
            </w:r>
          </w:p>
        </w:tc>
        <w:tc>
          <w:tcPr>
            <w:tcW w:w="1240" w:type="dxa"/>
            <w:vAlign w:val="bottom"/>
          </w:tcPr>
          <w:p>
            <w:pPr>
              <w:spacing w:after="0"/>
              <w:rPr>
                <w:sz w:val="9"/>
                <w:szCs w:val="9"/>
                <w:color w:val="auto"/>
              </w:rPr>
            </w:pP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(246)</w:t>
            </w:r>
          </w:p>
        </w:tc>
        <w:tc>
          <w:tcPr>
            <w:tcW w:w="0" w:type="dxa"/>
            <w:vAlign w:val="bottom"/>
          </w:tcPr>
          <w:p>
            <w:pPr>
              <w:spacing w:after="0"/>
              <w:rPr>
                <w:sz w:val="1"/>
                <w:szCs w:val="1"/>
                <w:color w:val="auto"/>
              </w:rPr>
            </w:pPr>
          </w:p>
        </w:tc>
      </w:tr>
      <w:tr>
        <w:trPr>
          <w:trHeight w:val="120"/>
        </w:trPr>
        <w:tc>
          <w:tcPr>
            <w:tcW w:w="3980" w:type="dxa"/>
            <w:vAlign w:val="bottom"/>
          </w:tcPr>
          <w:p>
            <w:pPr>
              <w:ind w:left="180"/>
              <w:spacing w:after="0"/>
              <w:rPr>
                <w:sz w:val="20"/>
                <w:szCs w:val="20"/>
                <w:color w:val="auto"/>
              </w:rPr>
            </w:pPr>
            <w:r>
              <w:rPr>
                <w:rFonts w:ascii="Arial" w:cs="Arial" w:eastAsia="Arial" w:hAnsi="Arial"/>
                <w:sz w:val="10"/>
                <w:szCs w:val="10"/>
                <w:color w:val="auto"/>
              </w:rPr>
              <w:t>Net reduction of ESOP debt and other</w:t>
            </w:r>
          </w:p>
        </w:tc>
        <w:tc>
          <w:tcPr>
            <w:tcW w:w="1360" w:type="dxa"/>
            <w:vAlign w:val="bottom"/>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20</w:t>
            </w:r>
          </w:p>
        </w:tc>
        <w:tc>
          <w:tcPr>
            <w:tcW w:w="12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980" w:type="dxa"/>
            <w:vAlign w:val="bottom"/>
          </w:tcPr>
          <w:p>
            <w:pPr>
              <w:ind w:left="180"/>
              <w:spacing w:after="0" w:line="91"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(194)</w:t>
            </w:r>
          </w:p>
        </w:tc>
        <w:tc>
          <w:tcPr>
            <w:tcW w:w="1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tcPr>
          <w:p>
            <w:pPr>
              <w:jc w:val="right"/>
              <w:ind w:right="429"/>
              <w:spacing w:after="0" w:line="91" w:lineRule="exact"/>
              <w:rPr>
                <w:sz w:val="20"/>
                <w:szCs w:val="20"/>
                <w:color w:val="auto"/>
              </w:rPr>
            </w:pPr>
            <w:r>
              <w:rPr>
                <w:rFonts w:ascii="Arial" w:cs="Arial" w:eastAsia="Arial" w:hAnsi="Arial"/>
                <w:sz w:val="10"/>
                <w:szCs w:val="10"/>
                <w:color w:val="auto"/>
              </w:rPr>
              <w:t>(214)</w:t>
            </w:r>
          </w:p>
        </w:tc>
        <w:tc>
          <w:tcPr>
            <w:tcW w:w="1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(214)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80"/>
              <w:spacing w:after="0"/>
              <w:rPr>
                <w:sz w:val="20"/>
                <w:szCs w:val="20"/>
                <w:color w:val="auto"/>
              </w:rPr>
            </w:pPr>
            <w:r>
              <w:rPr>
                <w:rFonts w:ascii="Arial" w:cs="Arial" w:eastAsia="Arial" w:hAnsi="Arial"/>
                <w:sz w:val="10"/>
                <w:szCs w:val="10"/>
                <w:b w:val="1"/>
                <w:bCs w:val="1"/>
                <w:color w:val="0077C0"/>
              </w:rPr>
              <w:t>Benefit Plan Trust (Common Stock)</w:t>
            </w:r>
          </w:p>
        </w:tc>
        <w:tc>
          <w:tcPr>
            <w:tcW w:w="1360" w:type="dxa"/>
            <w:vAlign w:val="bottom"/>
          </w:tcPr>
          <w:p>
            <w:pPr>
              <w:jc w:val="right"/>
              <w:ind w:right="629"/>
              <w:spacing w:after="0"/>
              <w:rPr>
                <w:sz w:val="20"/>
                <w:szCs w:val="20"/>
                <w:color w:val="auto"/>
              </w:rPr>
            </w:pPr>
            <w:r>
              <w:rPr>
                <w:rFonts w:ascii="Arial" w:cs="Arial" w:eastAsia="Arial" w:hAnsi="Arial"/>
                <w:sz w:val="10"/>
                <w:szCs w:val="10"/>
                <w:b w:val="1"/>
                <w:bCs w:val="1"/>
                <w:color w:val="auto"/>
              </w:rPr>
              <w:t>14,168</w:t>
            </w:r>
          </w:p>
        </w:tc>
        <w:tc>
          <w:tcPr>
            <w:tcW w:w="220" w:type="dxa"/>
            <w:vAlign w:val="bottom"/>
          </w:tcPr>
          <w:p>
            <w:pPr>
              <w:spacing w:after="0"/>
              <w:rPr>
                <w:sz w:val="10"/>
                <w:szCs w:val="10"/>
                <w:color w:val="auto"/>
              </w:rPr>
            </w:pPr>
          </w:p>
        </w:tc>
        <w:tc>
          <w:tcPr>
            <w:tcW w:w="70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(240)</w:t>
            </w:r>
          </w:p>
        </w:tc>
        <w:tc>
          <w:tcPr>
            <w:tcW w:w="1260" w:type="dxa"/>
            <w:vAlign w:val="bottom"/>
          </w:tcPr>
          <w:p>
            <w:pPr>
              <w:jc w:val="right"/>
              <w:ind w:right="309"/>
              <w:spacing w:after="0"/>
              <w:rPr>
                <w:sz w:val="20"/>
                <w:szCs w:val="20"/>
                <w:color w:val="auto"/>
              </w:rPr>
            </w:pPr>
            <w:r>
              <w:rPr>
                <w:rFonts w:ascii="Arial" w:cs="Arial" w:eastAsia="Arial" w:hAnsi="Arial"/>
                <w:sz w:val="10"/>
                <w:szCs w:val="10"/>
                <w:color w:val="auto"/>
              </w:rPr>
              <w:t>14,168</w:t>
            </w:r>
          </w:p>
        </w:tc>
        <w:tc>
          <w:tcPr>
            <w:tcW w:w="540" w:type="dxa"/>
            <w:vAlign w:val="bottom"/>
          </w:tcPr>
          <w:p>
            <w:pPr>
              <w:spacing w:after="0"/>
              <w:rPr>
                <w:sz w:val="10"/>
                <w:szCs w:val="10"/>
                <w:color w:val="auto"/>
              </w:rPr>
            </w:pPr>
          </w:p>
        </w:tc>
        <w:tc>
          <w:tcPr>
            <w:tcW w:w="1000" w:type="dxa"/>
            <w:vAlign w:val="bottom"/>
          </w:tcPr>
          <w:p>
            <w:pPr>
              <w:jc w:val="right"/>
              <w:ind w:right="429"/>
              <w:spacing w:after="0"/>
              <w:rPr>
                <w:sz w:val="20"/>
                <w:szCs w:val="20"/>
                <w:color w:val="auto"/>
              </w:rPr>
            </w:pPr>
            <w:r>
              <w:rPr>
                <w:rFonts w:ascii="Arial" w:cs="Arial" w:eastAsia="Arial" w:hAnsi="Arial"/>
                <w:sz w:val="10"/>
                <w:szCs w:val="10"/>
                <w:color w:val="auto"/>
              </w:rPr>
              <w:t>(240)</w:t>
            </w:r>
          </w:p>
        </w:tc>
        <w:tc>
          <w:tcPr>
            <w:tcW w:w="1240" w:type="dxa"/>
            <w:vAlign w:val="bottom"/>
          </w:tcPr>
          <w:p>
            <w:pPr>
              <w:jc w:val="right"/>
              <w:ind w:right="309"/>
              <w:spacing w:after="0"/>
              <w:rPr>
                <w:sz w:val="20"/>
                <w:szCs w:val="20"/>
                <w:color w:val="auto"/>
              </w:rPr>
            </w:pPr>
            <w:r>
              <w:rPr>
                <w:rFonts w:ascii="Arial" w:cs="Arial" w:eastAsia="Arial" w:hAnsi="Arial"/>
                <w:sz w:val="10"/>
                <w:szCs w:val="10"/>
                <w:color w:val="auto"/>
              </w:rPr>
              <w:t>14,168</w:t>
            </w:r>
          </w:p>
        </w:tc>
        <w:tc>
          <w:tcPr>
            <w:tcW w:w="560" w:type="dxa"/>
            <w:vAlign w:val="bottom"/>
          </w:tcPr>
          <w:p>
            <w:pPr>
              <w:spacing w:after="0"/>
              <w:rPr>
                <w:sz w:val="10"/>
                <w:szCs w:val="1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0"/>
                <w:szCs w:val="10"/>
                <w:color w:val="auto"/>
              </w:rPr>
              <w:t>(240)</w:t>
            </w:r>
          </w:p>
        </w:tc>
        <w:tc>
          <w:tcPr>
            <w:tcW w:w="0" w:type="dxa"/>
            <w:vAlign w:val="bottom"/>
          </w:tcPr>
          <w:p>
            <w:pPr>
              <w:spacing w:after="0"/>
              <w:rPr>
                <w:sz w:val="1"/>
                <w:szCs w:val="1"/>
                <w:color w:val="auto"/>
              </w:rPr>
            </w:pPr>
          </w:p>
        </w:tc>
      </w:tr>
      <w:tr>
        <w:trPr>
          <w:trHeight w:val="105"/>
        </w:trPr>
        <w:tc>
          <w:tcPr>
            <w:tcW w:w="398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Borders>
              <w:top w:val="single" w:sz="8" w:color="0077C0"/>
              <w:bottom w:val="single" w:sz="8" w:color="0077C0"/>
            </w:tcBorders>
          </w:tcPr>
          <w:p>
            <w:pPr>
              <w:jc w:val="right"/>
              <w:ind w:right="629"/>
              <w:spacing w:after="0" w:line="105" w:lineRule="exact"/>
              <w:rPr>
                <w:sz w:val="20"/>
                <w:szCs w:val="20"/>
                <w:color w:val="auto"/>
              </w:rPr>
            </w:pPr>
            <w:r>
              <w:rPr>
                <w:rFonts w:ascii="Arial" w:cs="Arial" w:eastAsia="Arial" w:hAnsi="Arial"/>
                <w:sz w:val="10"/>
                <w:szCs w:val="10"/>
                <w:b w:val="1"/>
                <w:bCs w:val="1"/>
                <w:color w:val="auto"/>
              </w:rPr>
              <w:t>14,168</w:t>
            </w:r>
          </w:p>
        </w:tc>
        <w:tc>
          <w:tcPr>
            <w:tcW w:w="22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77C0"/>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(434)</w:t>
            </w:r>
          </w:p>
        </w:tc>
        <w:tc>
          <w:tcPr>
            <w:tcW w:w="126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14,168</w:t>
            </w:r>
          </w:p>
        </w:tc>
        <w:tc>
          <w:tcPr>
            <w:tcW w:w="54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Borders>
              <w:top w:val="single" w:sz="8" w:color="0077C0"/>
              <w:bottom w:val="single" w:sz="8" w:color="0077C0"/>
            </w:tcBorders>
          </w:tcPr>
          <w:p>
            <w:pPr>
              <w:jc w:val="right"/>
              <w:ind w:right="429"/>
              <w:spacing w:after="0" w:line="105" w:lineRule="exact"/>
              <w:rPr>
                <w:sz w:val="20"/>
                <w:szCs w:val="20"/>
                <w:color w:val="auto"/>
              </w:rPr>
            </w:pPr>
            <w:r>
              <w:rPr>
                <w:rFonts w:ascii="Arial" w:cs="Arial" w:eastAsia="Arial" w:hAnsi="Arial"/>
                <w:sz w:val="10"/>
                <w:szCs w:val="10"/>
                <w:color w:val="auto"/>
              </w:rPr>
              <w:t>(454)</w:t>
            </w:r>
          </w:p>
        </w:tc>
        <w:tc>
          <w:tcPr>
            <w:tcW w:w="124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14,168</w:t>
            </w:r>
          </w:p>
        </w:tc>
        <w:tc>
          <w:tcPr>
            <w:tcW w:w="5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(454)</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980" w:type="dxa"/>
            <w:vAlign w:val="bottom"/>
          </w:tcPr>
          <w:p>
            <w:pPr>
              <w:spacing w:after="0" w:line="92" w:lineRule="exact"/>
              <w:rPr>
                <w:sz w:val="20"/>
                <w:szCs w:val="20"/>
                <w:color w:val="auto"/>
              </w:rPr>
            </w:pPr>
            <w:r>
              <w:rPr>
                <w:rFonts w:ascii="Arial" w:cs="Arial" w:eastAsia="Arial" w:hAnsi="Arial"/>
                <w:sz w:val="10"/>
                <w:szCs w:val="10"/>
                <w:b w:val="1"/>
                <w:bCs w:val="1"/>
                <w:color w:val="0077C0"/>
              </w:rPr>
              <w:t>Treasury Stock at Cost</w:t>
            </w:r>
          </w:p>
        </w:tc>
        <w:tc>
          <w:tcPr>
            <w:tcW w:w="1360" w:type="dxa"/>
            <w:vAlign w:val="bottom"/>
            <w:vMerge w:val="restart"/>
          </w:tcPr>
          <w:p>
            <w:pPr>
              <w:jc w:val="right"/>
              <w:ind w:right="629"/>
              <w:spacing w:after="0"/>
              <w:rPr>
                <w:sz w:val="20"/>
                <w:szCs w:val="20"/>
                <w:color w:val="auto"/>
              </w:rPr>
            </w:pPr>
            <w:r>
              <w:rPr>
                <w:rFonts w:ascii="Arial" w:cs="Arial" w:eastAsia="Arial" w:hAnsi="Arial"/>
                <w:sz w:val="10"/>
                <w:szCs w:val="10"/>
                <w:b w:val="1"/>
                <w:bCs w:val="1"/>
                <w:color w:val="auto"/>
              </w:rPr>
              <w:t>352,243</w:t>
            </w: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(18,892)</w:t>
            </w: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80" w:type="dxa"/>
            <w:vAlign w:val="bottom"/>
          </w:tcPr>
          <w:p>
            <w:pPr>
              <w:ind w:left="80"/>
              <w:spacing w:after="0" w:line="104" w:lineRule="exact"/>
              <w:rPr>
                <w:sz w:val="20"/>
                <w:szCs w:val="20"/>
                <w:color w:val="auto"/>
              </w:rPr>
            </w:pPr>
            <w:r>
              <w:rPr>
                <w:rFonts w:ascii="Arial" w:cs="Arial" w:eastAsia="Arial" w:hAnsi="Arial"/>
                <w:sz w:val="10"/>
                <w:szCs w:val="10"/>
                <w:color w:val="auto"/>
              </w:rPr>
              <w:t>Balance at January 1</w:t>
            </w:r>
          </w:p>
        </w:tc>
        <w:tc>
          <w:tcPr>
            <w:tcW w:w="13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0077C0"/>
            </w:tcBorders>
            <w:vMerge w:val="continue"/>
          </w:tcPr>
          <w:p>
            <w:pPr>
              <w:spacing w:after="0"/>
              <w:rPr>
                <w:sz w:val="9"/>
                <w:szCs w:val="9"/>
                <w:color w:val="auto"/>
              </w:rPr>
            </w:pPr>
          </w:p>
        </w:tc>
        <w:tc>
          <w:tcPr>
            <w:tcW w:w="126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278,118</w:t>
            </w: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29"/>
              <w:spacing w:after="0" w:line="104" w:lineRule="exact"/>
              <w:rPr>
                <w:sz w:val="20"/>
                <w:szCs w:val="20"/>
                <w:color w:val="auto"/>
              </w:rPr>
            </w:pPr>
            <w:r>
              <w:rPr>
                <w:rFonts w:ascii="Arial" w:cs="Arial" w:eastAsia="Arial" w:hAnsi="Arial"/>
                <w:sz w:val="10"/>
                <w:szCs w:val="10"/>
                <w:color w:val="auto"/>
              </w:rPr>
              <w:t>(12,395)</w:t>
            </w:r>
          </w:p>
        </w:tc>
        <w:tc>
          <w:tcPr>
            <w:tcW w:w="12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209,990</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20"/>
              <w:spacing w:after="0" w:line="104" w:lineRule="exact"/>
              <w:rPr>
                <w:sz w:val="20"/>
                <w:szCs w:val="20"/>
                <w:color w:val="auto"/>
              </w:rPr>
            </w:pPr>
            <w:r>
              <w:rPr>
                <w:rFonts w:ascii="Arial" w:cs="Arial" w:eastAsia="Arial" w:hAnsi="Arial"/>
                <w:sz w:val="10"/>
                <w:szCs w:val="10"/>
                <w:color w:val="auto"/>
              </w:rPr>
              <w:t>(7,870)</w:t>
            </w:r>
          </w:p>
        </w:tc>
        <w:tc>
          <w:tcPr>
            <w:tcW w:w="0" w:type="dxa"/>
            <w:vAlign w:val="bottom"/>
          </w:tcPr>
          <w:p>
            <w:pPr>
              <w:spacing w:after="0"/>
              <w:rPr>
                <w:sz w:val="1"/>
                <w:szCs w:val="1"/>
                <w:color w:val="auto"/>
              </w:rPr>
            </w:pPr>
          </w:p>
        </w:tc>
      </w:tr>
      <w:tr>
        <w:trPr>
          <w:trHeight w:val="106"/>
        </w:trPr>
        <w:tc>
          <w:tcPr>
            <w:tcW w:w="398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p>
        </w:tc>
        <w:tc>
          <w:tcPr>
            <w:tcW w:w="1360" w:type="dxa"/>
            <w:vAlign w:val="bottom"/>
          </w:tcPr>
          <w:p>
            <w:pPr>
              <w:jc w:val="right"/>
              <w:ind w:right="629"/>
              <w:spacing w:after="0" w:line="106" w:lineRule="exact"/>
              <w:rPr>
                <w:sz w:val="20"/>
                <w:szCs w:val="20"/>
                <w:color w:val="auto"/>
              </w:rPr>
            </w:pPr>
            <w:r>
              <w:rPr>
                <w:rFonts w:ascii="Arial" w:cs="Arial" w:eastAsia="Arial" w:hAnsi="Arial"/>
                <w:sz w:val="10"/>
                <w:szCs w:val="10"/>
                <w:b w:val="1"/>
                <w:bCs w:val="1"/>
                <w:color w:val="auto"/>
              </w:rPr>
              <w:t>95,631</w:t>
            </w:r>
          </w:p>
        </w:tc>
        <w:tc>
          <w:tcPr>
            <w:tcW w:w="220" w:type="dxa"/>
            <w:vAlign w:val="bottom"/>
          </w:tcPr>
          <w:p>
            <w:pPr>
              <w:spacing w:after="0"/>
              <w:rPr>
                <w:sz w:val="9"/>
                <w:szCs w:val="9"/>
                <w:color w:val="auto"/>
              </w:rPr>
            </w:pPr>
          </w:p>
        </w:tc>
        <w:tc>
          <w:tcPr>
            <w:tcW w:w="70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(8,011)</w:t>
            </w:r>
          </w:p>
        </w:tc>
        <w:tc>
          <w:tcPr>
            <w:tcW w:w="126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85,429</w:t>
            </w:r>
          </w:p>
        </w:tc>
        <w:tc>
          <w:tcPr>
            <w:tcW w:w="540" w:type="dxa"/>
            <w:vAlign w:val="bottom"/>
          </w:tcPr>
          <w:p>
            <w:pPr>
              <w:spacing w:after="0"/>
              <w:rPr>
                <w:sz w:val="9"/>
                <w:szCs w:val="9"/>
                <w:color w:val="auto"/>
              </w:rPr>
            </w:pPr>
          </w:p>
        </w:tc>
        <w:tc>
          <w:tcPr>
            <w:tcW w:w="1000" w:type="dxa"/>
            <w:vAlign w:val="bottom"/>
          </w:tcPr>
          <w:p>
            <w:pPr>
              <w:jc w:val="right"/>
              <w:ind w:right="429"/>
              <w:spacing w:after="0" w:line="106" w:lineRule="exact"/>
              <w:rPr>
                <w:sz w:val="20"/>
                <w:szCs w:val="20"/>
                <w:color w:val="auto"/>
              </w:rPr>
            </w:pPr>
            <w:r>
              <w:rPr>
                <w:rFonts w:ascii="Arial" w:cs="Arial" w:eastAsia="Arial" w:hAnsi="Arial"/>
                <w:sz w:val="10"/>
                <w:szCs w:val="10"/>
                <w:color w:val="auto"/>
              </w:rPr>
              <w:t>(7,036)</w:t>
            </w:r>
          </w:p>
        </w:tc>
        <w:tc>
          <w:tcPr>
            <w:tcW w:w="12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80,369</w:t>
            </w:r>
          </w:p>
        </w:tc>
        <w:tc>
          <w:tcPr>
            <w:tcW w:w="560" w:type="dxa"/>
            <w:vAlign w:val="bottom"/>
          </w:tcPr>
          <w:p>
            <w:pPr>
              <w:spacing w:after="0"/>
              <w:rPr>
                <w:sz w:val="9"/>
                <w:szCs w:val="9"/>
                <w:color w:val="auto"/>
              </w:rPr>
            </w:pPr>
          </w:p>
        </w:tc>
        <w:tc>
          <w:tcPr>
            <w:tcW w:w="54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(5,033)</w:t>
            </w:r>
          </w:p>
        </w:tc>
        <w:tc>
          <w:tcPr>
            <w:tcW w:w="0" w:type="dxa"/>
            <w:vAlign w:val="bottom"/>
          </w:tcPr>
          <w:p>
            <w:pPr>
              <w:spacing w:after="0"/>
              <w:rPr>
                <w:sz w:val="1"/>
                <w:szCs w:val="1"/>
                <w:color w:val="auto"/>
              </w:rPr>
            </w:pPr>
          </w:p>
        </w:tc>
      </w:tr>
      <w:tr>
        <w:trPr>
          <w:trHeight w:val="120"/>
        </w:trPr>
        <w:tc>
          <w:tcPr>
            <w:tcW w:w="3980" w:type="dxa"/>
            <w:vAlign w:val="bottom"/>
          </w:tcPr>
          <w:p>
            <w:pPr>
              <w:ind w:left="80"/>
              <w:spacing w:after="0"/>
              <w:rPr>
                <w:sz w:val="20"/>
                <w:szCs w:val="20"/>
                <w:color w:val="auto"/>
              </w:rPr>
            </w:pPr>
            <w:r>
              <w:rPr>
                <w:rFonts w:ascii="Arial" w:cs="Arial" w:eastAsia="Arial" w:hAnsi="Arial"/>
                <w:sz w:val="10"/>
                <w:szCs w:val="10"/>
                <w:color w:val="auto"/>
              </w:rPr>
              <w:t>Issuances – mainly employee benefit plans</w:t>
            </w:r>
          </w:p>
        </w:tc>
        <w:tc>
          <w:tcPr>
            <w:tcW w:w="1360" w:type="dxa"/>
            <w:vAlign w:val="bottom"/>
            <w:tcBorders>
              <w:bottom w:val="single" w:sz="8" w:color="0077C0"/>
            </w:tcBorders>
          </w:tcPr>
          <w:p>
            <w:pPr>
              <w:jc w:val="right"/>
              <w:ind w:right="589"/>
              <w:spacing w:after="0"/>
              <w:rPr>
                <w:sz w:val="20"/>
                <w:szCs w:val="20"/>
                <w:color w:val="auto"/>
              </w:rPr>
            </w:pPr>
            <w:r>
              <w:rPr>
                <w:rFonts w:ascii="Arial" w:cs="Arial" w:eastAsia="Arial" w:hAnsi="Arial"/>
                <w:sz w:val="10"/>
                <w:szCs w:val="10"/>
                <w:b w:val="1"/>
                <w:bCs w:val="1"/>
                <w:color w:val="auto"/>
              </w:rPr>
              <w:t>(9,429)</w:t>
            </w: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527</w:t>
            </w:r>
          </w:p>
        </w:tc>
        <w:tc>
          <w:tcPr>
            <w:tcW w:w="126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color w:val="auto"/>
              </w:rPr>
              <w:t>(11,304)</w:t>
            </w:r>
          </w:p>
        </w:tc>
        <w:tc>
          <w:tcPr>
            <w:tcW w:w="54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tcPr>
          <w:p>
            <w:pPr>
              <w:jc w:val="right"/>
              <w:ind w:right="469"/>
              <w:spacing w:after="0"/>
              <w:rPr>
                <w:sz w:val="20"/>
                <w:szCs w:val="20"/>
                <w:color w:val="auto"/>
              </w:rPr>
            </w:pPr>
            <w:r>
              <w:rPr>
                <w:rFonts w:ascii="Arial" w:cs="Arial" w:eastAsia="Arial" w:hAnsi="Arial"/>
                <w:sz w:val="10"/>
                <w:szCs w:val="10"/>
                <w:color w:val="auto"/>
              </w:rPr>
              <w:t>539</w:t>
            </w:r>
          </w:p>
        </w:tc>
        <w:tc>
          <w:tcPr>
            <w:tcW w:w="124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color w:val="auto"/>
              </w:rPr>
              <w:t>(12,241)</w:t>
            </w:r>
          </w:p>
        </w:tc>
        <w:tc>
          <w:tcPr>
            <w:tcW w:w="5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98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Balance at December 31</w:t>
            </w:r>
          </w:p>
        </w:tc>
        <w:tc>
          <w:tcPr>
            <w:tcW w:w="1360" w:type="dxa"/>
            <w:vAlign w:val="bottom"/>
            <w:tcBorders>
              <w:bottom w:val="single" w:sz="8" w:color="0077C0"/>
            </w:tcBorders>
          </w:tcPr>
          <w:p>
            <w:pPr>
              <w:jc w:val="right"/>
              <w:ind w:right="629"/>
              <w:spacing w:after="0" w:line="105" w:lineRule="exact"/>
              <w:rPr>
                <w:sz w:val="20"/>
                <w:szCs w:val="20"/>
                <w:color w:val="auto"/>
              </w:rPr>
            </w:pPr>
            <w:r>
              <w:rPr>
                <w:rFonts w:ascii="Arial" w:cs="Arial" w:eastAsia="Arial" w:hAnsi="Arial"/>
                <w:sz w:val="10"/>
                <w:szCs w:val="10"/>
                <w:b w:val="1"/>
                <w:bCs w:val="1"/>
                <w:color w:val="auto"/>
              </w:rPr>
              <w:t>438,445</w:t>
            </w:r>
          </w:p>
        </w:tc>
        <w:tc>
          <w:tcPr>
            <w:tcW w:w="2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(26,376)</w:t>
            </w:r>
          </w:p>
        </w:tc>
        <w:tc>
          <w:tcPr>
            <w:tcW w:w="1260" w:type="dxa"/>
            <w:vAlign w:val="bottom"/>
            <w:tcBorders>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352,243</w:t>
            </w:r>
          </w:p>
        </w:tc>
        <w:tc>
          <w:tcPr>
            <w:tcW w:w="5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0077C0"/>
            </w:tcBorders>
          </w:tcPr>
          <w:p>
            <w:pPr>
              <w:jc w:val="right"/>
              <w:ind w:right="429"/>
              <w:spacing w:after="0" w:line="105" w:lineRule="exact"/>
              <w:rPr>
                <w:sz w:val="20"/>
                <w:szCs w:val="20"/>
                <w:color w:val="auto"/>
              </w:rPr>
            </w:pPr>
            <w:r>
              <w:rPr>
                <w:rFonts w:ascii="Arial" w:cs="Arial" w:eastAsia="Arial" w:hAnsi="Arial"/>
                <w:sz w:val="10"/>
                <w:szCs w:val="10"/>
                <w:color w:val="auto"/>
              </w:rPr>
              <w:t>(18,892)</w:t>
            </w:r>
          </w:p>
        </w:tc>
        <w:tc>
          <w:tcPr>
            <w:tcW w:w="1240" w:type="dxa"/>
            <w:vAlign w:val="bottom"/>
            <w:tcBorders>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278,118</w:t>
            </w: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(12,395)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Stockholders’ Equity at December 31</w:t>
            </w:r>
          </w:p>
        </w:tc>
        <w:tc>
          <w:tcPr>
            <w:tcW w:w="136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86,648</w:t>
            </w:r>
          </w:p>
        </w:tc>
        <w:tc>
          <w:tcPr>
            <w:tcW w:w="1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0077C0"/>
            </w:tcBorders>
          </w:tcPr>
          <w:p>
            <w:pPr>
              <w:jc w:val="right"/>
              <w:ind w:right="469"/>
              <w:spacing w:after="0" w:line="105" w:lineRule="exact"/>
              <w:rPr>
                <w:sz w:val="20"/>
                <w:szCs w:val="20"/>
                <w:color w:val="auto"/>
              </w:rPr>
            </w:pPr>
            <w:r>
              <w:rPr>
                <w:rFonts w:ascii="Arial" w:cs="Arial" w:eastAsia="Arial" w:hAnsi="Arial"/>
                <w:sz w:val="10"/>
                <w:szCs w:val="10"/>
                <w:color w:val="auto"/>
              </w:rPr>
              <w:t>77,088</w:t>
            </w:r>
          </w:p>
        </w:tc>
        <w:tc>
          <w:tcPr>
            <w:tcW w:w="124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68,935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auto"/>
        </w:rPr>
        <w:t>FS-31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5067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5990" cy="5067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0"/>
          <w:szCs w:val="10"/>
          <w:b w:val="1"/>
          <w:bCs w:val="1"/>
          <w:color w:val="auto"/>
        </w:rPr>
        <w:t>Notes to the Consolidated Financial Statements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Millions of dollars, except per-share amounts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Summary of Significant Accounting Policies</w:t>
      </w:r>
    </w:p>
    <w:p>
      <w:pPr>
        <w:ind w:right="60"/>
        <w:spacing w:after="0" w:line="246" w:lineRule="auto"/>
        <w:rPr>
          <w:sz w:val="20"/>
          <w:szCs w:val="20"/>
          <w:color w:val="auto"/>
        </w:rPr>
      </w:pPr>
      <w:r>
        <w:rPr>
          <w:rFonts w:ascii="Arial" w:cs="Arial" w:eastAsia="Arial" w:hAnsi="Arial"/>
          <w:sz w:val="13"/>
          <w:szCs w:val="13"/>
          <w:i w:val="1"/>
          <w:iCs w:val="1"/>
          <w:color w:val="E51837"/>
        </w:rPr>
        <w:t xml:space="preserve">General </w:t>
      </w:r>
      <w:r>
        <w:rPr>
          <w:rFonts w:ascii="Arial" w:cs="Arial" w:eastAsia="Arial" w:hAnsi="Arial"/>
          <w:sz w:val="13"/>
          <w:szCs w:val="13"/>
          <w:color w:val="000000"/>
        </w:rPr>
        <w:t>Exploration and production (upstream) operations consist of exploring for, developing and</w:t>
      </w:r>
      <w:r>
        <w:rPr>
          <w:rFonts w:ascii="Arial" w:cs="Arial" w:eastAsia="Arial" w:hAnsi="Arial"/>
          <w:sz w:val="13"/>
          <w:szCs w:val="13"/>
          <w:i w:val="1"/>
          <w:iCs w:val="1"/>
          <w:color w:val="E51837"/>
        </w:rPr>
        <w:t xml:space="preserve"> </w:t>
      </w:r>
      <w:r>
        <w:rPr>
          <w:rFonts w:ascii="Arial" w:cs="Arial" w:eastAsia="Arial" w:hAnsi="Arial"/>
          <w:sz w:val="13"/>
          <w:szCs w:val="13"/>
          <w:color w:val="000000"/>
        </w:rPr>
        <w:t>producing crude oil and natural gas and marketing natural gas. Refining, marketing and transportation (downstream) operations relate to refining crude oil into finished petroleum products; marketing crude oil and the many products derived from petroleum; and transporting crude oil, natural gas and petroleum products by pipeline, marine vessel, motor equipment and rail car. Chemical operations include the manufacture and marketing of commodity petrochemicals, plastics for industrial uses, and fuel and lubricant oil additives.</w:t>
      </w:r>
    </w:p>
    <w:p>
      <w:pPr>
        <w:spacing w:after="0" w:line="2" w:lineRule="exact"/>
        <w:rPr>
          <w:sz w:val="20"/>
          <w:szCs w:val="20"/>
          <w:color w:val="auto"/>
        </w:rPr>
      </w:pPr>
    </w:p>
    <w:p>
      <w:pPr>
        <w:ind w:right="20" w:firstLine="158"/>
        <w:spacing w:after="0" w:line="267" w:lineRule="auto"/>
        <w:rPr>
          <w:sz w:val="20"/>
          <w:szCs w:val="20"/>
          <w:color w:val="auto"/>
        </w:rPr>
      </w:pPr>
      <w:r>
        <w:rPr>
          <w:rFonts w:ascii="Arial" w:cs="Arial" w:eastAsia="Arial" w:hAnsi="Arial"/>
          <w:sz w:val="12"/>
          <w:szCs w:val="12"/>
          <w:color w:val="auto"/>
        </w:rPr>
        <w:t>The company’s Consolidated Financial Statements are prepared in accordance with accounting principles generally accepted in the United States of America. These require the use of estimates and assumptions that affect the assets, liabilities, revenues and expenses reported in the financial statements, as well as amounts included in the notes thereto, including discussion and disclosure of contingent liabilities. Although the company uses its best estimates and judgments, actual results could differ from these estimates as future confirming events occur.</w:t>
      </w:r>
    </w:p>
    <w:p>
      <w:pPr>
        <w:spacing w:after="0" w:line="1" w:lineRule="exact"/>
        <w:rPr>
          <w:sz w:val="20"/>
          <w:szCs w:val="20"/>
          <w:color w:val="auto"/>
        </w:rPr>
      </w:pPr>
    </w:p>
    <w:p>
      <w:pPr>
        <w:ind w:right="180" w:firstLine="158"/>
        <w:spacing w:after="0" w:line="317" w:lineRule="auto"/>
        <w:rPr>
          <w:sz w:val="20"/>
          <w:szCs w:val="20"/>
          <w:color w:val="auto"/>
        </w:rPr>
      </w:pPr>
      <w:r>
        <w:rPr>
          <w:rFonts w:ascii="Arial" w:cs="Arial" w:eastAsia="Arial" w:hAnsi="Arial"/>
          <w:sz w:val="11"/>
          <w:szCs w:val="11"/>
          <w:color w:val="auto"/>
        </w:rPr>
        <w:t>The nature of the company’s operations and the many countries in which it operates subject the company to changing economic, regulatory and political conditions. The company does not believe it is vulnerable to the risk of near-term severe impact as a result of any concentration of its activities.</w:t>
      </w:r>
    </w:p>
    <w:p>
      <w:pPr>
        <w:spacing w:after="0" w:line="86"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i w:val="1"/>
          <w:iCs w:val="1"/>
          <w:color w:val="E51837"/>
        </w:rPr>
        <w:t xml:space="preserve">Subsidiary and Affiliated Companies </w:t>
      </w:r>
      <w:r>
        <w:rPr>
          <w:rFonts w:ascii="Arial" w:cs="Arial" w:eastAsia="Arial" w:hAnsi="Arial"/>
          <w:sz w:val="12"/>
          <w:szCs w:val="12"/>
          <w:color w:val="000000"/>
        </w:rPr>
        <w:t>The Consolidated Financial Statements include the accounts of</w:t>
      </w:r>
      <w:r>
        <w:rPr>
          <w:rFonts w:ascii="Arial" w:cs="Arial" w:eastAsia="Arial" w:hAnsi="Arial"/>
          <w:sz w:val="12"/>
          <w:szCs w:val="12"/>
          <w:i w:val="1"/>
          <w:iCs w:val="1"/>
          <w:color w:val="E51837"/>
        </w:rPr>
        <w:t xml:space="preserve"> </w:t>
      </w:r>
      <w:r>
        <w:rPr>
          <w:rFonts w:ascii="Arial" w:cs="Arial" w:eastAsia="Arial" w:hAnsi="Arial"/>
          <w:sz w:val="12"/>
          <w:szCs w:val="12"/>
          <w:color w:val="000000"/>
        </w:rPr>
        <w:t>controlled subsidiary companies more than 50 percent-owned and variable-interest entities in which the company is the primary beneficiary. Undivided interests in oil and gas joint ventures and certain other assets are consolidated on a proportionate basis. Investments in and advances to affiliates in which the company has a substantial ownership interest of approximately 20 percent to 50 percent or for which the company exercises significant influence but not control over policy decisions are accounted for by the equity method. As part of that accounting, the company recognizes gains and losses that arise from the issuance of stock by an affiliate that results in changes in the company’s proportionate share of the dollar amount of the affiliate’s equity currently in income.</w:t>
      </w:r>
    </w:p>
    <w:p>
      <w:pPr>
        <w:spacing w:after="0" w:line="101"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Investments are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20"/>
        <w:spacing w:after="0" w:line="325" w:lineRule="auto"/>
        <w:rPr>
          <w:sz w:val="20"/>
          <w:szCs w:val="20"/>
          <w:color w:val="auto"/>
        </w:rPr>
      </w:pPr>
      <w:r>
        <w:rPr>
          <w:rFonts w:ascii="Arial" w:cs="Arial" w:eastAsia="Arial" w:hAnsi="Arial"/>
          <w:sz w:val="11"/>
          <w:szCs w:val="11"/>
          <w:color w:val="auto"/>
        </w:rPr>
        <w:t>performance, and the company’s ability and intention to retain its investment for a period that will be sufficient to allow for any anticipated recovery in the investment’s market value. The new cost basis of investments in these equity investees is not changed for subsequent recoveries in fair value.</w:t>
      </w:r>
    </w:p>
    <w:p>
      <w:pPr>
        <w:spacing w:after="0" w:line="72" w:lineRule="exact"/>
        <w:rPr>
          <w:sz w:val="20"/>
          <w:szCs w:val="20"/>
          <w:color w:val="auto"/>
        </w:rPr>
      </w:pPr>
    </w:p>
    <w:p>
      <w:pPr>
        <w:ind w:right="40" w:firstLine="160"/>
        <w:spacing w:after="0" w:line="277" w:lineRule="auto"/>
        <w:rPr>
          <w:sz w:val="20"/>
          <w:szCs w:val="20"/>
          <w:color w:val="auto"/>
        </w:rPr>
      </w:pPr>
      <w:r>
        <w:rPr>
          <w:rFonts w:ascii="Arial" w:cs="Arial" w:eastAsia="Arial" w:hAnsi="Arial"/>
          <w:sz w:val="12"/>
          <w:szCs w:val="12"/>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When appropriate, the company’s share of the affiliate’s reported earnings is adjusted quarterly to reflect the difference between these allocated values and the affiliate’s historical book values.</w:t>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i w:val="1"/>
          <w:iCs w:val="1"/>
          <w:color w:val="E51837"/>
        </w:rPr>
        <w:t xml:space="preserve">Derivatives </w:t>
      </w:r>
      <w:r>
        <w:rPr>
          <w:rFonts w:ascii="Arial" w:cs="Arial" w:eastAsia="Arial" w:hAnsi="Arial"/>
          <w:sz w:val="12"/>
          <w:szCs w:val="12"/>
          <w:color w:val="000000"/>
        </w:rPr>
        <w:t>The majority of the company’s activity in derivative commodity instruments is intended to</w:t>
      </w:r>
      <w:r>
        <w:rPr>
          <w:rFonts w:ascii="Arial" w:cs="Arial" w:eastAsia="Arial" w:hAnsi="Arial"/>
          <w:sz w:val="12"/>
          <w:szCs w:val="12"/>
          <w:i w:val="1"/>
          <w:iCs w:val="1"/>
          <w:color w:val="E51837"/>
        </w:rPr>
        <w:t xml:space="preserve"> </w:t>
      </w:r>
      <w:r>
        <w:rPr>
          <w:rFonts w:ascii="Arial" w:cs="Arial" w:eastAsia="Arial" w:hAnsi="Arial"/>
          <w:sz w:val="12"/>
          <w:szCs w:val="12"/>
          <w:color w:val="000000"/>
        </w:rPr>
        <w:t>manage the financial risk posed by physical transactions. For some of this derivative activity, generally limited to large, discrete or infrequently occurring transactions, the company may elect to apply fair value or cash flow hedge accounting. For other similar derivative instruments, generally because of the short-term nature of the contracts or their limited use, the company does not apply hedge accounting, and changes in the fair value of those contracts are reflected in current income. For the company’s commodity trading activity and foreign currency exposures, gains and losses from derivative instruments are reported in current income. Interest rate swaps – hedging a portion of the company’s fixed-rate debt – are accounted for as fair value hedges, whereas interest rate swaps relating to a portion of the company’s floating-rate debt are recorded at fair value on the Consolidated Balance Sheet, with resulting gains and losses reflected in income. Where Chevron is a party to master netting arrangements, fair value receivable and payable amounts recognized for derivative instruments executed with the same counterparty are offset on the balance sheet.</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2"/>
          <w:szCs w:val="12"/>
          <w:i w:val="1"/>
          <w:iCs w:val="1"/>
          <w:color w:val="E51837"/>
        </w:rPr>
        <w:t xml:space="preserve">Short-Term Investments </w:t>
      </w:r>
      <w:r>
        <w:rPr>
          <w:rFonts w:ascii="Arial" w:cs="Arial" w:eastAsia="Arial" w:hAnsi="Arial"/>
          <w:sz w:val="12"/>
          <w:szCs w:val="12"/>
          <w:color w:val="000000"/>
        </w:rPr>
        <w:t>All short-term investments are classified as available for sale and are in highly</w:t>
      </w:r>
      <w:r>
        <w:rPr>
          <w:rFonts w:ascii="Arial" w:cs="Arial" w:eastAsia="Arial" w:hAnsi="Arial"/>
          <w:sz w:val="12"/>
          <w:szCs w:val="12"/>
          <w:i w:val="1"/>
          <w:iCs w:val="1"/>
          <w:color w:val="E51837"/>
        </w:rPr>
        <w:t xml:space="preserve"> </w:t>
      </w:r>
      <w:r>
        <w:rPr>
          <w:rFonts w:ascii="Arial" w:cs="Arial" w:eastAsia="Arial" w:hAnsi="Arial"/>
          <w:sz w:val="12"/>
          <w:szCs w:val="12"/>
          <w:color w:val="000000"/>
        </w:rPr>
        <w:t>liquid debt securities. Those investments that are part of the company’s cash management portfolio and have original maturities of three months or less are reported as “Cash equivalents.” The balance of the short-term investments is reported as “Marketable securities” and is marked-to-market, with any unrealized gains or losses included in “Other comprehensive income.”</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E51837"/>
        </w:rPr>
        <w:t xml:space="preserve">Inventories </w:t>
      </w:r>
      <w:r>
        <w:rPr>
          <w:rFonts w:ascii="Arial" w:cs="Arial" w:eastAsia="Arial" w:hAnsi="Arial"/>
          <w:sz w:val="13"/>
          <w:szCs w:val="13"/>
          <w:color w:val="000000"/>
        </w:rPr>
        <w:t>Crude oil, petroleum products and chemicals are generally stated at cost, using a Last-In, First-Out (LIFO) method. In the aggregate, these costs are below market. “Materials, supplies and other” inventories generally are stated at average cost.</w:t>
      </w:r>
    </w:p>
    <w:p>
      <w:pPr>
        <w:spacing w:after="0" w:line="396" w:lineRule="exact"/>
        <w:rPr>
          <w:sz w:val="20"/>
          <w:szCs w:val="20"/>
          <w:color w:val="auto"/>
        </w:rPr>
      </w:pPr>
    </w:p>
    <w:p>
      <w:pPr>
        <w:sectPr>
          <w:pgSz w:w="11900" w:h="16838" w:orient="portrait"/>
          <w:cols w:equalWidth="0" w:num="2">
            <w:col w:w="5480" w:space="480"/>
            <w:col w:w="5500"/>
          </w:cols>
          <w:pgMar w:left="220" w:top="339" w:right="21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 </w:t>
      </w:r>
      <w:r>
        <w:rPr>
          <w:rFonts w:ascii="Arial" w:cs="Arial" w:eastAsia="Arial" w:hAnsi="Arial"/>
          <w:sz w:val="8"/>
          <w:szCs w:val="8"/>
          <w:color w:val="000000"/>
        </w:rPr>
        <w:t>Summary of Significant Accounting Policies - Continued</w:t>
      </w:r>
    </w:p>
    <w:p>
      <w:pPr>
        <w:sectPr>
          <w:pgSz w:w="11900" w:h="16838" w:orient="portrait"/>
          <w:cols w:equalWidth="0" w:num="1">
            <w:col w:w="11460"/>
          </w:cols>
          <w:pgMar w:left="220" w:top="339" w:right="219" w:bottom="1440" w:gutter="0" w:footer="0" w:header="0"/>
        </w:sectPr>
      </w:pPr>
    </w:p>
    <w:p>
      <w:pPr>
        <w:spacing w:after="0" w:line="346"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i w:val="1"/>
          <w:iCs w:val="1"/>
          <w:color w:val="E51837"/>
        </w:rPr>
        <w:t xml:space="preserve">Properties, Plant and Equipment </w:t>
      </w:r>
      <w:r>
        <w:rPr>
          <w:rFonts w:ascii="Arial" w:cs="Arial" w:eastAsia="Arial" w:hAnsi="Arial"/>
          <w:sz w:val="12"/>
          <w:szCs w:val="12"/>
          <w:color w:val="000000"/>
        </w:rPr>
        <w:t>The successful efforts method is used for crude oil and natural gas</w:t>
      </w:r>
      <w:r>
        <w:rPr>
          <w:rFonts w:ascii="Arial" w:cs="Arial" w:eastAsia="Arial" w:hAnsi="Arial"/>
          <w:sz w:val="12"/>
          <w:szCs w:val="12"/>
          <w:i w:val="1"/>
          <w:iCs w:val="1"/>
          <w:color w:val="E51837"/>
        </w:rPr>
        <w:t xml:space="preserve"> </w:t>
      </w:r>
      <w:r>
        <w:rPr>
          <w:rFonts w:ascii="Arial" w:cs="Arial" w:eastAsia="Arial" w:hAnsi="Arial"/>
          <w:sz w:val="12"/>
          <w:szCs w:val="12"/>
          <w:color w:val="000000"/>
        </w:rPr>
        <w:t>exploration and production activities. All costs for development wells, related plant and equipment, proved mineral interests in crude oil and natural gas properties, and related asset retirement obligation</w:t>
      </w:r>
    </w:p>
    <w:p>
      <w:pPr>
        <w:ind w:right="40"/>
        <w:spacing w:after="0" w:line="267" w:lineRule="auto"/>
        <w:rPr>
          <w:sz w:val="20"/>
          <w:szCs w:val="20"/>
          <w:color w:val="auto"/>
        </w:rPr>
      </w:pPr>
      <w:r>
        <w:rPr>
          <w:rFonts w:ascii="Arial" w:cs="Arial" w:eastAsia="Arial" w:hAnsi="Arial"/>
          <w:sz w:val="12"/>
          <w:szCs w:val="12"/>
          <w:color w:val="auto"/>
        </w:rPr>
        <w:t>(ARO) assets are capitalized. Costs of exploratory wells are capitalized pending determination of whether the wells found proved reserves. Costs of wells that are assigned proved reserves remain capitalized. Costs also are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company is making sufficient progress assessing the reserves and the economic and operating viability of the project. All other exploratory wells and costs are expensed. Refer to Note 20, beginning on page FS-48, for additional discussion of accounting for suspended exploratory well costs.</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Long-lived assets to be held and used, including proved crude oil and natural gas properties, are assessed for possible impairment by comparing their carrying values with their associated undiscounted future net before-tax cash flows. Events that can trigger assessments for possible impairments include write-downs of proved reserves based on field performance, significant decreases in the market value of an asset, significant change in the extent or manner of use of or a physical change in an asset, and a more-likely-than-not expectation that a long-lived asset or asset group will be sold or otherwise disposed of significantly sooner than the end of its previously estimated useful life. Impaired assets are written down to their estimated fair values, generally their discounted future net before-tax cash flows. For proved crude oil and natural gas properties in the United States, the company generally performs the impairment review on an individual field basis. Outside the United States, reviews are performed on a country, concession, development area or field basis, as appropriate. In the refining, marketing, transportation and chemical areas, impairment reviews are generally done on the basis of a refinery, a plant, a marketing area or marketing assets by country. Impairment amounts are recorded as incremental “Depreciation, depletion and amortization” expense.</w:t>
      </w:r>
    </w:p>
    <w:p>
      <w:pPr>
        <w:spacing w:after="0" w:line="3" w:lineRule="exact"/>
        <w:rPr>
          <w:sz w:val="20"/>
          <w:szCs w:val="20"/>
          <w:color w:val="auto"/>
        </w:rPr>
      </w:pPr>
    </w:p>
    <w:p>
      <w:pPr>
        <w:ind w:right="20" w:firstLine="160"/>
        <w:spacing w:after="0" w:line="267" w:lineRule="auto"/>
        <w:rPr>
          <w:sz w:val="20"/>
          <w:szCs w:val="20"/>
          <w:color w:val="auto"/>
        </w:rPr>
      </w:pPr>
      <w:r>
        <w:rPr>
          <w:rFonts w:ascii="Arial" w:cs="Arial" w:eastAsia="Arial" w:hAnsi="Arial"/>
          <w:sz w:val="12"/>
          <w:szCs w:val="12"/>
          <w:color w:val="auto"/>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w:t>
      </w:r>
    </w:p>
    <w:p>
      <w:pPr>
        <w:spacing w:after="0" w:line="1" w:lineRule="exact"/>
        <w:rPr>
          <w:sz w:val="20"/>
          <w:szCs w:val="20"/>
          <w:color w:val="auto"/>
        </w:rPr>
      </w:pPr>
    </w:p>
    <w:p>
      <w:pPr>
        <w:ind w:right="20" w:firstLine="153"/>
        <w:spacing w:after="0" w:line="250" w:lineRule="auto"/>
        <w:rPr>
          <w:sz w:val="20"/>
          <w:szCs w:val="20"/>
          <w:color w:val="auto"/>
        </w:rPr>
      </w:pPr>
      <w:r>
        <w:rPr>
          <w:rFonts w:ascii="Arial" w:cs="Arial" w:eastAsia="Arial" w:hAnsi="Arial"/>
          <w:sz w:val="13"/>
          <w:szCs w:val="13"/>
          <w:color w:val="auto"/>
        </w:rPr>
        <w:t xml:space="preserve">As required under Financial Accounting Standards Board (FASB) Statement No. 143,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Asset Retirement Obligations </w:t>
      </w:r>
      <w:r>
        <w:rPr>
          <w:rFonts w:ascii="Arial" w:cs="Arial" w:eastAsia="Arial" w:hAnsi="Arial"/>
          <w:sz w:val="13"/>
          <w:szCs w:val="13"/>
          <w:color w:val="auto"/>
        </w:rPr>
        <w:t>(FAS 143), the fair value of a liability for an ARO is recorded as an asset and</w:t>
      </w:r>
      <w:r>
        <w:rPr>
          <w:rFonts w:ascii="Arial" w:cs="Arial" w:eastAsia="Arial" w:hAnsi="Arial"/>
          <w:sz w:val="13"/>
          <w:szCs w:val="13"/>
          <w:i w:val="1"/>
          <w:iCs w:val="1"/>
          <w:color w:val="auto"/>
        </w:rPr>
        <w:t xml:space="preserve"> </w:t>
      </w:r>
      <w:r>
        <w:rPr>
          <w:rFonts w:ascii="Arial" w:cs="Arial" w:eastAsia="Arial" w:hAnsi="Arial"/>
          <w:sz w:val="13"/>
          <w:szCs w:val="13"/>
          <w:color w:val="auto"/>
        </w:rPr>
        <w:t>a liability when there is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300"/>
        <w:spacing w:after="0" w:line="267" w:lineRule="auto"/>
        <w:rPr>
          <w:sz w:val="20"/>
          <w:szCs w:val="20"/>
          <w:color w:val="auto"/>
        </w:rPr>
      </w:pPr>
      <w:r>
        <w:rPr>
          <w:rFonts w:ascii="Arial" w:cs="Arial" w:eastAsia="Arial" w:hAnsi="Arial"/>
          <w:sz w:val="13"/>
          <w:szCs w:val="13"/>
          <w:color w:val="auto"/>
        </w:rPr>
        <w:t>legal obligation associated with the retirement of a long-lived asset and the amount can be reasonably estimated. Refer also to Note 24, beginning on page FS-58, relating to AROs.</w:t>
      </w:r>
    </w:p>
    <w:p>
      <w:pPr>
        <w:spacing w:after="0" w:line="100" w:lineRule="exact"/>
        <w:rPr>
          <w:sz w:val="20"/>
          <w:szCs w:val="20"/>
          <w:color w:val="auto"/>
        </w:rPr>
      </w:pPr>
    </w:p>
    <w:p>
      <w:pPr>
        <w:ind w:firstLine="160"/>
        <w:spacing w:after="0" w:line="269" w:lineRule="auto"/>
        <w:rPr>
          <w:sz w:val="20"/>
          <w:szCs w:val="20"/>
          <w:color w:val="auto"/>
        </w:rPr>
      </w:pPr>
      <w:r>
        <w:rPr>
          <w:rFonts w:ascii="Arial" w:cs="Arial" w:eastAsia="Arial" w:hAnsi="Arial"/>
          <w:sz w:val="12"/>
          <w:szCs w:val="12"/>
          <w:color w:val="auto"/>
        </w:rPr>
        <w:t>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Periodic valuation provisions for impairment of capitalized costs of unproved mineral interests are expensed.</w:t>
      </w:r>
    </w:p>
    <w:p>
      <w:pPr>
        <w:spacing w:after="0" w:line="3" w:lineRule="exact"/>
        <w:rPr>
          <w:sz w:val="20"/>
          <w:szCs w:val="20"/>
          <w:color w:val="auto"/>
        </w:rPr>
      </w:pPr>
    </w:p>
    <w:p>
      <w:pPr>
        <w:ind w:right="20" w:firstLine="160"/>
        <w:spacing w:after="0" w:line="291" w:lineRule="auto"/>
        <w:rPr>
          <w:sz w:val="20"/>
          <w:szCs w:val="20"/>
          <w:color w:val="auto"/>
        </w:rPr>
      </w:pPr>
      <w:r>
        <w:rPr>
          <w:rFonts w:ascii="Arial" w:cs="Arial" w:eastAsia="Arial" w:hAnsi="Arial"/>
          <w:sz w:val="11"/>
          <w:szCs w:val="11"/>
          <w:color w:val="auto"/>
        </w:rPr>
        <w:t>Depreciation and depletion expenses for mining assets are determined using the unit-of-production method as the proved reserves are produced. The capitalized costs of all other plant and equipment are depreciated or amortized over their estimated useful lives. In general, the declining-balance method is used to depreciate plant and equipment in the United States; the straight-line method generally is used to depreciate international plant and equipment and to amortize all capitalized leased assets.</w:t>
      </w:r>
    </w:p>
    <w:p>
      <w:pPr>
        <w:spacing w:after="0" w:line="2" w:lineRule="exact"/>
        <w:rPr>
          <w:sz w:val="20"/>
          <w:szCs w:val="20"/>
          <w:color w:val="auto"/>
        </w:rPr>
      </w:pPr>
    </w:p>
    <w:p>
      <w:pPr>
        <w:jc w:val="both"/>
        <w:ind w:right="80" w:firstLine="160"/>
        <w:spacing w:after="0" w:line="246" w:lineRule="auto"/>
        <w:rPr>
          <w:sz w:val="20"/>
          <w:szCs w:val="20"/>
          <w:color w:val="auto"/>
        </w:rPr>
      </w:pPr>
      <w:r>
        <w:rPr>
          <w:rFonts w:ascii="Arial" w:cs="Arial" w:eastAsia="Arial" w:hAnsi="Arial"/>
          <w:sz w:val="13"/>
          <w:szCs w:val="13"/>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2" w:lineRule="exact"/>
        <w:rPr>
          <w:sz w:val="20"/>
          <w:szCs w:val="20"/>
          <w:color w:val="auto"/>
        </w:rPr>
      </w:pPr>
    </w:p>
    <w:p>
      <w:pPr>
        <w:ind w:right="200" w:firstLine="160"/>
        <w:spacing w:after="0" w:line="250" w:lineRule="auto"/>
        <w:rPr>
          <w:sz w:val="20"/>
          <w:szCs w:val="20"/>
          <w:color w:val="auto"/>
        </w:rPr>
      </w:pPr>
      <w:r>
        <w:rPr>
          <w:rFonts w:ascii="Arial" w:cs="Arial" w:eastAsia="Arial" w:hAnsi="Arial"/>
          <w:sz w:val="13"/>
          <w:szCs w:val="13"/>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111"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i w:val="1"/>
          <w:iCs w:val="1"/>
          <w:color w:val="E51837"/>
        </w:rPr>
        <w:t xml:space="preserve">Goodwill </w:t>
      </w:r>
      <w:r>
        <w:rPr>
          <w:rFonts w:ascii="Arial" w:cs="Arial" w:eastAsia="Arial" w:hAnsi="Arial"/>
          <w:sz w:val="13"/>
          <w:szCs w:val="13"/>
          <w:color w:val="000000"/>
        </w:rPr>
        <w:t>Goodwill resulting from a business combination is not subject to amortization. As required by</w:t>
      </w:r>
      <w:r>
        <w:rPr>
          <w:rFonts w:ascii="Arial" w:cs="Arial" w:eastAsia="Arial" w:hAnsi="Arial"/>
          <w:sz w:val="13"/>
          <w:szCs w:val="13"/>
          <w:i w:val="1"/>
          <w:iCs w:val="1"/>
          <w:color w:val="E51837"/>
        </w:rPr>
        <w:t xml:space="preserve"> </w:t>
      </w:r>
      <w:r>
        <w:rPr>
          <w:rFonts w:ascii="Arial" w:cs="Arial" w:eastAsia="Arial" w:hAnsi="Arial"/>
          <w:sz w:val="13"/>
          <w:szCs w:val="13"/>
          <w:color w:val="000000"/>
        </w:rPr>
        <w:t xml:space="preserve">FASB Statement No. 142, </w:t>
      </w:r>
      <w:r>
        <w:rPr>
          <w:rFonts w:ascii="Arial" w:cs="Arial" w:eastAsia="Arial" w:hAnsi="Arial"/>
          <w:sz w:val="13"/>
          <w:szCs w:val="13"/>
          <w:i w:val="1"/>
          <w:iCs w:val="1"/>
          <w:color w:val="000000"/>
        </w:rPr>
        <w:t>Goodwill and Other Intangible Assets</w:t>
      </w:r>
      <w:r>
        <w:rPr>
          <w:rFonts w:ascii="Arial" w:cs="Arial" w:eastAsia="Arial" w:hAnsi="Arial"/>
          <w:sz w:val="13"/>
          <w:szCs w:val="13"/>
          <w:color w:val="000000"/>
        </w:rPr>
        <w:t>, the company tests such goodwill at the reporting unit level for impairment on an annual basis and between annual tests if an event occurs or circumstances change that would more likely than not reduce the fair value of a reporting unit below its carrying amount.</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E51837"/>
        </w:rPr>
        <w:t xml:space="preserve">Environmental Expenditures </w:t>
      </w:r>
      <w:r>
        <w:rPr>
          <w:rFonts w:ascii="Arial" w:cs="Arial" w:eastAsia="Arial" w:hAnsi="Arial"/>
          <w:sz w:val="13"/>
          <w:szCs w:val="13"/>
          <w:color w:val="000000"/>
        </w:rPr>
        <w:t>Environmental expenditures that relate to ongoing operations or to conditions</w:t>
      </w:r>
      <w:r>
        <w:rPr>
          <w:rFonts w:ascii="Arial" w:cs="Arial" w:eastAsia="Arial" w:hAnsi="Arial"/>
          <w:sz w:val="13"/>
          <w:szCs w:val="13"/>
          <w:i w:val="1"/>
          <w:iCs w:val="1"/>
          <w:color w:val="E51837"/>
        </w:rPr>
        <w:t xml:space="preserve"> </w:t>
      </w:r>
      <w:r>
        <w:rPr>
          <w:rFonts w:ascii="Arial" w:cs="Arial" w:eastAsia="Arial" w:hAnsi="Arial"/>
          <w:sz w:val="13"/>
          <w:szCs w:val="13"/>
          <w:color w:val="000000"/>
        </w:rPr>
        <w:t>caused by past operations are expensed. Expenditures that create future benefits or contribute to future revenue generation are capitalized.</w:t>
      </w:r>
    </w:p>
    <w:p>
      <w:pPr>
        <w:spacing w:after="0" w:line="108" w:lineRule="exact"/>
        <w:rPr>
          <w:sz w:val="20"/>
          <w:szCs w:val="20"/>
          <w:color w:val="auto"/>
        </w:rPr>
      </w:pPr>
    </w:p>
    <w:p>
      <w:pPr>
        <w:ind w:right="20" w:firstLine="160"/>
        <w:spacing w:after="0" w:line="253" w:lineRule="auto"/>
        <w:rPr>
          <w:sz w:val="20"/>
          <w:szCs w:val="20"/>
          <w:color w:val="auto"/>
        </w:rPr>
      </w:pPr>
      <w:r>
        <w:rPr>
          <w:rFonts w:ascii="Arial" w:cs="Arial" w:eastAsia="Arial" w:hAnsi="Arial"/>
          <w:sz w:val="13"/>
          <w:szCs w:val="13"/>
          <w:color w:val="auto"/>
        </w:rPr>
        <w:t>Liabilities related to future remediation costs are recorded when environmental assessments or cleanups or both are probable and the costs can be reasonably estimated. For the company’s U.S. and Canadian marketing facilities, the accrual is based in part on the probability that a future remediation commitment will be required. For crude oil, natural gas and</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40"/>
        <w:spacing w:after="0"/>
        <w:rPr>
          <w:sz w:val="20"/>
          <w:szCs w:val="20"/>
          <w:color w:val="auto"/>
        </w:rPr>
      </w:pPr>
      <w:r>
        <w:rPr>
          <w:rFonts w:ascii="Arial" w:cs="Arial" w:eastAsia="Arial" w:hAnsi="Arial"/>
          <w:sz w:val="12"/>
          <w:szCs w:val="12"/>
          <w:color w:val="0077C0"/>
        </w:rPr>
        <w:t>Notes to the Consolidated Financial Statements</w:t>
      </w:r>
    </w:p>
    <w:p>
      <w:pPr>
        <w:jc w:val="right"/>
        <w:ind w:right="594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 </w:t>
      </w:r>
      <w:r>
        <w:rPr>
          <w:rFonts w:ascii="Arial" w:cs="Arial" w:eastAsia="Arial" w:hAnsi="Arial"/>
          <w:sz w:val="8"/>
          <w:szCs w:val="8"/>
          <w:color w:val="000000"/>
        </w:rPr>
        <w:t>Summary of Significant Accounting Policies - Continued</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right="380"/>
        <w:spacing w:after="0" w:line="253" w:lineRule="auto"/>
        <w:rPr>
          <w:sz w:val="20"/>
          <w:szCs w:val="20"/>
          <w:color w:val="auto"/>
        </w:rPr>
      </w:pPr>
      <w:r>
        <w:rPr>
          <w:rFonts w:ascii="Arial" w:cs="Arial" w:eastAsia="Arial" w:hAnsi="Arial"/>
          <w:sz w:val="13"/>
          <w:szCs w:val="13"/>
          <w:color w:val="auto"/>
        </w:rPr>
        <w:t>mineral producing properties, a liability for an ARO is made, following FAS 143. Refer to Note 24, beginning on page FS-58, for a discussion of FAS 143.</w:t>
      </w:r>
    </w:p>
    <w:p>
      <w:pPr>
        <w:spacing w:after="0" w:line="1" w:lineRule="exact"/>
        <w:rPr>
          <w:sz w:val="20"/>
          <w:szCs w:val="20"/>
          <w:color w:val="auto"/>
        </w:rPr>
      </w:pPr>
    </w:p>
    <w:p>
      <w:pPr>
        <w:ind w:right="40" w:firstLine="160"/>
        <w:spacing w:after="0" w:line="246" w:lineRule="auto"/>
        <w:rPr>
          <w:sz w:val="20"/>
          <w:szCs w:val="20"/>
          <w:color w:val="auto"/>
        </w:rPr>
      </w:pPr>
      <w:r>
        <w:rPr>
          <w:rFonts w:ascii="Arial" w:cs="Arial" w:eastAsia="Arial" w:hAnsi="Arial"/>
          <w:sz w:val="13"/>
          <w:szCs w:val="13"/>
          <w:color w:val="auto"/>
        </w:rPr>
        <w:t>For federal Superfund sites and analogous sites under state laws, the company records a liability for its designated share of the probable and estimable costs and probable amounts for other potentially responsible parties when mandated by the regulatory agencies because the other parties are not able to pay their respective shares.</w:t>
      </w:r>
    </w:p>
    <w:p>
      <w:pPr>
        <w:spacing w:after="0" w:line="2" w:lineRule="exact"/>
        <w:rPr>
          <w:sz w:val="20"/>
          <w:szCs w:val="20"/>
          <w:color w:val="auto"/>
        </w:rPr>
      </w:pPr>
    </w:p>
    <w:p>
      <w:pPr>
        <w:ind w:right="40" w:firstLine="158"/>
        <w:spacing w:after="0" w:line="249" w:lineRule="auto"/>
        <w:rPr>
          <w:sz w:val="20"/>
          <w:szCs w:val="20"/>
          <w:color w:val="auto"/>
        </w:rPr>
      </w:pPr>
      <w:r>
        <w:rPr>
          <w:rFonts w:ascii="Arial" w:cs="Arial" w:eastAsia="Arial" w:hAnsi="Arial"/>
          <w:sz w:val="13"/>
          <w:szCs w:val="13"/>
          <w:color w:val="auto"/>
        </w:rPr>
        <w:t>The gross amount of environmental liabilities is based on the company’s best estimate of future costs using currently available technology and applying current regulations and the company’s own internal environmental policies. Future amounts are not discounted. Recoveries or reimbursements are recorded as assets when receipt is reasonably assured.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2"/>
          <w:szCs w:val="12"/>
          <w:i w:val="1"/>
          <w:iCs w:val="1"/>
          <w:color w:val="E51837"/>
        </w:rPr>
        <w:t xml:space="preserve">Currency Translation </w:t>
      </w:r>
      <w:r>
        <w:rPr>
          <w:rFonts w:ascii="Arial" w:cs="Arial" w:eastAsia="Arial" w:hAnsi="Arial"/>
          <w:sz w:val="12"/>
          <w:szCs w:val="12"/>
          <w:color w:val="000000"/>
        </w:rPr>
        <w:t>The U.S. dollar is the functional currency for substantially all of the company’s</w:t>
      </w:r>
      <w:r>
        <w:rPr>
          <w:rFonts w:ascii="Arial" w:cs="Arial" w:eastAsia="Arial" w:hAnsi="Arial"/>
          <w:sz w:val="12"/>
          <w:szCs w:val="12"/>
          <w:i w:val="1"/>
          <w:iCs w:val="1"/>
          <w:color w:val="E51837"/>
        </w:rPr>
        <w:t xml:space="preserve"> </w:t>
      </w:r>
      <w:r>
        <w:rPr>
          <w:rFonts w:ascii="Arial" w:cs="Arial" w:eastAsia="Arial" w:hAnsi="Arial"/>
          <w:sz w:val="12"/>
          <w:szCs w:val="12"/>
          <w:color w:val="000000"/>
        </w:rPr>
        <w:t>consolidated operations and those of its equity affiliates. For those operations, all gains and losses from currency translations are currently included in income. The cumulative translation effects for those few entities, both consolidated and affiliated, using functional currencies other than the U.S. dollar are included in the currency translation adjustment in “Stockholders’ Equity.”</w:t>
      </w:r>
    </w:p>
    <w:p>
      <w:pPr>
        <w:spacing w:after="0" w:line="97"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i w:val="1"/>
          <w:iCs w:val="1"/>
          <w:color w:val="E51837"/>
        </w:rPr>
        <w:t xml:space="preserve">Revenue Recognition </w:t>
      </w:r>
      <w:r>
        <w:rPr>
          <w:rFonts w:ascii="Arial" w:cs="Arial" w:eastAsia="Arial" w:hAnsi="Arial"/>
          <w:sz w:val="11"/>
          <w:szCs w:val="11"/>
          <w:color w:val="000000"/>
        </w:rPr>
        <w:t>Revenues associated with sales of crude oil, natural gas, coal, petroleum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chemicals products, and all other sources are recorded when title passes to the customer, net of royalties, discounts and allowances, as applicable. Revenues from natural gas production from properties in which Chevron has an interest with other producers are generally recognized on the basis of the company’s net working interest (entitlement method). Excise, value-added and similar taxes assessed by a governmental authority on a revenue-producing transaction between a seller and a customer are presented on a gross basis. The associated amounts are shown as a footnote to the Consolidated Statement of Income on page FS-27. Refer to Note 14, on page FS-43, for a discussion of the accounting for buy/sell arrangements.</w:t>
      </w:r>
    </w:p>
    <w:p>
      <w:pPr>
        <w:spacing w:after="0" w:line="86"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i w:val="1"/>
          <w:iCs w:val="1"/>
          <w:color w:val="E51837"/>
        </w:rPr>
        <w:t xml:space="preserve">Stock Options and Other Share-Based Compensation </w:t>
      </w:r>
      <w:r>
        <w:rPr>
          <w:rFonts w:ascii="Arial" w:cs="Arial" w:eastAsia="Arial" w:hAnsi="Arial"/>
          <w:sz w:val="12"/>
          <w:szCs w:val="12"/>
          <w:color w:val="000000"/>
        </w:rPr>
        <w:t xml:space="preserve">The company issues stock options and other share-based compensation to its employees and accounts for these transactions under the provisions of FASB Statement No. 123R, </w:t>
      </w:r>
      <w:r>
        <w:rPr>
          <w:rFonts w:ascii="Arial" w:cs="Arial" w:eastAsia="Arial" w:hAnsi="Arial"/>
          <w:sz w:val="12"/>
          <w:szCs w:val="12"/>
          <w:i w:val="1"/>
          <w:iCs w:val="1"/>
          <w:color w:val="000000"/>
        </w:rPr>
        <w:t>Share-Based Payment</w:t>
      </w:r>
      <w:r>
        <w:rPr>
          <w:rFonts w:ascii="Arial" w:cs="Arial" w:eastAsia="Arial" w:hAnsi="Arial"/>
          <w:sz w:val="12"/>
          <w:szCs w:val="12"/>
          <w:color w:val="000000"/>
        </w:rPr>
        <w:t xml:space="preserve"> (FAS 123R). For equity awards, such as stock options, total compensation cost is based on the grant date fair value and for liability awards, such as stock appreciation rights, total compensation cost is based on the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360" w:right="20"/>
        <w:spacing w:after="0" w:line="269" w:lineRule="auto"/>
        <w:rPr>
          <w:sz w:val="20"/>
          <w:szCs w:val="20"/>
          <w:color w:val="auto"/>
        </w:rPr>
      </w:pPr>
      <w:r>
        <w:rPr>
          <w:rFonts w:ascii="Arial" w:cs="Arial" w:eastAsia="Arial" w:hAnsi="Arial"/>
          <w:sz w:val="12"/>
          <w:szCs w:val="12"/>
          <w:color w:val="auto"/>
        </w:rPr>
        <w:t>value. The company recognizes stock-based compensation expense for all awards over the service period required to earn the award, which is the shorter of the vesting period or the time period an employee becomes eligible to retain the award at retirement. Stock options and stock appreciation rights granted under the company’s Long-Term Incentive Plan have graded vesting provisions by which one-third of each award vests on the first, second and third anniversaries of the date of grant. The company amortizes these newly issued graded awards on a straight-line basis.</w:t>
      </w:r>
    </w:p>
    <w:p>
      <w:pPr>
        <w:spacing w:after="0" w:line="3" w:lineRule="exact"/>
        <w:rPr>
          <w:sz w:val="20"/>
          <w:szCs w:val="20"/>
          <w:color w:val="auto"/>
        </w:rPr>
      </w:pPr>
    </w:p>
    <w:p>
      <w:pPr>
        <w:ind w:left="360" w:right="20" w:firstLine="158"/>
        <w:spacing w:after="0" w:line="248" w:lineRule="auto"/>
        <w:rPr>
          <w:sz w:val="20"/>
          <w:szCs w:val="20"/>
          <w:color w:val="auto"/>
        </w:rPr>
      </w:pPr>
      <w:r>
        <w:rPr>
          <w:rFonts w:ascii="Arial" w:cs="Arial" w:eastAsia="Arial" w:hAnsi="Arial"/>
          <w:sz w:val="13"/>
          <w:szCs w:val="13"/>
          <w:color w:val="auto"/>
        </w:rPr>
        <w:t>Tax benefits of deductions from the exercise of stock options are presented as financing cash inflows in the Consolidated Statement of Cash Flows. Refer to Note 21, beginning on page FS-49 for a description of the company’s share-based compensation plans and information related to awards granted under those plans and Note 2, which follows, for information on excess tax benefits reported on the company’s Statement of Cash Flows.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Note 2</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0"/>
          <w:szCs w:val="10"/>
          <w:color w:val="0077C0"/>
        </w:rPr>
        <w:t>Information Relating to the Consolidated Statement of Cash Flows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0"/>
                <w:szCs w:val="10"/>
                <w:color w:val="auto"/>
                <w:w w:val="94"/>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0077C0"/>
            </w:tcBorders>
          </w:tcPr>
          <w:p>
            <w:pPr>
              <w:spacing w:after="0"/>
              <w:rPr>
                <w:sz w:val="8"/>
                <w:szCs w:val="8"/>
                <w:color w:val="auto"/>
              </w:rPr>
            </w:pPr>
          </w:p>
        </w:tc>
        <w:tc>
          <w:tcPr>
            <w:tcW w:w="18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color w:val="auto"/>
              </w:rPr>
              <w:t>2007</w:t>
            </w:r>
          </w:p>
        </w:tc>
        <w:tc>
          <w:tcPr>
            <w:tcW w:w="200" w:type="dxa"/>
            <w:vAlign w:val="bottom"/>
            <w:tcBorders>
              <w:top w:val="single" w:sz="8" w:color="0077C0"/>
              <w:bottom w:val="single" w:sz="8" w:color="0077C0"/>
            </w:tcBorders>
          </w:tcPr>
          <w:p>
            <w:pPr>
              <w:spacing w:after="0"/>
              <w:rPr>
                <w:sz w:val="8"/>
                <w:szCs w:val="8"/>
                <w:color w:val="auto"/>
              </w:rPr>
            </w:pPr>
          </w:p>
        </w:tc>
        <w:tc>
          <w:tcPr>
            <w:tcW w:w="2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40" w:type="dxa"/>
            <w:vAlign w:val="bottom"/>
          </w:tcPr>
          <w:p>
            <w:pPr>
              <w:spacing w:after="0" w:line="92" w:lineRule="exact"/>
              <w:rPr>
                <w:sz w:val="20"/>
                <w:szCs w:val="20"/>
                <w:color w:val="auto"/>
              </w:rPr>
            </w:pPr>
            <w:r>
              <w:rPr>
                <w:rFonts w:ascii="Arial" w:cs="Arial" w:eastAsia="Arial" w:hAnsi="Arial"/>
                <w:sz w:val="10"/>
                <w:szCs w:val="10"/>
                <w:color w:val="auto"/>
                <w:w w:val="97"/>
              </w:rPr>
              <w:t>Net (increase) decrease in operating working capital was composed of the following:</w:t>
            </w:r>
          </w:p>
        </w:tc>
        <w:tc>
          <w:tcPr>
            <w:tcW w:w="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6,030</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60" w:type="dxa"/>
            <w:vAlign w:val="bottom"/>
            <w:gridSpan w:val="2"/>
          </w:tcPr>
          <w:p>
            <w:pPr>
              <w:spacing w:after="0" w:line="104" w:lineRule="exact"/>
              <w:rPr>
                <w:sz w:val="20"/>
                <w:szCs w:val="20"/>
                <w:color w:val="auto"/>
              </w:rPr>
            </w:pPr>
            <w:r>
              <w:rPr>
                <w:rFonts w:ascii="Arial" w:cs="Arial" w:eastAsia="Arial" w:hAnsi="Arial"/>
                <w:sz w:val="10"/>
                <w:szCs w:val="10"/>
                <w:color w:val="auto"/>
              </w:rPr>
              <w:t>Decrease (increase) in accounts and notes receivable</w:t>
            </w:r>
          </w:p>
        </w:tc>
        <w:tc>
          <w:tcPr>
            <w:tcW w:w="24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89"/>
              <w:spacing w:after="0" w:line="104" w:lineRule="exact"/>
              <w:rPr>
                <w:sz w:val="20"/>
                <w:szCs w:val="20"/>
                <w:color w:val="auto"/>
              </w:rPr>
            </w:pPr>
            <w:r>
              <w:rPr>
                <w:rFonts w:ascii="Arial" w:cs="Arial" w:eastAsia="Arial" w:hAnsi="Arial"/>
                <w:sz w:val="10"/>
                <w:szCs w:val="10"/>
                <w:color w:val="auto"/>
                <w:w w:val="94"/>
              </w:rPr>
              <w:t>(3,867)</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660" w:type="dxa"/>
            <w:vAlign w:val="bottom"/>
            <w:gridSpan w:val="2"/>
          </w:tcPr>
          <w:p>
            <w:pPr>
              <w:spacing w:after="0" w:line="106" w:lineRule="exact"/>
              <w:rPr>
                <w:sz w:val="20"/>
                <w:szCs w:val="20"/>
                <w:color w:val="auto"/>
              </w:rPr>
            </w:pPr>
            <w:r>
              <w:rPr>
                <w:rFonts w:ascii="Arial" w:cs="Arial" w:eastAsia="Arial" w:hAnsi="Arial"/>
                <w:sz w:val="10"/>
                <w:szCs w:val="10"/>
                <w:color w:val="auto"/>
              </w:rPr>
              <w:t>Increase in inventories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w w:val="94"/>
              </w:rPr>
              <w:t>(1,545)</w:t>
            </w:r>
          </w:p>
        </w:tc>
        <w:tc>
          <w:tcPr>
            <w:tcW w:w="16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(749)</w:t>
            </w:r>
          </w:p>
        </w:tc>
        <w:tc>
          <w:tcPr>
            <w:tcW w:w="20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(536)</w:t>
            </w:r>
          </w:p>
        </w:tc>
        <w:tc>
          <w:tcPr>
            <w:tcW w:w="0" w:type="dxa"/>
            <w:vAlign w:val="bottom"/>
          </w:tcPr>
          <w:p>
            <w:pPr>
              <w:spacing w:after="0"/>
              <w:rPr>
                <w:sz w:val="1"/>
                <w:szCs w:val="1"/>
                <w:color w:val="auto"/>
              </w:rPr>
            </w:pPr>
          </w:p>
        </w:tc>
      </w:tr>
      <w:tr>
        <w:trPr>
          <w:trHeight w:val="106"/>
        </w:trPr>
        <w:tc>
          <w:tcPr>
            <w:tcW w:w="3660" w:type="dxa"/>
            <w:vAlign w:val="bottom"/>
            <w:gridSpan w:val="2"/>
          </w:tcPr>
          <w:p>
            <w:pPr>
              <w:spacing w:after="0" w:line="106" w:lineRule="exact"/>
              <w:rPr>
                <w:sz w:val="20"/>
                <w:szCs w:val="20"/>
                <w:color w:val="auto"/>
              </w:rPr>
            </w:pPr>
            <w:r>
              <w:rPr>
                <w:rFonts w:ascii="Arial" w:cs="Arial" w:eastAsia="Arial" w:hAnsi="Arial"/>
                <w:sz w:val="10"/>
                <w:szCs w:val="10"/>
                <w:color w:val="auto"/>
              </w:rPr>
              <w:t>Increase in prepaid expenses and other current assets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(621)</w:t>
            </w:r>
          </w:p>
        </w:tc>
        <w:tc>
          <w:tcPr>
            <w:tcW w:w="16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(370)</w:t>
            </w:r>
          </w:p>
        </w:tc>
        <w:tc>
          <w:tcPr>
            <w:tcW w:w="20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06"/>
        </w:trPr>
        <w:tc>
          <w:tcPr>
            <w:tcW w:w="3660" w:type="dxa"/>
            <w:vAlign w:val="bottom"/>
            <w:gridSpan w:val="2"/>
          </w:tcPr>
          <w:p>
            <w:pPr>
              <w:spacing w:after="0" w:line="106" w:lineRule="exact"/>
              <w:rPr>
                <w:sz w:val="20"/>
                <w:szCs w:val="20"/>
                <w:color w:val="auto"/>
              </w:rPr>
            </w:pPr>
            <w:r>
              <w:rPr>
                <w:rFonts w:ascii="Arial" w:cs="Arial" w:eastAsia="Arial" w:hAnsi="Arial"/>
                <w:sz w:val="10"/>
                <w:szCs w:val="10"/>
                <w:color w:val="auto"/>
              </w:rPr>
              <w:t>(Decrease) increase in accounts payable and accrued liabilities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w w:val="94"/>
              </w:rPr>
              <w:t>(4,628)</w:t>
            </w:r>
          </w:p>
        </w:tc>
        <w:tc>
          <w:tcPr>
            <w:tcW w:w="160" w:type="dxa"/>
            <w:vAlign w:val="bottom"/>
          </w:tcPr>
          <w:p>
            <w:pPr>
              <w:spacing w:after="0"/>
              <w:rPr>
                <w:sz w:val="9"/>
                <w:szCs w:val="9"/>
                <w:color w:val="auto"/>
              </w:rPr>
            </w:pPr>
          </w:p>
        </w:tc>
        <w:tc>
          <w:tcPr>
            <w:tcW w:w="4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4,930</w:t>
            </w:r>
          </w:p>
        </w:tc>
        <w:tc>
          <w:tcPr>
            <w:tcW w:w="2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1,246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6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(Decrease) increase in income and other taxes payable</w:t>
            </w:r>
          </w:p>
        </w:tc>
        <w:tc>
          <w:tcPr>
            <w:tcW w:w="1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(909)</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741</w:t>
            </w:r>
          </w:p>
        </w:tc>
        <w:tc>
          <w:tcPr>
            <w:tcW w:w="20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6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Net (increase) decrease in operating working capital</w:t>
            </w:r>
          </w:p>
        </w:tc>
        <w:tc>
          <w:tcPr>
            <w:tcW w:w="24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right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94"/>
              </w:rPr>
              <w:t>(1,673)</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685</w:t>
            </w:r>
          </w:p>
        </w:tc>
        <w:tc>
          <w:tcPr>
            <w:tcW w:w="2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660" w:type="dxa"/>
            <w:vAlign w:val="bottom"/>
            <w:gridSpan w:val="2"/>
          </w:tcPr>
          <w:p>
            <w:pPr>
              <w:spacing w:after="0" w:line="103" w:lineRule="exact"/>
              <w:rPr>
                <w:sz w:val="20"/>
                <w:szCs w:val="20"/>
                <w:color w:val="auto"/>
              </w:rPr>
            </w:pPr>
            <w:r>
              <w:rPr>
                <w:rFonts w:ascii="Arial" w:cs="Arial" w:eastAsia="Arial" w:hAnsi="Arial"/>
                <w:sz w:val="10"/>
                <w:szCs w:val="10"/>
                <w:color w:val="auto"/>
              </w:rPr>
              <w:t>Net cash provided by operating activities includes the following cash payments for</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40" w:type="dxa"/>
            <w:vAlign w:val="bottom"/>
          </w:tcPr>
          <w:p>
            <w:pPr>
              <w:ind w:left="80"/>
              <w:spacing w:after="0" w:line="106" w:lineRule="exact"/>
              <w:rPr>
                <w:sz w:val="20"/>
                <w:szCs w:val="20"/>
                <w:color w:val="auto"/>
              </w:rPr>
            </w:pPr>
            <w:r>
              <w:rPr>
                <w:rFonts w:ascii="Arial" w:cs="Arial" w:eastAsia="Arial" w:hAnsi="Arial"/>
                <w:sz w:val="10"/>
                <w:szCs w:val="10"/>
                <w:color w:val="auto"/>
              </w:rPr>
              <w:t>interest and income taxes:</w:t>
            </w:r>
          </w:p>
        </w:tc>
        <w:tc>
          <w:tcPr>
            <w:tcW w:w="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660" w:type="dxa"/>
            <w:vAlign w:val="bottom"/>
            <w:gridSpan w:val="2"/>
          </w:tcPr>
          <w:p>
            <w:pPr>
              <w:spacing w:after="0" w:line="104" w:lineRule="exact"/>
              <w:rPr>
                <w:sz w:val="20"/>
                <w:szCs w:val="20"/>
                <w:color w:val="auto"/>
              </w:rPr>
            </w:pPr>
            <w:r>
              <w:rPr>
                <w:rFonts w:ascii="Arial" w:cs="Arial" w:eastAsia="Arial" w:hAnsi="Arial"/>
                <w:sz w:val="10"/>
                <w:szCs w:val="10"/>
                <w:color w:val="auto"/>
              </w:rPr>
              <w:t>Interest paid on debt (net of capitalized interest)</w:t>
            </w:r>
          </w:p>
        </w:tc>
        <w:tc>
          <w:tcPr>
            <w:tcW w:w="24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203</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470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6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Income taxes</w:t>
            </w:r>
          </w:p>
        </w:tc>
        <w:tc>
          <w:tcPr>
            <w:tcW w:w="24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1"/>
              </w:rPr>
              <w:t>19,130</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84"/>
              </w:rPr>
              <w:t>12,340</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4"/>
              </w:rPr>
              <w:t>13,806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660" w:type="dxa"/>
            <w:vAlign w:val="bottom"/>
            <w:gridSpan w:val="2"/>
          </w:tcPr>
          <w:p>
            <w:pPr>
              <w:spacing w:after="0" w:line="103" w:lineRule="exact"/>
              <w:rPr>
                <w:sz w:val="20"/>
                <w:szCs w:val="20"/>
                <w:color w:val="auto"/>
              </w:rPr>
            </w:pPr>
            <w:r>
              <w:rPr>
                <w:rFonts w:ascii="Arial" w:cs="Arial" w:eastAsia="Arial" w:hAnsi="Arial"/>
                <w:sz w:val="10"/>
                <w:szCs w:val="10"/>
                <w:color w:val="auto"/>
              </w:rPr>
              <w:t>Net sales of marketable securities consisted of the following gross amounts:</w:t>
            </w:r>
          </w:p>
        </w:tc>
        <w:tc>
          <w:tcPr>
            <w:tcW w:w="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3,719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60" w:type="dxa"/>
            <w:vAlign w:val="bottom"/>
            <w:gridSpan w:val="2"/>
          </w:tcPr>
          <w:p>
            <w:pPr>
              <w:spacing w:after="0" w:line="104" w:lineRule="exact"/>
              <w:rPr>
                <w:sz w:val="20"/>
                <w:szCs w:val="20"/>
                <w:color w:val="auto"/>
              </w:rPr>
            </w:pPr>
            <w:r>
              <w:rPr>
                <w:rFonts w:ascii="Arial" w:cs="Arial" w:eastAsia="Arial" w:hAnsi="Arial"/>
                <w:sz w:val="10"/>
                <w:szCs w:val="10"/>
                <w:color w:val="auto"/>
              </w:rPr>
              <w:t>Marketable securities sold</w:t>
            </w:r>
          </w:p>
        </w:tc>
        <w:tc>
          <w:tcPr>
            <w:tcW w:w="24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2,160</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1,413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660" w:type="dxa"/>
            <w:vAlign w:val="bottom"/>
            <w:gridSpan w:val="2"/>
          </w:tcPr>
          <w:p>
            <w:pPr>
              <w:spacing w:after="0"/>
              <w:rPr>
                <w:sz w:val="20"/>
                <w:szCs w:val="20"/>
                <w:color w:val="auto"/>
              </w:rPr>
            </w:pPr>
            <w:r>
              <w:rPr>
                <w:rFonts w:ascii="Arial" w:cs="Arial" w:eastAsia="Arial" w:hAnsi="Arial"/>
                <w:sz w:val="10"/>
                <w:szCs w:val="10"/>
                <w:color w:val="auto"/>
              </w:rPr>
              <w:t>Marketable securities purchased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color w:val="auto"/>
                <w:w w:val="94"/>
              </w:rPr>
              <w:t>(</w:t>
            </w:r>
            <w:r>
              <w:rPr>
                <w:rFonts w:ascii="Arial" w:cs="Arial" w:eastAsia="Arial" w:hAnsi="Arial"/>
                <w:sz w:val="10"/>
                <w:szCs w:val="10"/>
                <w:b w:val="1"/>
                <w:bCs w:val="1"/>
                <w:color w:val="auto"/>
                <w:w w:val="94"/>
              </w:rPr>
              <w:t>3,236)</w:t>
            </w:r>
          </w:p>
        </w:tc>
        <w:tc>
          <w:tcPr>
            <w:tcW w:w="16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color w:val="auto"/>
                <w:w w:val="94"/>
              </w:rPr>
              <w:t>(1,975)</w:t>
            </w:r>
          </w:p>
        </w:tc>
        <w:tc>
          <w:tcPr>
            <w:tcW w:w="20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0"/>
                <w:szCs w:val="10"/>
                <w:color w:val="auto"/>
                <w:w w:val="94"/>
              </w:rPr>
              <w:t>(1,271)</w:t>
            </w:r>
          </w:p>
        </w:tc>
        <w:tc>
          <w:tcPr>
            <w:tcW w:w="0" w:type="dxa"/>
            <w:vAlign w:val="bottom"/>
          </w:tcPr>
          <w:p>
            <w:pPr>
              <w:spacing w:after="0"/>
              <w:rPr>
                <w:sz w:val="1"/>
                <w:szCs w:val="1"/>
                <w:color w:val="auto"/>
              </w:rPr>
            </w:pPr>
          </w:p>
        </w:tc>
      </w:tr>
      <w:tr>
        <w:trPr>
          <w:trHeight w:val="105"/>
        </w:trPr>
        <w:tc>
          <w:tcPr>
            <w:tcW w:w="3660" w:type="dxa"/>
            <w:vAlign w:val="bottom"/>
            <w:tcBorders>
              <w:top w:val="single" w:sz="8" w:color="0077C0"/>
            </w:tcBorders>
            <w:gridSpan w:val="2"/>
          </w:tcPr>
          <w:p>
            <w:pPr>
              <w:spacing w:after="0" w:line="105" w:lineRule="exact"/>
              <w:rPr>
                <w:sz w:val="20"/>
                <w:szCs w:val="20"/>
                <w:color w:val="auto"/>
              </w:rPr>
            </w:pPr>
            <w:r>
              <w:rPr>
                <w:rFonts w:ascii="Arial" w:cs="Arial" w:eastAsia="Arial" w:hAnsi="Arial"/>
                <w:sz w:val="10"/>
                <w:szCs w:val="10"/>
                <w:color w:val="auto"/>
              </w:rPr>
              <w:t>Net sales of marketable securities</w:t>
            </w:r>
          </w:p>
        </w:tc>
        <w:tc>
          <w:tcPr>
            <w:tcW w:w="240" w:type="dxa"/>
            <w:vAlign w:val="bottom"/>
            <w:tcBorders>
              <w:top w:val="single" w:sz="8" w:color="0077C0"/>
            </w:tcBorders>
            <w:gridSpan w:val="2"/>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483</w:t>
            </w:r>
          </w:p>
        </w:tc>
        <w:tc>
          <w:tcPr>
            <w:tcW w:w="16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185</w:t>
            </w:r>
          </w:p>
        </w:tc>
        <w:tc>
          <w:tcPr>
            <w:tcW w:w="2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142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60" w:type="dxa"/>
            <w:vAlign w:val="bottom"/>
            <w:shd w:val="clear" w:color="auto" w:fill="0077C0"/>
          </w:tcPr>
          <w:p>
            <w:pPr>
              <w:spacing w:after="0"/>
              <w:rPr>
                <w:sz w:val="2"/>
                <w:szCs w:val="2"/>
                <w:color w:val="auto"/>
              </w:rPr>
            </w:pPr>
          </w:p>
        </w:tc>
        <w:tc>
          <w:tcPr>
            <w:tcW w:w="460" w:type="dxa"/>
            <w:vAlign w:val="bottom"/>
            <w:tcBorders>
              <w:right w:val="single" w:sz="8" w:color="0077C0"/>
            </w:tcBorders>
            <w:shd w:val="clear" w:color="auto" w:fill="0077C0"/>
          </w:tcPr>
          <w:p>
            <w:pPr>
              <w:spacing w:after="0"/>
              <w:rPr>
                <w:sz w:val="2"/>
                <w:szCs w:val="2"/>
                <w:color w:val="auto"/>
              </w:rPr>
            </w:pPr>
          </w:p>
        </w:tc>
        <w:tc>
          <w:tcPr>
            <w:tcW w:w="160" w:type="dxa"/>
            <w:vAlign w:val="bottom"/>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200" w:type="dxa"/>
            <w:vAlign w:val="bottom"/>
            <w:shd w:val="clear" w:color="auto" w:fill="0077C0"/>
          </w:tcPr>
          <w:p>
            <w:pPr>
              <w:spacing w:after="0"/>
              <w:rPr>
                <w:sz w:val="2"/>
                <w:szCs w:val="2"/>
                <w:color w:val="auto"/>
              </w:rPr>
            </w:pPr>
          </w:p>
        </w:tc>
        <w:tc>
          <w:tcPr>
            <w:tcW w:w="28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0"/>
          <w:szCs w:val="10"/>
          <w:color w:val="auto"/>
        </w:rPr>
        <w:t>FS-34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20"/>
            <w:col w:w="5860"/>
          </w:cols>
          <w:pgMar w:left="220" w:top="339" w:right="219" w:bottom="1440" w:gutter="0" w:footer="0" w:header="0"/>
          <w:type w:val="continuous"/>
        </w:sectPr>
      </w:pPr>
    </w:p>
    <w:bookmarkStart w:id="75" w:name="page76"/>
    <w:bookmarkEnd w:id="75"/>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245110</wp:posOffset>
            </wp:positionV>
            <wp:extent cx="7285990" cy="664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 </w:t>
      </w:r>
      <w:r>
        <w:rPr>
          <w:rFonts w:ascii="Arial" w:cs="Arial" w:eastAsia="Arial" w:hAnsi="Arial"/>
          <w:sz w:val="8"/>
          <w:szCs w:val="8"/>
          <w:color w:val="000000"/>
        </w:rPr>
        <w:t>Information Relating to the Consolidated Statement of</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9"/>
          <w:szCs w:val="9"/>
          <w:color w:val="auto"/>
        </w:rPr>
        <w:t>Cash Flows - Continued</w:t>
      </w:r>
    </w:p>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 xml:space="preserve">In accordance with the cash-flow classification requirements of FAS 123R, </w:t>
      </w:r>
      <w:r>
        <w:rPr>
          <w:rFonts w:ascii="Arial" w:cs="Arial" w:eastAsia="Arial" w:hAnsi="Arial"/>
          <w:sz w:val="13"/>
          <w:szCs w:val="13"/>
          <w:i w:val="1"/>
          <w:iCs w:val="1"/>
          <w:color w:val="auto"/>
        </w:rPr>
        <w:t>Share-Based Payment</w:t>
      </w:r>
      <w:r>
        <w:rPr>
          <w:rFonts w:ascii="Arial" w:cs="Arial" w:eastAsia="Arial" w:hAnsi="Arial"/>
          <w:sz w:val="13"/>
          <w:szCs w:val="13"/>
          <w:color w:val="auto"/>
        </w:rPr>
        <w:t>, the “Net decrease in operating working capital” includes reductions of $106, $96 and $94 for excess income tax benefits associated with stock options exercised during 2008, 2007 and 2006, respectively. These amounts are offset by “Net purchases of treasury shares.”</w:t>
      </w:r>
    </w:p>
    <w:p>
      <w:pPr>
        <w:spacing w:after="0" w:line="1"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In 2008, “Net purchases of other short-term investments” consist of $367 in restricted cash associated with capital-investment projects at the company’s Pascagoula, Mississippi refinery and the Angola liquefied natural gas project that was invested in short-term marketable securities and reclassified from “Cash and cash equivalents” to “Deferred charges and other assets” in the Consolidated Balance Sheet. In 2007, the company issued a $650 tax exempt Mississippi Gulf Opportunity Zone Bond as a source of funds for the Pascagoula Refinery project.</w:t>
      </w:r>
    </w:p>
    <w:p>
      <w:pPr>
        <w:spacing w:after="0" w:line="1" w:lineRule="exact"/>
        <w:rPr>
          <w:sz w:val="20"/>
          <w:szCs w:val="20"/>
          <w:color w:val="auto"/>
        </w:rPr>
      </w:pPr>
    </w:p>
    <w:p>
      <w:pPr>
        <w:ind w:firstLine="158"/>
        <w:spacing w:after="0" w:line="246" w:lineRule="auto"/>
        <w:rPr>
          <w:sz w:val="20"/>
          <w:szCs w:val="20"/>
          <w:color w:val="auto"/>
        </w:rPr>
      </w:pPr>
      <w:r>
        <w:rPr>
          <w:rFonts w:ascii="Arial" w:cs="Arial" w:eastAsia="Arial" w:hAnsi="Arial"/>
          <w:sz w:val="13"/>
          <w:szCs w:val="13"/>
          <w:color w:val="auto"/>
        </w:rPr>
        <w:t>The “Net purchases of treasury shares” represents the cost of common shares less the cost of shares issued for share-based compensation plans. Purchases totaled $8,011, $7,036 and $5,033 in 2008, 2007 and 2006, respectively.</w:t>
      </w:r>
    </w:p>
    <w:p>
      <w:pPr>
        <w:spacing w:after="0" w:line="2" w:lineRule="exact"/>
        <w:rPr>
          <w:sz w:val="20"/>
          <w:szCs w:val="20"/>
          <w:color w:val="auto"/>
        </w:rPr>
      </w:pPr>
    </w:p>
    <w:p>
      <w:pPr>
        <w:ind w:right="20" w:firstLine="158"/>
        <w:spacing w:after="0" w:line="296" w:lineRule="auto"/>
        <w:rPr>
          <w:sz w:val="20"/>
          <w:szCs w:val="20"/>
          <w:color w:val="auto"/>
        </w:rPr>
      </w:pPr>
      <w:r>
        <w:rPr>
          <w:rFonts w:ascii="Arial" w:cs="Arial" w:eastAsia="Arial" w:hAnsi="Arial"/>
          <w:sz w:val="11"/>
          <w:szCs w:val="11"/>
          <w:color w:val="auto"/>
        </w:rPr>
        <w:t>The Consolidated Statement of Cash Flows for 2008 excludes changes to the Consolidated Balance Sheet that did not affect cash. “Net purchases of treasury shares” excludes $680 of treasury shares acquired in exchange for a U.S. upstream property and $280 in cash. The carrying value of this property in “Properties, plant and equipment” on the Consolidated Balance Sheet was not significant. The “Increase in accounts payable and accrued liabilities” excludes a $2,450 increase in “Accrued liabilities” that was offset to “Properties, plant and equipment” on the Consolidated Balance Sheet. This amount related to accruals associated with upstream operating agreements outside the United States. “Capital expenditures” excludes a $1,400 increase in “Properties, plant and equipment” (PPE) related to the acquisition of an additional interest in an equity affiliate that required a change to the consolidated method of accounting for the investment during 2008. This addition to PPE was offset primarily by reductions in “Investments and advances” and working capital and an increase in “Noncurrent deferred income tax” liabilities. Refer also to Note 24 beginning on page FS-58 for a discussion of revisions to the company’s AROs that also did not involve cash receipts or payments for the three years ending December 31,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firstLine="158"/>
        <w:spacing w:after="0" w:line="359" w:lineRule="auto"/>
        <w:rPr>
          <w:sz w:val="20"/>
          <w:szCs w:val="20"/>
          <w:color w:val="auto"/>
        </w:rPr>
      </w:pPr>
      <w:r>
        <w:rPr>
          <w:rFonts w:ascii="Arial" w:cs="Arial" w:eastAsia="Arial" w:hAnsi="Arial"/>
          <w:sz w:val="11"/>
          <w:szCs w:val="11"/>
          <w:color w:val="auto"/>
        </w:rPr>
        <w:t>The major components of “Capital expenditures” and the reconciliation of this amount to the reported capital and exploratory expenditures, including equity affiliates, are presented in the following table: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0"/>
                <w:szCs w:val="10"/>
                <w:color w:val="auto"/>
                <w:w w:val="94"/>
              </w:rPr>
              <w:t>Year ended December 31</w:t>
            </w:r>
          </w:p>
        </w:tc>
      </w:tr>
      <w:tr>
        <w:trPr>
          <w:trHeight w:val="95"/>
        </w:trPr>
        <w:tc>
          <w:tcPr>
            <w:tcW w:w="20" w:type="dxa"/>
            <w:vAlign w:val="bottom"/>
          </w:tcPr>
          <w:p>
            <w:pPr>
              <w:spacing w:after="0"/>
              <w:rPr>
                <w:sz w:val="8"/>
                <w:szCs w:val="8"/>
                <w:color w:val="auto"/>
              </w:rPr>
            </w:pPr>
          </w:p>
        </w:tc>
        <w:tc>
          <w:tcPr>
            <w:tcW w:w="356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12"/>
              <w:spacing w:after="0" w:line="95" w:lineRule="exact"/>
              <w:rPr>
                <w:sz w:val="20"/>
                <w:szCs w:val="20"/>
                <w:color w:val="auto"/>
              </w:rPr>
            </w:pPr>
            <w:r>
              <w:rPr>
                <w:rFonts w:ascii="Arial" w:cs="Arial" w:eastAsia="Arial" w:hAnsi="Arial"/>
                <w:sz w:val="10"/>
                <w:szCs w:val="10"/>
                <w:b w:val="1"/>
                <w:bCs w:val="1"/>
                <w:color w:val="auto"/>
              </w:rPr>
              <w:t>2008</w:t>
            </w:r>
          </w:p>
        </w:tc>
        <w:tc>
          <w:tcPr>
            <w:tcW w:w="62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color w:val="auto"/>
              </w:rPr>
              <w:t>2007</w:t>
            </w:r>
          </w:p>
        </w:tc>
        <w:tc>
          <w:tcPr>
            <w:tcW w:w="4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40" w:type="dxa"/>
            <w:vAlign w:val="bottom"/>
          </w:tcPr>
          <w:p>
            <w:pPr>
              <w:spacing w:after="0"/>
              <w:rPr>
                <w:sz w:val="8"/>
                <w:szCs w:val="8"/>
                <w:color w:val="auto"/>
              </w:rPr>
            </w:pPr>
          </w:p>
        </w:tc>
      </w:tr>
      <w:tr>
        <w:trPr>
          <w:trHeight w:val="90"/>
        </w:trPr>
        <w:tc>
          <w:tcPr>
            <w:tcW w:w="20" w:type="dxa"/>
            <w:vAlign w:val="bottom"/>
          </w:tcPr>
          <w:p>
            <w:pPr>
              <w:spacing w:after="0"/>
              <w:rPr>
                <w:sz w:val="7"/>
                <w:szCs w:val="7"/>
                <w:color w:val="auto"/>
              </w:rPr>
            </w:pPr>
          </w:p>
        </w:tc>
        <w:tc>
          <w:tcPr>
            <w:tcW w:w="3560" w:type="dxa"/>
            <w:vAlign w:val="bottom"/>
          </w:tcPr>
          <w:p>
            <w:pPr>
              <w:spacing w:after="0" w:line="91" w:lineRule="exact"/>
              <w:rPr>
                <w:sz w:val="20"/>
                <w:szCs w:val="20"/>
                <w:color w:val="auto"/>
              </w:rPr>
            </w:pPr>
            <w:r>
              <w:rPr>
                <w:rFonts w:ascii="Arial" w:cs="Arial" w:eastAsia="Arial" w:hAnsi="Arial"/>
                <w:sz w:val="10"/>
                <w:szCs w:val="10"/>
                <w:color w:val="auto"/>
              </w:rPr>
              <w:t>Additions to properties, plant and equipment*</w:t>
            </w:r>
          </w:p>
        </w:tc>
        <w:tc>
          <w:tcPr>
            <w:tcW w:w="780" w:type="dxa"/>
            <w:vAlign w:val="bottom"/>
            <w:tcBorders>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$ 18,495</w:t>
            </w:r>
          </w:p>
        </w:tc>
        <w:tc>
          <w:tcPr>
            <w:tcW w:w="620" w:type="dxa"/>
            <w:vAlign w:val="bottom"/>
          </w:tcPr>
          <w:p>
            <w:pPr>
              <w:jc w:val="right"/>
              <w:ind w:right="129"/>
              <w:spacing w:after="0" w:line="91" w:lineRule="exact"/>
              <w:rPr>
                <w:sz w:val="20"/>
                <w:szCs w:val="20"/>
                <w:color w:val="auto"/>
              </w:rPr>
            </w:pPr>
            <w:r>
              <w:rPr>
                <w:rFonts w:ascii="Arial" w:cs="Arial" w:eastAsia="Arial" w:hAnsi="Arial"/>
                <w:sz w:val="10"/>
                <w:szCs w:val="10"/>
                <w:color w:val="auto"/>
              </w:rPr>
              <w:t>$ 16,127</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$ 12,800</w:t>
            </w:r>
          </w:p>
        </w:tc>
        <w:tc>
          <w:tcPr>
            <w:tcW w:w="40" w:type="dxa"/>
            <w:vAlign w:val="bottom"/>
          </w:tcPr>
          <w:p>
            <w:pPr>
              <w:spacing w:after="0"/>
              <w:rPr>
                <w:sz w:val="7"/>
                <w:szCs w:val="7"/>
                <w:color w:val="auto"/>
              </w:rPr>
            </w:pPr>
          </w:p>
        </w:tc>
      </w:tr>
      <w:tr>
        <w:trPr>
          <w:trHeight w:val="106"/>
        </w:trPr>
        <w:tc>
          <w:tcPr>
            <w:tcW w:w="3580" w:type="dxa"/>
            <w:vAlign w:val="bottom"/>
            <w:gridSpan w:val="2"/>
          </w:tcPr>
          <w:p>
            <w:pPr>
              <w:spacing w:after="0" w:line="106" w:lineRule="exact"/>
              <w:rPr>
                <w:sz w:val="20"/>
                <w:szCs w:val="20"/>
                <w:color w:val="auto"/>
              </w:rPr>
            </w:pPr>
            <w:r>
              <w:rPr>
                <w:rFonts w:ascii="Arial" w:cs="Arial" w:eastAsia="Arial" w:hAnsi="Arial"/>
                <w:sz w:val="10"/>
                <w:szCs w:val="10"/>
                <w:color w:val="auto"/>
              </w:rPr>
              <w:t>Additions to investments</w:t>
            </w:r>
          </w:p>
        </w:tc>
        <w:tc>
          <w:tcPr>
            <w:tcW w:w="78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1,051</w:t>
            </w:r>
          </w:p>
        </w:tc>
        <w:tc>
          <w:tcPr>
            <w:tcW w:w="6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881</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880</w:t>
            </w:r>
          </w:p>
        </w:tc>
        <w:tc>
          <w:tcPr>
            <w:tcW w:w="40" w:type="dxa"/>
            <w:vAlign w:val="bottom"/>
          </w:tcPr>
          <w:p>
            <w:pPr>
              <w:spacing w:after="0"/>
              <w:rPr>
                <w:sz w:val="9"/>
                <w:szCs w:val="9"/>
                <w:color w:val="auto"/>
              </w:rPr>
            </w:pPr>
          </w:p>
        </w:tc>
      </w:tr>
      <w:tr>
        <w:trPr>
          <w:trHeight w:val="106"/>
        </w:trPr>
        <w:tc>
          <w:tcPr>
            <w:tcW w:w="3580" w:type="dxa"/>
            <w:vAlign w:val="bottom"/>
            <w:gridSpan w:val="2"/>
          </w:tcPr>
          <w:p>
            <w:pPr>
              <w:spacing w:after="0" w:line="106" w:lineRule="exact"/>
              <w:rPr>
                <w:sz w:val="20"/>
                <w:szCs w:val="20"/>
                <w:color w:val="auto"/>
              </w:rPr>
            </w:pPr>
            <w:r>
              <w:rPr>
                <w:rFonts w:ascii="Arial" w:cs="Arial" w:eastAsia="Arial" w:hAnsi="Arial"/>
                <w:sz w:val="10"/>
                <w:szCs w:val="10"/>
                <w:color w:val="auto"/>
              </w:rPr>
              <w:t>Current-year dry hole expenditures</w:t>
            </w:r>
          </w:p>
        </w:tc>
        <w:tc>
          <w:tcPr>
            <w:tcW w:w="78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320</w:t>
            </w:r>
          </w:p>
        </w:tc>
        <w:tc>
          <w:tcPr>
            <w:tcW w:w="6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418</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400</w:t>
            </w:r>
          </w:p>
        </w:tc>
        <w:tc>
          <w:tcPr>
            <w:tcW w:w="40" w:type="dxa"/>
            <w:vAlign w:val="bottom"/>
          </w:tcPr>
          <w:p>
            <w:pPr>
              <w:spacing w:after="0"/>
              <w:rPr>
                <w:sz w:val="9"/>
                <w:szCs w:val="9"/>
                <w:color w:val="auto"/>
              </w:rPr>
            </w:pPr>
          </w:p>
        </w:tc>
      </w:tr>
      <w:tr>
        <w:trPr>
          <w:trHeight w:val="120"/>
        </w:trPr>
        <w:tc>
          <w:tcPr>
            <w:tcW w:w="3580" w:type="dxa"/>
            <w:vAlign w:val="bottom"/>
            <w:gridSpan w:val="2"/>
          </w:tcPr>
          <w:p>
            <w:pPr>
              <w:spacing w:after="0"/>
              <w:rPr>
                <w:sz w:val="20"/>
                <w:szCs w:val="20"/>
                <w:color w:val="auto"/>
              </w:rPr>
            </w:pPr>
            <w:r>
              <w:rPr>
                <w:rFonts w:ascii="Arial" w:cs="Arial" w:eastAsia="Arial" w:hAnsi="Arial"/>
                <w:sz w:val="10"/>
                <w:szCs w:val="10"/>
                <w:color w:val="auto"/>
              </w:rPr>
              <w:t>Payments for other liabilities and assets, net</w:t>
            </w:r>
          </w:p>
        </w:tc>
        <w:tc>
          <w:tcPr>
            <w:tcW w:w="780" w:type="dxa"/>
            <w:vAlign w:val="bottom"/>
            <w:tcBorders>
              <w:right w:val="single" w:sz="8" w:color="0077C0"/>
            </w:tcBorders>
            <w:gridSpan w:val="2"/>
          </w:tcPr>
          <w:p>
            <w:pPr>
              <w:jc w:val="right"/>
              <w:ind w:right="92"/>
              <w:spacing w:after="0"/>
              <w:rPr>
                <w:sz w:val="20"/>
                <w:szCs w:val="20"/>
                <w:color w:val="auto"/>
              </w:rPr>
            </w:pPr>
            <w:r>
              <w:rPr>
                <w:rFonts w:ascii="Arial" w:cs="Arial" w:eastAsia="Arial" w:hAnsi="Arial"/>
                <w:sz w:val="10"/>
                <w:szCs w:val="10"/>
                <w:b w:val="1"/>
                <w:bCs w:val="1"/>
                <w:color w:val="auto"/>
              </w:rPr>
              <w:t>(200)</w:t>
            </w:r>
          </w:p>
        </w:tc>
        <w:tc>
          <w:tcPr>
            <w:tcW w:w="620" w:type="dxa"/>
            <w:vAlign w:val="bottom"/>
          </w:tcPr>
          <w:p>
            <w:pPr>
              <w:jc w:val="right"/>
              <w:ind w:right="89"/>
              <w:spacing w:after="0"/>
              <w:rPr>
                <w:sz w:val="20"/>
                <w:szCs w:val="20"/>
                <w:color w:val="auto"/>
              </w:rPr>
            </w:pPr>
            <w:r>
              <w:rPr>
                <w:rFonts w:ascii="Arial" w:cs="Arial" w:eastAsia="Arial" w:hAnsi="Arial"/>
                <w:sz w:val="10"/>
                <w:szCs w:val="10"/>
                <w:color w:val="auto"/>
              </w:rPr>
              <w:t>(748)</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(267)</w:t>
            </w:r>
          </w:p>
        </w:tc>
      </w:tr>
      <w:tr>
        <w:trPr>
          <w:trHeight w:val="90"/>
        </w:trPr>
        <w:tc>
          <w:tcPr>
            <w:tcW w:w="3580" w:type="dxa"/>
            <w:vAlign w:val="bottom"/>
            <w:tcBorders>
              <w:top w:val="single" w:sz="8" w:color="0077C0"/>
            </w:tcBorders>
            <w:gridSpan w:val="2"/>
          </w:tcPr>
          <w:p>
            <w:pPr>
              <w:spacing w:after="0" w:line="91" w:lineRule="exact"/>
              <w:rPr>
                <w:sz w:val="20"/>
                <w:szCs w:val="20"/>
                <w:color w:val="auto"/>
              </w:rPr>
            </w:pPr>
            <w:r>
              <w:rPr>
                <w:rFonts w:ascii="Arial" w:cs="Arial" w:eastAsia="Arial" w:hAnsi="Arial"/>
                <w:sz w:val="10"/>
                <w:szCs w:val="10"/>
                <w:color w:val="auto"/>
              </w:rPr>
              <w:t>Capital expenditures</w:t>
            </w:r>
          </w:p>
        </w:tc>
        <w:tc>
          <w:tcPr>
            <w:tcW w:w="780" w:type="dxa"/>
            <w:vAlign w:val="bottom"/>
            <w:tcBorders>
              <w:top w:val="single" w:sz="8" w:color="0077C0"/>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19,666</w:t>
            </w:r>
          </w:p>
        </w:tc>
        <w:tc>
          <w:tcPr>
            <w:tcW w:w="620" w:type="dxa"/>
            <w:vAlign w:val="bottom"/>
            <w:tcBorders>
              <w:top w:val="single" w:sz="8" w:color="0077C0"/>
            </w:tcBorders>
          </w:tcPr>
          <w:p>
            <w:pPr>
              <w:jc w:val="right"/>
              <w:ind w:right="129"/>
              <w:spacing w:after="0" w:line="91" w:lineRule="exact"/>
              <w:rPr>
                <w:sz w:val="20"/>
                <w:szCs w:val="20"/>
                <w:color w:val="auto"/>
              </w:rPr>
            </w:pPr>
            <w:r>
              <w:rPr>
                <w:rFonts w:ascii="Arial" w:cs="Arial" w:eastAsia="Arial" w:hAnsi="Arial"/>
                <w:sz w:val="10"/>
                <w:szCs w:val="10"/>
                <w:color w:val="auto"/>
              </w:rPr>
              <w:t>16,678</w:t>
            </w:r>
          </w:p>
        </w:tc>
        <w:tc>
          <w:tcPr>
            <w:tcW w:w="4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13,813</w:t>
            </w:r>
          </w:p>
        </w:tc>
        <w:tc>
          <w:tcPr>
            <w:tcW w:w="40" w:type="dxa"/>
            <w:vAlign w:val="bottom"/>
          </w:tcPr>
          <w:p>
            <w:pPr>
              <w:spacing w:after="0"/>
              <w:rPr>
                <w:sz w:val="7"/>
                <w:szCs w:val="7"/>
                <w:color w:val="auto"/>
              </w:rPr>
            </w:pPr>
          </w:p>
        </w:tc>
      </w:tr>
      <w:tr>
        <w:trPr>
          <w:trHeight w:val="106"/>
        </w:trPr>
        <w:tc>
          <w:tcPr>
            <w:tcW w:w="3580" w:type="dxa"/>
            <w:vAlign w:val="bottom"/>
            <w:gridSpan w:val="2"/>
          </w:tcPr>
          <w:p>
            <w:pPr>
              <w:spacing w:after="0" w:line="106" w:lineRule="exact"/>
              <w:rPr>
                <w:sz w:val="20"/>
                <w:szCs w:val="20"/>
                <w:color w:val="auto"/>
              </w:rPr>
            </w:pPr>
            <w:r>
              <w:rPr>
                <w:rFonts w:ascii="Arial" w:cs="Arial" w:eastAsia="Arial" w:hAnsi="Arial"/>
                <w:sz w:val="10"/>
                <w:szCs w:val="10"/>
                <w:color w:val="auto"/>
              </w:rPr>
              <w:t>Expensed exploration expenditures</w:t>
            </w:r>
          </w:p>
        </w:tc>
        <w:tc>
          <w:tcPr>
            <w:tcW w:w="78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794</w:t>
            </w:r>
          </w:p>
        </w:tc>
        <w:tc>
          <w:tcPr>
            <w:tcW w:w="6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816</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844</w:t>
            </w:r>
          </w:p>
        </w:tc>
        <w:tc>
          <w:tcPr>
            <w:tcW w:w="40" w:type="dxa"/>
            <w:vAlign w:val="bottom"/>
          </w:tcPr>
          <w:p>
            <w:pPr>
              <w:spacing w:after="0"/>
              <w:rPr>
                <w:sz w:val="9"/>
                <w:szCs w:val="9"/>
                <w:color w:val="auto"/>
              </w:rPr>
            </w:pPr>
          </w:p>
        </w:tc>
      </w:tr>
      <w:tr>
        <w:trPr>
          <w:trHeight w:val="120"/>
        </w:trPr>
        <w:tc>
          <w:tcPr>
            <w:tcW w:w="358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Assets acquired through capital lease obligations and other financing obligations</w:t>
            </w:r>
          </w:p>
        </w:tc>
        <w:tc>
          <w:tcPr>
            <w:tcW w:w="780" w:type="dxa"/>
            <w:vAlign w:val="bottom"/>
            <w:tcBorders>
              <w:bottom w:val="single" w:sz="8" w:color="0077C0"/>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9</w:t>
            </w:r>
          </w:p>
        </w:tc>
        <w:tc>
          <w:tcPr>
            <w:tcW w:w="6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196</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35</w:t>
            </w:r>
          </w:p>
        </w:tc>
        <w:tc>
          <w:tcPr>
            <w:tcW w:w="40" w:type="dxa"/>
            <w:vAlign w:val="bottom"/>
          </w:tcPr>
          <w:p>
            <w:pPr>
              <w:spacing w:after="0"/>
              <w:rPr>
                <w:sz w:val="10"/>
                <w:szCs w:val="10"/>
                <w:color w:val="auto"/>
              </w:rPr>
            </w:pPr>
          </w:p>
        </w:tc>
      </w:tr>
      <w:tr>
        <w:trPr>
          <w:trHeight w:val="90"/>
        </w:trPr>
        <w:tc>
          <w:tcPr>
            <w:tcW w:w="3580" w:type="dxa"/>
            <w:vAlign w:val="bottom"/>
            <w:gridSpan w:val="2"/>
          </w:tcPr>
          <w:p>
            <w:pPr>
              <w:spacing w:after="0" w:line="91" w:lineRule="exact"/>
              <w:rPr>
                <w:sz w:val="20"/>
                <w:szCs w:val="20"/>
                <w:color w:val="auto"/>
              </w:rPr>
            </w:pPr>
            <w:r>
              <w:rPr>
                <w:rFonts w:ascii="Arial" w:cs="Arial" w:eastAsia="Arial" w:hAnsi="Arial"/>
                <w:sz w:val="10"/>
                <w:szCs w:val="10"/>
                <w:color w:val="auto"/>
              </w:rPr>
              <w:t>Capital and exploratory expenditures, excluding equity affiliates</w:t>
            </w:r>
          </w:p>
        </w:tc>
        <w:tc>
          <w:tcPr>
            <w:tcW w:w="780" w:type="dxa"/>
            <w:vAlign w:val="bottom"/>
            <w:tcBorders>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20,469</w:t>
            </w:r>
          </w:p>
        </w:tc>
        <w:tc>
          <w:tcPr>
            <w:tcW w:w="620" w:type="dxa"/>
            <w:vAlign w:val="bottom"/>
          </w:tcPr>
          <w:p>
            <w:pPr>
              <w:jc w:val="right"/>
              <w:ind w:right="129"/>
              <w:spacing w:after="0" w:line="91" w:lineRule="exact"/>
              <w:rPr>
                <w:sz w:val="20"/>
                <w:szCs w:val="20"/>
                <w:color w:val="auto"/>
              </w:rPr>
            </w:pPr>
            <w:r>
              <w:rPr>
                <w:rFonts w:ascii="Arial" w:cs="Arial" w:eastAsia="Arial" w:hAnsi="Arial"/>
                <w:sz w:val="10"/>
                <w:szCs w:val="10"/>
                <w:color w:val="auto"/>
              </w:rPr>
              <w:t>17,690</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14,692</w:t>
            </w:r>
          </w:p>
        </w:tc>
        <w:tc>
          <w:tcPr>
            <w:tcW w:w="40" w:type="dxa"/>
            <w:vAlign w:val="bottom"/>
          </w:tcPr>
          <w:p>
            <w:pPr>
              <w:spacing w:after="0"/>
              <w:rPr>
                <w:sz w:val="7"/>
                <w:szCs w:val="7"/>
                <w:color w:val="auto"/>
              </w:rPr>
            </w:pPr>
          </w:p>
        </w:tc>
      </w:tr>
      <w:tr>
        <w:trPr>
          <w:trHeight w:val="120"/>
        </w:trPr>
        <w:tc>
          <w:tcPr>
            <w:tcW w:w="358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Equity in affiliates’ expenditures</w:t>
            </w:r>
          </w:p>
        </w:tc>
        <w:tc>
          <w:tcPr>
            <w:tcW w:w="780" w:type="dxa"/>
            <w:vAlign w:val="bottom"/>
            <w:tcBorders>
              <w:bottom w:val="single" w:sz="8" w:color="0077C0"/>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2,306</w:t>
            </w:r>
          </w:p>
        </w:tc>
        <w:tc>
          <w:tcPr>
            <w:tcW w:w="6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2,336</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1,919</w:t>
            </w:r>
          </w:p>
        </w:tc>
        <w:tc>
          <w:tcPr>
            <w:tcW w:w="40" w:type="dxa"/>
            <w:vAlign w:val="bottom"/>
          </w:tcPr>
          <w:p>
            <w:pPr>
              <w:spacing w:after="0"/>
              <w:rPr>
                <w:sz w:val="10"/>
                <w:szCs w:val="10"/>
                <w:color w:val="auto"/>
              </w:rPr>
            </w:pPr>
          </w:p>
        </w:tc>
      </w:tr>
      <w:tr>
        <w:trPr>
          <w:trHeight w:val="105"/>
        </w:trPr>
        <w:tc>
          <w:tcPr>
            <w:tcW w:w="3580" w:type="dxa"/>
            <w:vAlign w:val="bottom"/>
            <w:gridSpan w:val="2"/>
          </w:tcPr>
          <w:p>
            <w:pPr>
              <w:spacing w:after="0" w:line="105" w:lineRule="exact"/>
              <w:rPr>
                <w:sz w:val="20"/>
                <w:szCs w:val="20"/>
                <w:color w:val="auto"/>
              </w:rPr>
            </w:pPr>
            <w:r>
              <w:rPr>
                <w:rFonts w:ascii="Arial" w:cs="Arial" w:eastAsia="Arial" w:hAnsi="Arial"/>
                <w:sz w:val="10"/>
                <w:szCs w:val="10"/>
                <w:color w:val="auto"/>
              </w:rPr>
              <w:t>Capital and exploratory expenditures, including equity affiliates</w:t>
            </w:r>
          </w:p>
        </w:tc>
        <w:tc>
          <w:tcPr>
            <w:tcW w:w="780" w:type="dxa"/>
            <w:vAlign w:val="bottom"/>
            <w:tcBorders>
              <w:right w:val="single" w:sz="8" w:color="0077C0"/>
            </w:tcBorders>
            <w:gridSpan w:val="2"/>
          </w:tcPr>
          <w:p>
            <w:pPr>
              <w:jc w:val="right"/>
              <w:ind w:right="112"/>
              <w:spacing w:after="0" w:line="105" w:lineRule="exact"/>
              <w:rPr>
                <w:sz w:val="20"/>
                <w:szCs w:val="20"/>
                <w:color w:val="auto"/>
              </w:rPr>
            </w:pPr>
            <w:r>
              <w:rPr>
                <w:rFonts w:ascii="Arial" w:cs="Arial" w:eastAsia="Arial" w:hAnsi="Arial"/>
                <w:sz w:val="10"/>
                <w:szCs w:val="10"/>
                <w:b w:val="1"/>
                <w:bCs w:val="1"/>
                <w:color w:val="auto"/>
              </w:rPr>
              <w:t>$ 22,775</w:t>
            </w:r>
          </w:p>
        </w:tc>
        <w:tc>
          <w:tcPr>
            <w:tcW w:w="620" w:type="dxa"/>
            <w:vAlign w:val="bottom"/>
          </w:tcPr>
          <w:p>
            <w:pPr>
              <w:jc w:val="right"/>
              <w:ind w:right="129"/>
              <w:spacing w:after="0" w:line="105" w:lineRule="exact"/>
              <w:rPr>
                <w:sz w:val="20"/>
                <w:szCs w:val="20"/>
                <w:color w:val="auto"/>
              </w:rPr>
            </w:pPr>
            <w:r>
              <w:rPr>
                <w:rFonts w:ascii="Arial" w:cs="Arial" w:eastAsia="Arial" w:hAnsi="Arial"/>
                <w:sz w:val="10"/>
                <w:szCs w:val="10"/>
                <w:color w:val="auto"/>
              </w:rPr>
              <w:t>$ 20,026</w:t>
            </w: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$ 16,611</w:t>
            </w:r>
          </w:p>
        </w:tc>
        <w:tc>
          <w:tcPr>
            <w:tcW w:w="40" w:type="dxa"/>
            <w:vAlign w:val="bottom"/>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356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520" w:type="dxa"/>
            <w:vAlign w:val="bottom"/>
            <w:tcBorders>
              <w:right w:val="single" w:sz="8" w:color="0077C0"/>
            </w:tcBorders>
            <w:shd w:val="clear" w:color="auto" w:fill="0077C0"/>
          </w:tcPr>
          <w:p>
            <w:pPr>
              <w:spacing w:after="0"/>
              <w:rPr>
                <w:sz w:val="2"/>
                <w:szCs w:val="2"/>
                <w:color w:val="auto"/>
              </w:rPr>
            </w:pPr>
          </w:p>
        </w:tc>
        <w:tc>
          <w:tcPr>
            <w:tcW w:w="62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r>
    </w:tbl>
    <w:p>
      <w:pPr>
        <w:spacing w:after="0"/>
        <w:rPr>
          <w:sz w:val="20"/>
          <w:szCs w:val="20"/>
          <w:color w:val="auto"/>
        </w:rPr>
      </w:pPr>
      <w:r>
        <w:rPr>
          <w:rFonts w:ascii="Arial" w:cs="Arial" w:eastAsia="Arial" w:hAnsi="Arial"/>
          <w:sz w:val="9"/>
          <w:szCs w:val="9"/>
          <w:color w:val="auto"/>
        </w:rPr>
        <w:t>* Net of noncash additions of $5,153 in 2008, $3,560 in 2007 and $440 in 2006.</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0077C0"/>
        </w:rPr>
        <w:t>Stockholders’ Equity</w:t>
      </w:r>
    </w:p>
    <w:p>
      <w:pPr>
        <w:ind w:right="620"/>
        <w:spacing w:after="0" w:line="266" w:lineRule="auto"/>
        <w:rPr>
          <w:sz w:val="20"/>
          <w:szCs w:val="20"/>
          <w:color w:val="auto"/>
        </w:rPr>
      </w:pPr>
      <w:r>
        <w:rPr>
          <w:rFonts w:ascii="Arial" w:cs="Arial" w:eastAsia="Arial" w:hAnsi="Arial"/>
          <w:sz w:val="12"/>
          <w:szCs w:val="12"/>
          <w:color w:val="auto"/>
        </w:rPr>
        <w:t>Retained earnings at December 31, 2008 and 2007, included approximately $7,951 and $7,284, respectively, for the company’s share of undistributed earnings of equity affiliates.</w:t>
      </w:r>
    </w:p>
    <w:p>
      <w:pPr>
        <w:ind w:right="20" w:firstLine="153"/>
        <w:spacing w:after="0" w:line="248" w:lineRule="auto"/>
        <w:rPr>
          <w:sz w:val="20"/>
          <w:szCs w:val="20"/>
          <w:color w:val="auto"/>
        </w:rPr>
      </w:pPr>
      <w:r>
        <w:rPr>
          <w:rFonts w:ascii="Arial" w:cs="Arial" w:eastAsia="Arial" w:hAnsi="Arial"/>
          <w:sz w:val="13"/>
          <w:szCs w:val="13"/>
          <w:color w:val="auto"/>
        </w:rPr>
        <w:t>At December 31, 2008, about 109 million shares of Chevron’s common stock remained available for issuance from the 160 million shares that were reserved for issuance under the Chevron Corporation Long-Term Incentive Plan (LTIP). In addition, approximately 409,000 shares remain available for issuance from the 800,000 shares of the company’s common stock that were reserved for awards under the Chevron Corporation Non-Employee Directors’ Equity Compensation and Deferral Plan (Non-Employee Directors’ Plan).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0077C0"/>
        </w:rPr>
        <w:t>Summarized Financial Data – Chevron U.S.A. Inc.</w:t>
      </w:r>
    </w:p>
    <w:p>
      <w:pPr>
        <w:ind w:right="20"/>
        <w:spacing w:after="0" w:line="301" w:lineRule="auto"/>
        <w:rPr>
          <w:sz w:val="20"/>
          <w:szCs w:val="20"/>
          <w:color w:val="auto"/>
        </w:rPr>
      </w:pPr>
      <w:r>
        <w:rPr>
          <w:rFonts w:ascii="Arial" w:cs="Arial" w:eastAsia="Arial" w:hAnsi="Arial"/>
          <w:sz w:val="11"/>
          <w:szCs w:val="11"/>
          <w:color w:val="auto"/>
        </w:rPr>
        <w:t>Chevron U.S.A. Inc. (CUSA) is a major subsidiary of Chevron Corporation. CUSA and its subsidiaries manage and operate most of Chevron’s U.S. businesses. Assets include those related to the exploration and production of crude oil, natural gas and natural gas liquids and those associated with the refining, marketing, supply and distribution of products derived from petroleum, excluding most of the regulated pipeline operations of Chevron. CUSA also holds the company’s investment in the Chevron Phillips Chemical Company LLC joint venture, which is accounted for using the equity method.</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2"/>
          <w:szCs w:val="12"/>
          <w:color w:val="0077C0"/>
        </w:rPr>
        <w:t>Notes to the Consolidated Financial Statements</w:t>
      </w:r>
    </w:p>
    <w:p>
      <w:pPr>
        <w:jc w:val="right"/>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4 </w:t>
      </w:r>
      <w:r>
        <w:rPr>
          <w:rFonts w:ascii="Arial" w:cs="Arial" w:eastAsia="Arial" w:hAnsi="Arial"/>
          <w:sz w:val="8"/>
          <w:szCs w:val="8"/>
          <w:color w:val="000000"/>
        </w:rPr>
        <w:t>Summarized Financial Data – Chevron U.S.A. Inc. - Continued</w:t>
      </w:r>
    </w:p>
    <w:p>
      <w:pPr>
        <w:spacing w:after="0" w:line="200" w:lineRule="exact"/>
        <w:rPr>
          <w:sz w:val="20"/>
          <w:szCs w:val="20"/>
          <w:color w:val="auto"/>
        </w:rPr>
      </w:pPr>
    </w:p>
    <w:p>
      <w:pPr>
        <w:spacing w:after="0" w:line="281" w:lineRule="exact"/>
        <w:rPr>
          <w:sz w:val="20"/>
          <w:szCs w:val="20"/>
          <w:color w:val="auto"/>
        </w:rPr>
      </w:pPr>
    </w:p>
    <w:p>
      <w:pPr>
        <w:ind w:right="20" w:firstLine="160"/>
        <w:spacing w:after="0" w:line="250" w:lineRule="auto"/>
        <w:rPr>
          <w:sz w:val="20"/>
          <w:szCs w:val="20"/>
          <w:color w:val="auto"/>
        </w:rPr>
      </w:pPr>
      <w:r>
        <w:rPr>
          <w:rFonts w:ascii="Arial" w:cs="Arial" w:eastAsia="Arial" w:hAnsi="Arial"/>
          <w:sz w:val="13"/>
          <w:szCs w:val="13"/>
          <w:color w:val="auto"/>
        </w:rPr>
        <w:t>During 2008, Chevron implemented legal reorganizations in which certain Chevron subsidiaries transferred assets to or under CUSA. The summarized financial information for CUSA and its consolidated subsidiaries presented in the table below gives retroactive effect to the reorganizations as if they had occurred on January 1, 2006. However, the financial information in the following table may not reflect the financial position and operating results in the periods presented if the reorganization actually had occurred on that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58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spacing w:after="0"/>
              <w:rPr>
                <w:sz w:val="10"/>
                <w:szCs w:val="10"/>
                <w:color w:val="auto"/>
              </w:rPr>
            </w:pPr>
          </w:p>
        </w:tc>
        <w:tc>
          <w:tcPr>
            <w:tcW w:w="100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w w:val="85"/>
              </w:rPr>
              <w:t>Year ended December 31</w:t>
            </w:r>
          </w:p>
        </w:tc>
      </w:tr>
      <w:tr>
        <w:trPr>
          <w:trHeight w:val="95"/>
        </w:trPr>
        <w:tc>
          <w:tcPr>
            <w:tcW w:w="3620" w:type="dxa"/>
            <w:vAlign w:val="bottom"/>
            <w:tcBorders>
              <w:bottom w:val="single" w:sz="8" w:color="0077C0"/>
            </w:tcBorders>
          </w:tcPr>
          <w:p>
            <w:pPr>
              <w:spacing w:after="0"/>
              <w:rPr>
                <w:sz w:val="8"/>
                <w:szCs w:val="8"/>
                <w:color w:val="auto"/>
              </w:rPr>
            </w:pPr>
          </w:p>
        </w:tc>
        <w:tc>
          <w:tcPr>
            <w:tcW w:w="580" w:type="dxa"/>
            <w:vAlign w:val="bottom"/>
            <w:tcBorders>
              <w:bottom w:val="single" w:sz="8" w:color="0077C0"/>
            </w:tcBorders>
          </w:tcPr>
          <w:p>
            <w:pPr>
              <w:jc w:val="right"/>
              <w:ind w:right="110"/>
              <w:spacing w:after="0" w:line="95" w:lineRule="exact"/>
              <w:rPr>
                <w:sz w:val="20"/>
                <w:szCs w:val="20"/>
                <w:color w:val="auto"/>
              </w:rPr>
            </w:pPr>
            <w:r>
              <w:rPr>
                <w:rFonts w:ascii="Arial" w:cs="Arial" w:eastAsia="Arial" w:hAnsi="Arial"/>
                <w:sz w:val="10"/>
                <w:szCs w:val="10"/>
                <w:b w:val="1"/>
                <w:bCs w:val="1"/>
                <w:color w:val="auto"/>
              </w:rPr>
              <w:t>2008</w:t>
            </w:r>
          </w:p>
        </w:tc>
        <w:tc>
          <w:tcPr>
            <w:tcW w:w="800" w:type="dxa"/>
            <w:vAlign w:val="bottom"/>
            <w:tcBorders>
              <w:bottom w:val="single" w:sz="8" w:color="0077C0"/>
            </w:tcBorders>
            <w:gridSpan w:val="2"/>
          </w:tcPr>
          <w:p>
            <w:pPr>
              <w:jc w:val="right"/>
              <w:ind w:right="232"/>
              <w:spacing w:after="0" w:line="95" w:lineRule="exact"/>
              <w:rPr>
                <w:sz w:val="20"/>
                <w:szCs w:val="20"/>
                <w:color w:val="auto"/>
              </w:rPr>
            </w:pPr>
            <w:r>
              <w:rPr>
                <w:rFonts w:ascii="Arial" w:cs="Arial" w:eastAsia="Arial" w:hAnsi="Arial"/>
                <w:sz w:val="10"/>
                <w:szCs w:val="10"/>
                <w:color w:val="auto"/>
              </w:rPr>
              <w:t>2007</w:t>
            </w:r>
          </w:p>
        </w:tc>
        <w:tc>
          <w:tcPr>
            <w:tcW w:w="160" w:type="dxa"/>
            <w:vAlign w:val="bottom"/>
            <w:tcBorders>
              <w:bottom w:val="single" w:sz="8" w:color="0077C0"/>
            </w:tcBorders>
          </w:tcPr>
          <w:p>
            <w:pPr>
              <w:spacing w:after="0"/>
              <w:rPr>
                <w:sz w:val="8"/>
                <w:szCs w:val="8"/>
                <w:color w:val="auto"/>
              </w:rPr>
            </w:pPr>
          </w:p>
        </w:tc>
        <w:tc>
          <w:tcPr>
            <w:tcW w:w="30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r>
      <w:tr>
        <w:trPr>
          <w:trHeight w:val="90"/>
        </w:trPr>
        <w:tc>
          <w:tcPr>
            <w:tcW w:w="3620" w:type="dxa"/>
            <w:vAlign w:val="bottom"/>
          </w:tcPr>
          <w:p>
            <w:pPr>
              <w:spacing w:after="0" w:line="91" w:lineRule="exact"/>
              <w:rPr>
                <w:sz w:val="20"/>
                <w:szCs w:val="20"/>
                <w:color w:val="auto"/>
              </w:rPr>
            </w:pPr>
            <w:r>
              <w:rPr>
                <w:rFonts w:ascii="Arial" w:cs="Arial" w:eastAsia="Arial" w:hAnsi="Arial"/>
                <w:sz w:val="10"/>
                <w:szCs w:val="10"/>
                <w:color w:val="auto"/>
              </w:rPr>
              <w:t>Sales and other operating revenues</w:t>
            </w:r>
          </w:p>
        </w:tc>
        <w:tc>
          <w:tcPr>
            <w:tcW w:w="58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w w:val="89"/>
              </w:rPr>
              <w:t>$ 195,593</w:t>
            </w:r>
          </w:p>
        </w:tc>
        <w:tc>
          <w:tcPr>
            <w:tcW w:w="800" w:type="dxa"/>
            <w:vAlign w:val="bottom"/>
            <w:gridSpan w:val="2"/>
          </w:tcPr>
          <w:p>
            <w:pPr>
              <w:jc w:val="right"/>
              <w:ind w:right="232"/>
              <w:spacing w:after="0" w:line="91" w:lineRule="exact"/>
              <w:rPr>
                <w:sz w:val="20"/>
                <w:szCs w:val="20"/>
                <w:color w:val="auto"/>
              </w:rPr>
            </w:pPr>
            <w:r>
              <w:rPr>
                <w:rFonts w:ascii="Arial" w:cs="Arial" w:eastAsia="Arial" w:hAnsi="Arial"/>
                <w:sz w:val="10"/>
                <w:szCs w:val="10"/>
                <w:color w:val="auto"/>
              </w:rPr>
              <w:t>$ 153,574</w:t>
            </w:r>
          </w:p>
        </w:tc>
        <w:tc>
          <w:tcPr>
            <w:tcW w:w="460" w:type="dxa"/>
            <w:vAlign w:val="bottom"/>
            <w:gridSpan w:val="2"/>
          </w:tcPr>
          <w:p>
            <w:pPr>
              <w:jc w:val="right"/>
              <w:spacing w:after="0" w:line="91" w:lineRule="exact"/>
              <w:rPr>
                <w:sz w:val="20"/>
                <w:szCs w:val="20"/>
                <w:color w:val="auto"/>
              </w:rPr>
            </w:pPr>
            <w:r>
              <w:rPr>
                <w:rFonts w:ascii="Arial" w:cs="Arial" w:eastAsia="Arial" w:hAnsi="Arial"/>
                <w:sz w:val="10"/>
                <w:szCs w:val="10"/>
                <w:color w:val="auto"/>
                <w:w w:val="98"/>
              </w:rPr>
              <w:t>$ 145,774</w:t>
            </w:r>
          </w:p>
        </w:tc>
      </w:tr>
      <w:tr>
        <w:trPr>
          <w:trHeight w:val="106"/>
        </w:trPr>
        <w:tc>
          <w:tcPr>
            <w:tcW w:w="3620" w:type="dxa"/>
            <w:vAlign w:val="bottom"/>
          </w:tcPr>
          <w:p>
            <w:pPr>
              <w:spacing w:after="0" w:line="106" w:lineRule="exact"/>
              <w:rPr>
                <w:sz w:val="20"/>
                <w:szCs w:val="20"/>
                <w:color w:val="auto"/>
              </w:rPr>
            </w:pPr>
            <w:r>
              <w:rPr>
                <w:rFonts w:ascii="Arial" w:cs="Arial" w:eastAsia="Arial" w:hAnsi="Arial"/>
                <w:sz w:val="10"/>
                <w:szCs w:val="10"/>
                <w:color w:val="auto"/>
              </w:rPr>
              <w:t>Total costs and other deductions</w:t>
            </w:r>
          </w:p>
        </w:tc>
        <w:tc>
          <w:tcPr>
            <w:tcW w:w="58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185,788</w:t>
            </w:r>
          </w:p>
        </w:tc>
        <w:tc>
          <w:tcPr>
            <w:tcW w:w="800" w:type="dxa"/>
            <w:vAlign w:val="bottom"/>
            <w:gridSpan w:val="2"/>
          </w:tcPr>
          <w:p>
            <w:pPr>
              <w:jc w:val="right"/>
              <w:ind w:right="232"/>
              <w:spacing w:after="0" w:line="106" w:lineRule="exact"/>
              <w:rPr>
                <w:sz w:val="20"/>
                <w:szCs w:val="20"/>
                <w:color w:val="auto"/>
              </w:rPr>
            </w:pPr>
            <w:r>
              <w:rPr>
                <w:rFonts w:ascii="Arial" w:cs="Arial" w:eastAsia="Arial" w:hAnsi="Arial"/>
                <w:sz w:val="10"/>
                <w:szCs w:val="10"/>
                <w:color w:val="auto"/>
              </w:rPr>
              <w:t>147,510</w:t>
            </w:r>
          </w:p>
        </w:tc>
        <w:tc>
          <w:tcPr>
            <w:tcW w:w="4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137,765</w:t>
            </w:r>
          </w:p>
        </w:tc>
      </w:tr>
      <w:tr>
        <w:trPr>
          <w:trHeight w:val="129"/>
        </w:trPr>
        <w:tc>
          <w:tcPr>
            <w:tcW w:w="36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Net income</w:t>
            </w:r>
          </w:p>
        </w:tc>
        <w:tc>
          <w:tcPr>
            <w:tcW w:w="58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7,237</w:t>
            </w:r>
          </w:p>
        </w:tc>
        <w:tc>
          <w:tcPr>
            <w:tcW w:w="800" w:type="dxa"/>
            <w:vAlign w:val="bottom"/>
            <w:tcBorders>
              <w:bottom w:val="single" w:sz="8" w:color="0077C0"/>
            </w:tcBorders>
            <w:gridSpan w:val="2"/>
          </w:tcPr>
          <w:p>
            <w:pPr>
              <w:jc w:val="right"/>
              <w:ind w:right="232"/>
              <w:spacing w:after="0"/>
              <w:rPr>
                <w:sz w:val="20"/>
                <w:szCs w:val="20"/>
                <w:color w:val="auto"/>
              </w:rPr>
            </w:pPr>
            <w:r>
              <w:rPr>
                <w:rFonts w:ascii="Arial" w:cs="Arial" w:eastAsia="Arial" w:hAnsi="Arial"/>
                <w:sz w:val="10"/>
                <w:szCs w:val="10"/>
                <w:color w:val="auto"/>
              </w:rPr>
              <w:t>5,203</w:t>
            </w:r>
          </w:p>
        </w:tc>
        <w:tc>
          <w:tcPr>
            <w:tcW w:w="160" w:type="dxa"/>
            <w:vAlign w:val="bottom"/>
            <w:tcBorders>
              <w:bottom w:val="single" w:sz="8" w:color="0077C0"/>
            </w:tcBorders>
          </w:tcPr>
          <w:p>
            <w:pPr>
              <w:spacing w:after="0"/>
              <w:rPr>
                <w:sz w:val="11"/>
                <w:szCs w:val="11"/>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5,668</w:t>
            </w:r>
          </w:p>
        </w:tc>
      </w:tr>
      <w:tr>
        <w:trPr>
          <w:trHeight w:val="221"/>
        </w:trPr>
        <w:tc>
          <w:tcPr>
            <w:tcW w:w="3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rPr>
              <w:t>At December 31</w:t>
            </w:r>
          </w:p>
        </w:tc>
      </w:tr>
      <w:tr>
        <w:trPr>
          <w:trHeight w:val="95"/>
        </w:trPr>
        <w:tc>
          <w:tcPr>
            <w:tcW w:w="3620" w:type="dxa"/>
            <w:vAlign w:val="bottom"/>
            <w:tcBorders>
              <w:bottom w:val="single" w:sz="8" w:color="0077C0"/>
            </w:tcBorders>
          </w:tcPr>
          <w:p>
            <w:pPr>
              <w:spacing w:after="0"/>
              <w:rPr>
                <w:sz w:val="8"/>
                <w:szCs w:val="8"/>
                <w:color w:val="auto"/>
              </w:rPr>
            </w:pPr>
          </w:p>
        </w:tc>
        <w:tc>
          <w:tcPr>
            <w:tcW w:w="58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spacing w:after="0"/>
              <w:rPr>
                <w:sz w:val="8"/>
                <w:szCs w:val="8"/>
                <w:color w:val="auto"/>
              </w:rPr>
            </w:pPr>
          </w:p>
        </w:tc>
        <w:tc>
          <w:tcPr>
            <w:tcW w:w="540" w:type="dxa"/>
            <w:vAlign w:val="bottom"/>
            <w:tcBorders>
              <w:bottom w:val="single" w:sz="8" w:color="0077C0"/>
            </w:tcBorders>
          </w:tcPr>
          <w:p>
            <w:pPr>
              <w:jc w:val="right"/>
              <w:ind w:right="112"/>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0077C0"/>
            </w:tcBorders>
          </w:tcPr>
          <w:p>
            <w:pPr>
              <w:spacing w:after="0"/>
              <w:rPr>
                <w:sz w:val="8"/>
                <w:szCs w:val="8"/>
                <w:color w:val="auto"/>
              </w:rPr>
            </w:pPr>
          </w:p>
        </w:tc>
        <w:tc>
          <w:tcPr>
            <w:tcW w:w="30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r>
      <w:tr>
        <w:trPr>
          <w:trHeight w:val="90"/>
        </w:trPr>
        <w:tc>
          <w:tcPr>
            <w:tcW w:w="362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580" w:type="dxa"/>
            <w:vAlign w:val="bottom"/>
          </w:tcPr>
          <w:p>
            <w:pPr>
              <w:spacing w:after="0"/>
              <w:rPr>
                <w:sz w:val="7"/>
                <w:szCs w:val="7"/>
                <w:color w:val="auto"/>
              </w:rPr>
            </w:pPr>
          </w:p>
        </w:tc>
        <w:tc>
          <w:tcPr>
            <w:tcW w:w="800" w:type="dxa"/>
            <w:vAlign w:val="bottom"/>
            <w:tcBorders>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$ 32,760</w:t>
            </w:r>
          </w:p>
        </w:tc>
        <w:tc>
          <w:tcPr>
            <w:tcW w:w="1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1"/>
              </w:rPr>
              <w:t>32,801</w:t>
            </w:r>
          </w:p>
        </w:tc>
      </w:tr>
      <w:tr>
        <w:trPr>
          <w:trHeight w:val="106"/>
        </w:trPr>
        <w:tc>
          <w:tcPr>
            <w:tcW w:w="3620" w:type="dxa"/>
            <w:vAlign w:val="bottom"/>
          </w:tcPr>
          <w:p>
            <w:pPr>
              <w:spacing w:after="0" w:line="106" w:lineRule="exact"/>
              <w:rPr>
                <w:sz w:val="20"/>
                <w:szCs w:val="20"/>
                <w:color w:val="auto"/>
              </w:rPr>
            </w:pPr>
            <w:r>
              <w:rPr>
                <w:rFonts w:ascii="Arial" w:cs="Arial" w:eastAsia="Arial" w:hAnsi="Arial"/>
                <w:sz w:val="10"/>
                <w:szCs w:val="10"/>
                <w:color w:val="auto"/>
              </w:rPr>
              <w:t>Other assets</w:t>
            </w:r>
          </w:p>
        </w:tc>
        <w:tc>
          <w:tcPr>
            <w:tcW w:w="580" w:type="dxa"/>
            <w:vAlign w:val="bottom"/>
          </w:tcPr>
          <w:p>
            <w:pPr>
              <w:spacing w:after="0"/>
              <w:rPr>
                <w:sz w:val="9"/>
                <w:szCs w:val="9"/>
                <w:color w:val="auto"/>
              </w:rPr>
            </w:pPr>
          </w:p>
        </w:tc>
        <w:tc>
          <w:tcPr>
            <w:tcW w:w="80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31,806</w:t>
            </w:r>
          </w:p>
        </w:tc>
        <w:tc>
          <w:tcPr>
            <w:tcW w:w="16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1"/>
              </w:rPr>
              <w:t>27,400</w:t>
            </w:r>
          </w:p>
        </w:tc>
      </w:tr>
      <w:tr>
        <w:trPr>
          <w:trHeight w:val="106"/>
        </w:trPr>
        <w:tc>
          <w:tcPr>
            <w:tcW w:w="3620" w:type="dxa"/>
            <w:vAlign w:val="bottom"/>
          </w:tcPr>
          <w:p>
            <w:pPr>
              <w:spacing w:after="0" w:line="106" w:lineRule="exact"/>
              <w:rPr>
                <w:sz w:val="20"/>
                <w:szCs w:val="20"/>
                <w:color w:val="auto"/>
              </w:rPr>
            </w:pPr>
            <w:r>
              <w:rPr>
                <w:rFonts w:ascii="Arial" w:cs="Arial" w:eastAsia="Arial" w:hAnsi="Arial"/>
                <w:sz w:val="10"/>
                <w:szCs w:val="10"/>
                <w:color w:val="auto"/>
              </w:rPr>
              <w:t>Current liabilities</w:t>
            </w:r>
          </w:p>
        </w:tc>
        <w:tc>
          <w:tcPr>
            <w:tcW w:w="580" w:type="dxa"/>
            <w:vAlign w:val="bottom"/>
          </w:tcPr>
          <w:p>
            <w:pPr>
              <w:spacing w:after="0"/>
              <w:rPr>
                <w:sz w:val="9"/>
                <w:szCs w:val="9"/>
                <w:color w:val="auto"/>
              </w:rPr>
            </w:pPr>
          </w:p>
        </w:tc>
        <w:tc>
          <w:tcPr>
            <w:tcW w:w="80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14,322</w:t>
            </w:r>
          </w:p>
        </w:tc>
        <w:tc>
          <w:tcPr>
            <w:tcW w:w="16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91"/>
              </w:rPr>
              <w:t>20,050</w:t>
            </w:r>
          </w:p>
        </w:tc>
      </w:tr>
      <w:tr>
        <w:trPr>
          <w:trHeight w:val="120"/>
        </w:trPr>
        <w:tc>
          <w:tcPr>
            <w:tcW w:w="36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liabilities</w:t>
            </w:r>
          </w:p>
        </w:tc>
        <w:tc>
          <w:tcPr>
            <w:tcW w:w="5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14,805</w:t>
            </w:r>
          </w:p>
        </w:tc>
        <w:tc>
          <w:tcPr>
            <w:tcW w:w="16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1"/>
              </w:rPr>
              <w:t>11,447</w:t>
            </w:r>
          </w:p>
        </w:tc>
      </w:tr>
      <w:tr>
        <w:trPr>
          <w:trHeight w:val="114"/>
        </w:trPr>
        <w:tc>
          <w:tcPr>
            <w:tcW w:w="36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Net equity</w:t>
            </w:r>
          </w:p>
        </w:tc>
        <w:tc>
          <w:tcPr>
            <w:tcW w:w="580" w:type="dxa"/>
            <w:vAlign w:val="bottom"/>
            <w:tcBorders>
              <w:bottom w:val="single" w:sz="8" w:color="0077C0"/>
            </w:tcBorders>
          </w:tcPr>
          <w:p>
            <w:pPr>
              <w:spacing w:after="0"/>
              <w:rPr>
                <w:sz w:val="9"/>
                <w:szCs w:val="9"/>
                <w:color w:val="auto"/>
              </w:rPr>
            </w:pPr>
          </w:p>
        </w:tc>
        <w:tc>
          <w:tcPr>
            <w:tcW w:w="800" w:type="dxa"/>
            <w:vAlign w:val="bottom"/>
            <w:tcBorders>
              <w:bottom w:val="single" w:sz="8" w:color="0077C0"/>
              <w:right w:val="single" w:sz="8" w:color="0077C0"/>
            </w:tcBorders>
            <w:gridSpan w:val="2"/>
          </w:tcPr>
          <w:p>
            <w:pPr>
              <w:jc w:val="right"/>
              <w:ind w:right="112"/>
              <w:spacing w:after="0" w:line="105" w:lineRule="exact"/>
              <w:rPr>
                <w:sz w:val="20"/>
                <w:szCs w:val="20"/>
                <w:color w:val="auto"/>
              </w:rPr>
            </w:pPr>
            <w:r>
              <w:rPr>
                <w:rFonts w:ascii="Arial" w:cs="Arial" w:eastAsia="Arial" w:hAnsi="Arial"/>
                <w:sz w:val="10"/>
                <w:szCs w:val="10"/>
                <w:b w:val="1"/>
                <w:bCs w:val="1"/>
                <w:color w:val="auto"/>
              </w:rPr>
              <w:t>35,439</w:t>
            </w:r>
          </w:p>
        </w:tc>
        <w:tc>
          <w:tcPr>
            <w:tcW w:w="16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28,704</w:t>
            </w:r>
          </w:p>
        </w:tc>
      </w:tr>
      <w:tr>
        <w:trPr>
          <w:trHeight w:val="115"/>
        </w:trPr>
        <w:tc>
          <w:tcPr>
            <w:tcW w:w="3620" w:type="dxa"/>
            <w:vAlign w:val="bottom"/>
          </w:tcPr>
          <w:p>
            <w:pPr>
              <w:spacing w:after="0"/>
              <w:rPr>
                <w:sz w:val="20"/>
                <w:szCs w:val="20"/>
                <w:color w:val="auto"/>
              </w:rPr>
            </w:pPr>
            <w:r>
              <w:rPr>
                <w:rFonts w:ascii="Arial" w:cs="Arial" w:eastAsia="Arial" w:hAnsi="Arial"/>
                <w:sz w:val="10"/>
                <w:szCs w:val="10"/>
                <w:color w:val="auto"/>
              </w:rPr>
              <w:t>Memo: Total debt</w:t>
            </w:r>
          </w:p>
        </w:tc>
        <w:tc>
          <w:tcPr>
            <w:tcW w:w="580" w:type="dxa"/>
            <w:vAlign w:val="bottom"/>
          </w:tcPr>
          <w:p>
            <w:pPr>
              <w:spacing w:after="0"/>
              <w:rPr>
                <w:sz w:val="10"/>
                <w:szCs w:val="10"/>
                <w:color w:val="auto"/>
              </w:rPr>
            </w:pPr>
          </w:p>
        </w:tc>
        <w:tc>
          <w:tcPr>
            <w:tcW w:w="800" w:type="dxa"/>
            <w:vAlign w:val="bottom"/>
            <w:tcBorders>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  6,813</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4,433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0077C0"/>
        </w:rPr>
        <w:t>Summarized Financial Data – Tengizchevroil LLP.</w:t>
      </w:r>
    </w:p>
    <w:p>
      <w:pPr>
        <w:ind w:right="220"/>
        <w:spacing w:after="0" w:line="245" w:lineRule="auto"/>
        <w:rPr>
          <w:sz w:val="20"/>
          <w:szCs w:val="20"/>
          <w:color w:val="auto"/>
        </w:rPr>
      </w:pPr>
      <w:r>
        <w:rPr>
          <w:rFonts w:ascii="Arial" w:cs="Arial" w:eastAsia="Arial" w:hAnsi="Arial"/>
          <w:sz w:val="13"/>
          <w:szCs w:val="13"/>
          <w:color w:val="auto"/>
        </w:rPr>
        <w:t>Chevron has a 50 percent equity ownership interest in Tengizchevroil LLP (TCO). Refer to Note 12 on page FS-41 for a discussion of TCO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Summarized financial information for 100 percent of TCO is presented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98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83"/>
              </w:rPr>
              <w:t>Year ended December 31</w:t>
            </w:r>
          </w:p>
        </w:tc>
      </w:tr>
      <w:tr>
        <w:trPr>
          <w:trHeight w:val="95"/>
        </w:trPr>
        <w:tc>
          <w:tcPr>
            <w:tcW w:w="20" w:type="dxa"/>
            <w:vAlign w:val="bottom"/>
          </w:tcPr>
          <w:p>
            <w:pPr>
              <w:spacing w:after="0"/>
              <w:rPr>
                <w:sz w:val="8"/>
                <w:szCs w:val="8"/>
                <w:color w:val="auto"/>
              </w:rPr>
            </w:pPr>
          </w:p>
        </w:tc>
        <w:tc>
          <w:tcPr>
            <w:tcW w:w="2620" w:type="dxa"/>
            <w:vAlign w:val="bottom"/>
            <w:tcBorders>
              <w:bottom w:val="single" w:sz="8" w:color="0077C0"/>
            </w:tcBorders>
          </w:tcPr>
          <w:p>
            <w:pPr>
              <w:spacing w:after="0"/>
              <w:rPr>
                <w:sz w:val="8"/>
                <w:szCs w:val="8"/>
                <w:color w:val="auto"/>
              </w:rPr>
            </w:pPr>
          </w:p>
        </w:tc>
        <w:tc>
          <w:tcPr>
            <w:tcW w:w="1220" w:type="dxa"/>
            <w:vAlign w:val="bottom"/>
            <w:tcBorders>
              <w:bottom w:val="single" w:sz="8" w:color="0077C0"/>
            </w:tcBorders>
          </w:tcPr>
          <w:p>
            <w:pPr>
              <w:spacing w:after="0"/>
              <w:rPr>
                <w:sz w:val="8"/>
                <w:szCs w:val="8"/>
                <w:color w:val="auto"/>
              </w:rPr>
            </w:pPr>
          </w:p>
        </w:tc>
        <w:tc>
          <w:tcPr>
            <w:tcW w:w="540" w:type="dxa"/>
            <w:vAlign w:val="bottom"/>
            <w:tcBorders>
              <w:bottom w:val="single" w:sz="8" w:color="0077C0"/>
            </w:tcBorders>
          </w:tcPr>
          <w:p>
            <w:pPr>
              <w:jc w:val="right"/>
              <w:ind w:right="112"/>
              <w:spacing w:after="0" w:line="95" w:lineRule="exact"/>
              <w:rPr>
                <w:sz w:val="20"/>
                <w:szCs w:val="20"/>
                <w:color w:val="auto"/>
              </w:rPr>
            </w:pPr>
            <w:r>
              <w:rPr>
                <w:rFonts w:ascii="Arial" w:cs="Arial" w:eastAsia="Arial" w:hAnsi="Arial"/>
                <w:sz w:val="10"/>
                <w:szCs w:val="10"/>
                <w:b w:val="1"/>
                <w:bCs w:val="1"/>
                <w:color w:val="auto"/>
              </w:rPr>
              <w:t>2008</w:t>
            </w:r>
          </w:p>
        </w:tc>
        <w:tc>
          <w:tcPr>
            <w:tcW w:w="600" w:type="dxa"/>
            <w:vAlign w:val="bottom"/>
            <w:tcBorders>
              <w:bottom w:val="single" w:sz="8" w:color="0077C0"/>
            </w:tcBorders>
            <w:gridSpan w:val="2"/>
          </w:tcPr>
          <w:p>
            <w:pPr>
              <w:jc w:val="right"/>
              <w:ind w:right="132"/>
              <w:spacing w:after="0" w:line="95" w:lineRule="exact"/>
              <w:rPr>
                <w:sz w:val="20"/>
                <w:szCs w:val="20"/>
                <w:color w:val="auto"/>
              </w:rPr>
            </w:pPr>
            <w:r>
              <w:rPr>
                <w:rFonts w:ascii="Arial" w:cs="Arial" w:eastAsia="Arial" w:hAnsi="Arial"/>
                <w:sz w:val="10"/>
                <w:szCs w:val="10"/>
                <w:color w:val="auto"/>
              </w:rPr>
              <w:t>2007</w:t>
            </w:r>
          </w:p>
        </w:tc>
        <w:tc>
          <w:tcPr>
            <w:tcW w:w="4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r>
      <w:tr>
        <w:trPr>
          <w:trHeight w:val="90"/>
        </w:trPr>
        <w:tc>
          <w:tcPr>
            <w:tcW w:w="20" w:type="dxa"/>
            <w:vAlign w:val="bottom"/>
          </w:tcPr>
          <w:p>
            <w:pPr>
              <w:spacing w:after="0"/>
              <w:rPr>
                <w:sz w:val="7"/>
                <w:szCs w:val="7"/>
                <w:color w:val="auto"/>
              </w:rPr>
            </w:pPr>
          </w:p>
        </w:tc>
        <w:tc>
          <w:tcPr>
            <w:tcW w:w="2620" w:type="dxa"/>
            <w:vAlign w:val="bottom"/>
          </w:tcPr>
          <w:p>
            <w:pPr>
              <w:spacing w:after="0" w:line="91" w:lineRule="exact"/>
              <w:rPr>
                <w:sz w:val="20"/>
                <w:szCs w:val="20"/>
                <w:color w:val="auto"/>
              </w:rPr>
            </w:pPr>
            <w:r>
              <w:rPr>
                <w:rFonts w:ascii="Arial" w:cs="Arial" w:eastAsia="Arial" w:hAnsi="Arial"/>
                <w:sz w:val="10"/>
                <w:szCs w:val="10"/>
                <w:color w:val="auto"/>
              </w:rPr>
              <w:t>Sales and other operating revenues</w:t>
            </w:r>
          </w:p>
        </w:tc>
        <w:tc>
          <w:tcPr>
            <w:tcW w:w="1760" w:type="dxa"/>
            <w:vAlign w:val="bottom"/>
            <w:tcBorders>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$ 14,329</w:t>
            </w:r>
          </w:p>
        </w:tc>
        <w:tc>
          <w:tcPr>
            <w:tcW w:w="600" w:type="dxa"/>
            <w:vAlign w:val="bottom"/>
            <w:gridSpan w:val="2"/>
          </w:tcPr>
          <w:p>
            <w:pPr>
              <w:jc w:val="right"/>
              <w:ind w:right="132"/>
              <w:spacing w:after="0" w:line="91" w:lineRule="exact"/>
              <w:rPr>
                <w:sz w:val="20"/>
                <w:szCs w:val="20"/>
                <w:color w:val="auto"/>
              </w:rPr>
            </w:pPr>
            <w:r>
              <w:rPr>
                <w:rFonts w:ascii="Arial" w:cs="Arial" w:eastAsia="Arial" w:hAnsi="Arial"/>
                <w:sz w:val="10"/>
                <w:szCs w:val="10"/>
                <w:color w:val="auto"/>
              </w:rPr>
              <w:t>$ 8,919</w:t>
            </w: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$ 7,654</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Costs and other deductions</w:t>
            </w:r>
          </w:p>
        </w:tc>
        <w:tc>
          <w:tcPr>
            <w:tcW w:w="176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5,621</w:t>
            </w:r>
          </w:p>
        </w:tc>
        <w:tc>
          <w:tcPr>
            <w:tcW w:w="600" w:type="dxa"/>
            <w:vAlign w:val="bottom"/>
            <w:gridSpan w:val="2"/>
          </w:tcPr>
          <w:p>
            <w:pPr>
              <w:jc w:val="right"/>
              <w:ind w:right="132"/>
              <w:spacing w:after="0" w:line="106" w:lineRule="exact"/>
              <w:rPr>
                <w:sz w:val="20"/>
                <w:szCs w:val="20"/>
                <w:color w:val="auto"/>
              </w:rPr>
            </w:pPr>
            <w:r>
              <w:rPr>
                <w:rFonts w:ascii="Arial" w:cs="Arial" w:eastAsia="Arial" w:hAnsi="Arial"/>
                <w:sz w:val="10"/>
                <w:szCs w:val="10"/>
                <w:color w:val="auto"/>
              </w:rPr>
              <w:t>3,387</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2,967</w:t>
            </w:r>
          </w:p>
        </w:tc>
      </w:tr>
      <w:tr>
        <w:trPr>
          <w:trHeight w:val="129"/>
        </w:trPr>
        <w:tc>
          <w:tcPr>
            <w:tcW w:w="26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1760" w:type="dxa"/>
            <w:vAlign w:val="bottom"/>
            <w:tcBorders>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6,134</w:t>
            </w:r>
          </w:p>
        </w:tc>
        <w:tc>
          <w:tcPr>
            <w:tcW w:w="600" w:type="dxa"/>
            <w:vAlign w:val="bottom"/>
            <w:gridSpan w:val="2"/>
          </w:tcPr>
          <w:p>
            <w:pPr>
              <w:jc w:val="right"/>
              <w:ind w:right="132"/>
              <w:spacing w:after="0"/>
              <w:rPr>
                <w:sz w:val="20"/>
                <w:szCs w:val="20"/>
                <w:color w:val="auto"/>
              </w:rPr>
            </w:pPr>
            <w:r>
              <w:rPr>
                <w:rFonts w:ascii="Arial" w:cs="Arial" w:eastAsia="Arial" w:hAnsi="Arial"/>
                <w:sz w:val="10"/>
                <w:szCs w:val="10"/>
                <w:color w:val="auto"/>
              </w:rPr>
              <w:t>3,952</w:t>
            </w:r>
          </w:p>
        </w:tc>
        <w:tc>
          <w:tcPr>
            <w:tcW w:w="460" w:type="dxa"/>
            <w:vAlign w:val="bottom"/>
          </w:tcPr>
          <w:p>
            <w:pPr>
              <w:jc w:val="right"/>
              <w:spacing w:after="0"/>
              <w:rPr>
                <w:sz w:val="20"/>
                <w:szCs w:val="20"/>
                <w:color w:val="auto"/>
              </w:rPr>
            </w:pPr>
            <w:r>
              <w:rPr>
                <w:rFonts w:ascii="Arial" w:cs="Arial" w:eastAsia="Arial" w:hAnsi="Arial"/>
                <w:sz w:val="10"/>
                <w:szCs w:val="10"/>
                <w:color w:val="auto"/>
              </w:rPr>
              <w:t>3,315</w:t>
            </w:r>
          </w:p>
        </w:tc>
      </w:tr>
      <w:tr>
        <w:trPr>
          <w:trHeight w:val="221"/>
        </w:trPr>
        <w:tc>
          <w:tcPr>
            <w:tcW w:w="20" w:type="dxa"/>
            <w:vAlign w:val="bottom"/>
          </w:tcPr>
          <w:p>
            <w:pPr>
              <w:spacing w:after="0"/>
              <w:rPr>
                <w:sz w:val="19"/>
                <w:szCs w:val="19"/>
                <w:color w:val="auto"/>
              </w:rPr>
            </w:pPr>
          </w:p>
        </w:tc>
        <w:tc>
          <w:tcPr>
            <w:tcW w:w="2620" w:type="dxa"/>
            <w:vAlign w:val="bottom"/>
            <w:tcBorders>
              <w:top w:val="single" w:sz="8" w:color="0077C0"/>
            </w:tcBorders>
          </w:tcPr>
          <w:p>
            <w:pPr>
              <w:spacing w:after="0"/>
              <w:rPr>
                <w:sz w:val="19"/>
                <w:szCs w:val="19"/>
                <w:color w:val="auto"/>
              </w:rPr>
            </w:pPr>
          </w:p>
        </w:tc>
        <w:tc>
          <w:tcPr>
            <w:tcW w:w="1220" w:type="dxa"/>
            <w:vAlign w:val="bottom"/>
            <w:tcBorders>
              <w:top w:val="single" w:sz="8" w:color="0077C0"/>
            </w:tcBorders>
          </w:tcPr>
          <w:p>
            <w:pPr>
              <w:spacing w:after="0"/>
              <w:rPr>
                <w:sz w:val="19"/>
                <w:szCs w:val="19"/>
                <w:color w:val="auto"/>
              </w:rPr>
            </w:pPr>
          </w:p>
        </w:tc>
        <w:tc>
          <w:tcPr>
            <w:tcW w:w="540" w:type="dxa"/>
            <w:vAlign w:val="bottom"/>
            <w:tcBorders>
              <w:top w:val="single" w:sz="8" w:color="0077C0"/>
            </w:tcBorders>
          </w:tcPr>
          <w:p>
            <w:pPr>
              <w:spacing w:after="0"/>
              <w:rPr>
                <w:sz w:val="19"/>
                <w:szCs w:val="19"/>
                <w:color w:val="auto"/>
              </w:rPr>
            </w:pPr>
          </w:p>
        </w:tc>
        <w:tc>
          <w:tcPr>
            <w:tcW w:w="80" w:type="dxa"/>
            <w:vAlign w:val="bottom"/>
            <w:tcBorders>
              <w:top w:val="single" w:sz="8" w:color="0077C0"/>
            </w:tcBorders>
          </w:tcPr>
          <w:p>
            <w:pPr>
              <w:spacing w:after="0"/>
              <w:rPr>
                <w:sz w:val="19"/>
                <w:szCs w:val="19"/>
                <w:color w:val="auto"/>
              </w:rPr>
            </w:pPr>
          </w:p>
        </w:tc>
        <w:tc>
          <w:tcPr>
            <w:tcW w:w="980" w:type="dxa"/>
            <w:vAlign w:val="bottom"/>
            <w:tcBorders>
              <w:top w:val="single" w:sz="8" w:color="0077C0"/>
              <w:bottom w:val="single" w:sz="8" w:color="0077C0"/>
            </w:tcBorders>
            <w:gridSpan w:val="2"/>
          </w:tcPr>
          <w:p>
            <w:pPr>
              <w:jc w:val="right"/>
              <w:spacing w:after="0"/>
              <w:rPr>
                <w:sz w:val="20"/>
                <w:szCs w:val="20"/>
                <w:color w:val="auto"/>
              </w:rPr>
            </w:pPr>
            <w:r>
              <w:rPr>
                <w:rFonts w:ascii="Arial" w:cs="Arial" w:eastAsia="Arial" w:hAnsi="Arial"/>
                <w:sz w:val="10"/>
                <w:szCs w:val="10"/>
                <w:color w:val="auto"/>
              </w:rPr>
              <w:t>At December 31</w:t>
            </w:r>
          </w:p>
        </w:tc>
      </w:tr>
      <w:tr>
        <w:trPr>
          <w:trHeight w:val="95"/>
        </w:trPr>
        <w:tc>
          <w:tcPr>
            <w:tcW w:w="20" w:type="dxa"/>
            <w:vAlign w:val="bottom"/>
          </w:tcPr>
          <w:p>
            <w:pPr>
              <w:spacing w:after="0"/>
              <w:rPr>
                <w:sz w:val="8"/>
                <w:szCs w:val="8"/>
                <w:color w:val="auto"/>
              </w:rPr>
            </w:pPr>
          </w:p>
        </w:tc>
        <w:tc>
          <w:tcPr>
            <w:tcW w:w="2620" w:type="dxa"/>
            <w:vAlign w:val="bottom"/>
            <w:tcBorders>
              <w:bottom w:val="single" w:sz="8" w:color="0077C0"/>
            </w:tcBorders>
          </w:tcPr>
          <w:p>
            <w:pPr>
              <w:spacing w:after="0"/>
              <w:rPr>
                <w:sz w:val="8"/>
                <w:szCs w:val="8"/>
                <w:color w:val="auto"/>
              </w:rPr>
            </w:pPr>
          </w:p>
        </w:tc>
        <w:tc>
          <w:tcPr>
            <w:tcW w:w="1220" w:type="dxa"/>
            <w:vAlign w:val="bottom"/>
            <w:tcBorders>
              <w:bottom w:val="single" w:sz="8" w:color="0077C0"/>
            </w:tcBorders>
          </w:tcPr>
          <w:p>
            <w:pPr>
              <w:spacing w:after="0"/>
              <w:rPr>
                <w:sz w:val="8"/>
                <w:szCs w:val="8"/>
                <w:color w:val="auto"/>
              </w:rPr>
            </w:pPr>
          </w:p>
        </w:tc>
        <w:tc>
          <w:tcPr>
            <w:tcW w:w="54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112"/>
              <w:spacing w:after="0" w:line="95" w:lineRule="exact"/>
              <w:rPr>
                <w:sz w:val="20"/>
                <w:szCs w:val="20"/>
                <w:color w:val="auto"/>
              </w:rPr>
            </w:pPr>
            <w:r>
              <w:rPr>
                <w:rFonts w:ascii="Arial" w:cs="Arial" w:eastAsia="Arial" w:hAnsi="Arial"/>
                <w:sz w:val="10"/>
                <w:szCs w:val="10"/>
                <w:b w:val="1"/>
                <w:bCs w:val="1"/>
                <w:color w:val="auto"/>
              </w:rPr>
              <w:t>2008</w:t>
            </w:r>
          </w:p>
        </w:tc>
        <w:tc>
          <w:tcPr>
            <w:tcW w:w="4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r>
      <w:tr>
        <w:trPr>
          <w:trHeight w:val="90"/>
        </w:trPr>
        <w:tc>
          <w:tcPr>
            <w:tcW w:w="20" w:type="dxa"/>
            <w:vAlign w:val="bottom"/>
          </w:tcPr>
          <w:p>
            <w:pPr>
              <w:spacing w:after="0"/>
              <w:rPr>
                <w:sz w:val="7"/>
                <w:szCs w:val="7"/>
                <w:color w:val="auto"/>
              </w:rPr>
            </w:pPr>
          </w:p>
        </w:tc>
        <w:tc>
          <w:tcPr>
            <w:tcW w:w="262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1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right w:val="single" w:sz="8" w:color="0077C0"/>
            </w:tcBorders>
            <w:gridSpan w:val="2"/>
          </w:tcPr>
          <w:p>
            <w:pPr>
              <w:jc w:val="right"/>
              <w:ind w:right="112"/>
              <w:spacing w:after="0" w:line="91" w:lineRule="exact"/>
              <w:rPr>
                <w:sz w:val="20"/>
                <w:szCs w:val="20"/>
                <w:color w:val="auto"/>
              </w:rPr>
            </w:pPr>
            <w:r>
              <w:rPr>
                <w:rFonts w:ascii="Arial" w:cs="Arial" w:eastAsia="Arial" w:hAnsi="Arial"/>
                <w:sz w:val="10"/>
                <w:szCs w:val="10"/>
                <w:b w:val="1"/>
                <w:bCs w:val="1"/>
                <w:color w:val="auto"/>
              </w:rPr>
              <w:t>$  2,740</w:t>
            </w: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  2,784</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Other assets</w:t>
            </w: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12,240</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11,446</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Current liabilities</w:t>
            </w: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right w:val="single" w:sz="8" w:color="0077C0"/>
            </w:tcBorders>
            <w:gridSpan w:val="2"/>
          </w:tcPr>
          <w:p>
            <w:pPr>
              <w:jc w:val="right"/>
              <w:ind w:right="112"/>
              <w:spacing w:after="0" w:line="106" w:lineRule="exact"/>
              <w:rPr>
                <w:sz w:val="20"/>
                <w:szCs w:val="20"/>
                <w:color w:val="auto"/>
              </w:rPr>
            </w:pPr>
            <w:r>
              <w:rPr>
                <w:rFonts w:ascii="Arial" w:cs="Arial" w:eastAsia="Arial" w:hAnsi="Arial"/>
                <w:sz w:val="10"/>
                <w:szCs w:val="10"/>
                <w:b w:val="1"/>
                <w:bCs w:val="1"/>
                <w:color w:val="auto"/>
              </w:rPr>
              <w:t>1,867</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1,534</w:t>
            </w:r>
          </w:p>
        </w:tc>
      </w:tr>
      <w:tr>
        <w:trPr>
          <w:trHeight w:val="120"/>
        </w:trPr>
        <w:tc>
          <w:tcPr>
            <w:tcW w:w="26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Other liabilities</w:t>
            </w:r>
          </w:p>
        </w:tc>
        <w:tc>
          <w:tcPr>
            <w:tcW w:w="122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right w:val="single" w:sz="8" w:color="0077C0"/>
            </w:tcBorders>
            <w:gridSpan w:val="2"/>
          </w:tcPr>
          <w:p>
            <w:pPr>
              <w:jc w:val="right"/>
              <w:ind w:right="112"/>
              <w:spacing w:after="0"/>
              <w:rPr>
                <w:sz w:val="20"/>
                <w:szCs w:val="20"/>
                <w:color w:val="auto"/>
              </w:rPr>
            </w:pPr>
            <w:r>
              <w:rPr>
                <w:rFonts w:ascii="Arial" w:cs="Arial" w:eastAsia="Arial" w:hAnsi="Arial"/>
                <w:sz w:val="10"/>
                <w:szCs w:val="10"/>
                <w:b w:val="1"/>
                <w:bCs w:val="1"/>
                <w:color w:val="auto"/>
              </w:rPr>
              <w:t>4,759</w:t>
            </w: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4,927</w:t>
            </w:r>
          </w:p>
        </w:tc>
      </w:tr>
      <w:tr>
        <w:trPr>
          <w:trHeight w:val="105"/>
        </w:trPr>
        <w:tc>
          <w:tcPr>
            <w:tcW w:w="2640" w:type="dxa"/>
            <w:vAlign w:val="bottom"/>
            <w:gridSpan w:val="2"/>
          </w:tcPr>
          <w:p>
            <w:pPr>
              <w:spacing w:after="0" w:line="105" w:lineRule="exact"/>
              <w:rPr>
                <w:sz w:val="20"/>
                <w:szCs w:val="20"/>
                <w:color w:val="auto"/>
              </w:rPr>
            </w:pPr>
            <w:r>
              <w:rPr>
                <w:rFonts w:ascii="Arial" w:cs="Arial" w:eastAsia="Arial" w:hAnsi="Arial"/>
                <w:sz w:val="10"/>
                <w:szCs w:val="10"/>
                <w:color w:val="auto"/>
              </w:rPr>
              <w:t>Net equity</w:t>
            </w: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right w:val="single" w:sz="8" w:color="0077C0"/>
            </w:tcBorders>
            <w:gridSpan w:val="2"/>
          </w:tcPr>
          <w:p>
            <w:pPr>
              <w:jc w:val="right"/>
              <w:ind w:right="112"/>
              <w:spacing w:after="0" w:line="105" w:lineRule="exact"/>
              <w:rPr>
                <w:sz w:val="20"/>
                <w:szCs w:val="20"/>
                <w:color w:val="auto"/>
              </w:rPr>
            </w:pPr>
            <w:r>
              <w:rPr>
                <w:rFonts w:ascii="Arial" w:cs="Arial" w:eastAsia="Arial" w:hAnsi="Arial"/>
                <w:sz w:val="10"/>
                <w:szCs w:val="10"/>
                <w:b w:val="1"/>
                <w:bCs w:val="1"/>
                <w:color w:val="auto"/>
              </w:rPr>
              <w:t>8,354</w:t>
            </w: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7,769</w:t>
            </w:r>
          </w:p>
        </w:tc>
      </w:tr>
      <w:tr>
        <w:trPr>
          <w:trHeight w:val="29"/>
        </w:trPr>
        <w:tc>
          <w:tcPr>
            <w:tcW w:w="20" w:type="dxa"/>
            <w:vAlign w:val="bottom"/>
          </w:tcPr>
          <w:p>
            <w:pPr>
              <w:spacing w:after="0"/>
              <w:rPr>
                <w:sz w:val="2"/>
                <w:szCs w:val="2"/>
                <w:color w:val="auto"/>
              </w:rPr>
            </w:pPr>
          </w:p>
        </w:tc>
        <w:tc>
          <w:tcPr>
            <w:tcW w:w="2620" w:type="dxa"/>
            <w:vAlign w:val="bottom"/>
            <w:shd w:val="clear" w:color="auto" w:fill="0077C0"/>
          </w:tcPr>
          <w:p>
            <w:pPr>
              <w:spacing w:after="0"/>
              <w:rPr>
                <w:sz w:val="2"/>
                <w:szCs w:val="2"/>
                <w:color w:val="auto"/>
              </w:rPr>
            </w:pPr>
          </w:p>
        </w:tc>
        <w:tc>
          <w:tcPr>
            <w:tcW w:w="1220" w:type="dxa"/>
            <w:vAlign w:val="bottom"/>
            <w:shd w:val="clear" w:color="auto" w:fill="0077C0"/>
          </w:tcPr>
          <w:p>
            <w:pPr>
              <w:spacing w:after="0"/>
              <w:rPr>
                <w:sz w:val="2"/>
                <w:szCs w:val="2"/>
                <w:color w:val="auto"/>
              </w:rPr>
            </w:pPr>
          </w:p>
        </w:tc>
        <w:tc>
          <w:tcPr>
            <w:tcW w:w="540" w:type="dxa"/>
            <w:vAlign w:val="bottom"/>
            <w:tcBorders>
              <w:right w:val="single" w:sz="8" w:color="0077C0"/>
            </w:tcBorders>
            <w:shd w:val="clear" w:color="auto" w:fill="0077C0"/>
          </w:tcPr>
          <w:p>
            <w:pPr>
              <w:spacing w:after="0"/>
              <w:rPr>
                <w:sz w:val="2"/>
                <w:szCs w:val="2"/>
                <w:color w:val="auto"/>
              </w:rPr>
            </w:pPr>
          </w:p>
        </w:tc>
        <w:tc>
          <w:tcPr>
            <w:tcW w:w="80" w:type="dxa"/>
            <w:vAlign w:val="bottom"/>
            <w:shd w:val="clear" w:color="auto" w:fill="0077C0"/>
          </w:tcPr>
          <w:p>
            <w:pPr>
              <w:spacing w:after="0"/>
              <w:rPr>
                <w:sz w:val="2"/>
                <w:szCs w:val="2"/>
                <w:color w:val="auto"/>
              </w:rPr>
            </w:pPr>
          </w:p>
        </w:tc>
        <w:tc>
          <w:tcPr>
            <w:tcW w:w="520" w:type="dxa"/>
            <w:vAlign w:val="bottom"/>
            <w:tcBorders>
              <w:right w:val="single" w:sz="8" w:color="0077C0"/>
            </w:tcBorders>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r>
    </w:tbl>
    <w:p>
      <w:pPr>
        <w:spacing w:after="0" w:line="97" w:lineRule="exact"/>
        <w:rPr>
          <w:sz w:val="20"/>
          <w:szCs w:val="20"/>
          <w:color w:val="auto"/>
        </w:rPr>
      </w:pPr>
    </w:p>
    <w:p>
      <w:pPr>
        <w:sectPr>
          <w:pgSz w:w="11900" w:h="16838" w:orient="portrait"/>
          <w:cols w:equalWidth="0" w:num="2">
            <w:col w:w="5520" w:space="440"/>
            <w:col w:w="5500"/>
          </w:cols>
          <w:pgMar w:left="220" w:top="338" w:right="219" w:bottom="1440" w:gutter="0" w:footer="0" w:header="0"/>
        </w:sectPr>
      </w:pPr>
    </w:p>
    <w:p>
      <w:pPr>
        <w:spacing w:after="0"/>
        <w:rPr>
          <w:sz w:val="20"/>
          <w:szCs w:val="20"/>
          <w:color w:val="auto"/>
        </w:rPr>
      </w:pPr>
      <w:r>
        <w:rPr>
          <w:rFonts w:ascii="Arial" w:cs="Arial" w:eastAsia="Arial" w:hAnsi="Arial"/>
          <w:sz w:val="15"/>
          <w:szCs w:val="15"/>
          <w:b w:val="1"/>
          <w:bCs w:val="1"/>
          <w:color w:val="auto"/>
        </w:rPr>
        <w:t>Note 5</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0077C0"/>
        </w:rPr>
        <w:t>Summarized Financial Data – Chevron Transport Corporation Ltd.</w:t>
      </w:r>
    </w:p>
    <w:p>
      <w:pPr>
        <w:ind w:right="60"/>
        <w:spacing w:after="0" w:line="271" w:lineRule="auto"/>
        <w:rPr>
          <w:sz w:val="20"/>
          <w:szCs w:val="20"/>
          <w:color w:val="auto"/>
        </w:rPr>
      </w:pPr>
      <w:r>
        <w:rPr>
          <w:rFonts w:ascii="Arial" w:cs="Arial" w:eastAsia="Arial" w:hAnsi="Arial"/>
          <w:sz w:val="12"/>
          <w:szCs w:val="12"/>
          <w:color w:val="auto"/>
        </w:rPr>
        <w:t>Chevron Transport Corporation Ltd. (CTC), incorporated in Bermuda, is an indirect, wholly owned subsidiary of Chevron Corporation. CTC is the principal operator of Chevron’s international tanker fleet and is engaged in the marine transportation of crude oil and refined petroleum products. Most of CTC’s shipping revenue is derived from providing transportation services to other Chevron companies. Chevron Corporation has fully and unconditionally guaranteed this subsidiary’s obligations in connection with certain debt securities issued by a third party. Summarized financial information for CTC and its consolidated subsidiaries is presented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520" w:type="dxa"/>
            <w:vAlign w:val="bottom"/>
            <w:tcBorders>
              <w:bottom w:val="single" w:sz="8" w:color="0077C0"/>
            </w:tcBorders>
          </w:tcPr>
          <w:p>
            <w:pPr>
              <w:spacing w:after="0"/>
              <w:rPr>
                <w:sz w:val="10"/>
                <w:szCs w:val="10"/>
                <w:color w:val="auto"/>
              </w:rPr>
            </w:pPr>
          </w:p>
        </w:tc>
        <w:tc>
          <w:tcPr>
            <w:tcW w:w="1080" w:type="dxa"/>
            <w:vAlign w:val="bottom"/>
            <w:tcBorders>
              <w:bottom w:val="single" w:sz="8" w:color="0077C0"/>
            </w:tcBorders>
            <w:gridSpan w:val="5"/>
          </w:tcPr>
          <w:p>
            <w:pPr>
              <w:jc w:val="right"/>
              <w:spacing w:after="0"/>
              <w:rPr>
                <w:sz w:val="20"/>
                <w:szCs w:val="20"/>
                <w:color w:val="auto"/>
              </w:rPr>
            </w:pPr>
            <w:r>
              <w:rPr>
                <w:rFonts w:ascii="Arial" w:cs="Arial" w:eastAsia="Arial" w:hAnsi="Arial"/>
                <w:sz w:val="10"/>
                <w:szCs w:val="10"/>
                <w:color w:val="auto"/>
                <w:w w:val="92"/>
              </w:rPr>
              <w:t>Year ended December 31</w:t>
            </w:r>
          </w:p>
        </w:tc>
      </w:tr>
      <w:tr>
        <w:trPr>
          <w:trHeight w:val="95"/>
        </w:trPr>
        <w:tc>
          <w:tcPr>
            <w:tcW w:w="386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130"/>
              <w:spacing w:after="0" w:line="95" w:lineRule="exact"/>
              <w:rPr>
                <w:sz w:val="20"/>
                <w:szCs w:val="20"/>
                <w:color w:val="auto"/>
              </w:rPr>
            </w:pPr>
            <w:r>
              <w:rPr>
                <w:rFonts w:ascii="Arial" w:cs="Arial" w:eastAsia="Arial" w:hAnsi="Arial"/>
                <w:sz w:val="10"/>
                <w:szCs w:val="10"/>
                <w:b w:val="1"/>
                <w:bCs w:val="1"/>
                <w:color w:val="auto"/>
              </w:rPr>
              <w:t>2008</w:t>
            </w:r>
          </w:p>
        </w:tc>
        <w:tc>
          <w:tcPr>
            <w:tcW w:w="14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ind w:right="170"/>
              <w:spacing w:after="0" w:line="95" w:lineRule="exact"/>
              <w:rPr>
                <w:sz w:val="20"/>
                <w:szCs w:val="20"/>
                <w:color w:val="auto"/>
              </w:rPr>
            </w:pPr>
            <w:r>
              <w:rPr>
                <w:rFonts w:ascii="Arial" w:cs="Arial" w:eastAsia="Arial" w:hAnsi="Arial"/>
                <w:sz w:val="10"/>
                <w:szCs w:val="10"/>
                <w:color w:val="auto"/>
                <w:w w:val="89"/>
              </w:rPr>
              <w:t>2007</w:t>
            </w:r>
          </w:p>
        </w:tc>
        <w:tc>
          <w:tcPr>
            <w:tcW w:w="180" w:type="dxa"/>
            <w:vAlign w:val="bottom"/>
            <w:tcBorders>
              <w:bottom w:val="single" w:sz="8" w:color="0077C0"/>
            </w:tcBorders>
          </w:tcPr>
          <w:p>
            <w:pPr>
              <w:spacing w:after="0"/>
              <w:rPr>
                <w:sz w:val="8"/>
                <w:szCs w:val="8"/>
                <w:color w:val="auto"/>
              </w:rPr>
            </w:pPr>
          </w:p>
        </w:tc>
        <w:tc>
          <w:tcPr>
            <w:tcW w:w="24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w w:val="98"/>
              </w:rPr>
              <w:t>2006</w:t>
            </w:r>
          </w:p>
        </w:tc>
      </w:tr>
      <w:tr>
        <w:trPr>
          <w:trHeight w:val="90"/>
        </w:trPr>
        <w:tc>
          <w:tcPr>
            <w:tcW w:w="3860" w:type="dxa"/>
            <w:vAlign w:val="bottom"/>
          </w:tcPr>
          <w:p>
            <w:pPr>
              <w:spacing w:after="0" w:line="91" w:lineRule="exact"/>
              <w:rPr>
                <w:sz w:val="20"/>
                <w:szCs w:val="20"/>
                <w:color w:val="auto"/>
              </w:rPr>
            </w:pPr>
            <w:r>
              <w:rPr>
                <w:rFonts w:ascii="Arial" w:cs="Arial" w:eastAsia="Arial" w:hAnsi="Arial"/>
                <w:sz w:val="10"/>
                <w:szCs w:val="10"/>
                <w:color w:val="auto"/>
              </w:rPr>
              <w:t>Sales and other operating revenues</w:t>
            </w:r>
          </w:p>
        </w:tc>
        <w:tc>
          <w:tcPr>
            <w:tcW w:w="52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w w:val="95"/>
              </w:rPr>
              <w:t>$ 1,022</w:t>
            </w:r>
          </w:p>
        </w:tc>
        <w:tc>
          <w:tcPr>
            <w:tcW w:w="220" w:type="dxa"/>
            <w:vAlign w:val="bottom"/>
            <w:gridSpan w:val="2"/>
          </w:tcPr>
          <w:p>
            <w:pPr>
              <w:jc w:val="right"/>
              <w:ind w:right="60"/>
              <w:spacing w:after="0" w:line="91"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70"/>
              <w:spacing w:after="0" w:line="91" w:lineRule="exact"/>
              <w:rPr>
                <w:sz w:val="20"/>
                <w:szCs w:val="20"/>
                <w:color w:val="auto"/>
              </w:rPr>
            </w:pPr>
            <w:r>
              <w:rPr>
                <w:rFonts w:ascii="Arial" w:cs="Arial" w:eastAsia="Arial" w:hAnsi="Arial"/>
                <w:sz w:val="10"/>
                <w:szCs w:val="10"/>
                <w:color w:val="auto"/>
              </w:rPr>
              <w:t>667</w:t>
            </w:r>
          </w:p>
        </w:tc>
        <w:tc>
          <w:tcPr>
            <w:tcW w:w="1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692</w:t>
            </w: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Total costs and other deductions</w:t>
            </w:r>
          </w:p>
        </w:tc>
        <w:tc>
          <w:tcPr>
            <w:tcW w:w="52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947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713</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602</w:t>
            </w:r>
          </w:p>
        </w:tc>
      </w:tr>
      <w:tr>
        <w:trPr>
          <w:trHeight w:val="129"/>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Net income</w:t>
            </w:r>
          </w:p>
        </w:tc>
        <w:tc>
          <w:tcPr>
            <w:tcW w:w="52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120</w:t>
            </w:r>
          </w:p>
        </w:tc>
        <w:tc>
          <w:tcPr>
            <w:tcW w:w="140" w:type="dxa"/>
            <w:vAlign w:val="bottom"/>
            <w:tcBorders>
              <w:bottom w:val="single" w:sz="8" w:color="0077C0"/>
            </w:tcBorders>
          </w:tcPr>
          <w:p>
            <w:pPr>
              <w:spacing w:after="0"/>
              <w:rPr>
                <w:sz w:val="11"/>
                <w:szCs w:val="11"/>
                <w:color w:val="auto"/>
              </w:rPr>
            </w:pPr>
          </w:p>
        </w:tc>
        <w:tc>
          <w:tcPr>
            <w:tcW w:w="8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0077C0"/>
            </w:tcBorders>
          </w:tcPr>
          <w:p>
            <w:pPr>
              <w:spacing w:after="0"/>
              <w:rPr>
                <w:sz w:val="11"/>
                <w:szCs w:val="11"/>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119</w:t>
            </w:r>
          </w:p>
        </w:tc>
      </w:tr>
      <w:tr>
        <w:trPr>
          <w:trHeight w:val="221"/>
        </w:trPr>
        <w:tc>
          <w:tcPr>
            <w:tcW w:w="3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0077C0"/>
            </w:tcBorders>
          </w:tcPr>
          <w:p>
            <w:pPr>
              <w:spacing w:after="0"/>
              <w:rPr>
                <w:sz w:val="19"/>
                <w:szCs w:val="19"/>
                <w:color w:val="auto"/>
              </w:rPr>
            </w:pPr>
          </w:p>
        </w:tc>
        <w:tc>
          <w:tcPr>
            <w:tcW w:w="86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rPr>
              <w:t>At December 31</w:t>
            </w:r>
          </w:p>
        </w:tc>
      </w:tr>
      <w:tr>
        <w:trPr>
          <w:trHeight w:val="95"/>
        </w:trPr>
        <w:tc>
          <w:tcPr>
            <w:tcW w:w="386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spacing w:after="0"/>
              <w:rPr>
                <w:sz w:val="8"/>
                <w:szCs w:val="8"/>
                <w:color w:val="auto"/>
              </w:rPr>
            </w:pPr>
          </w:p>
        </w:tc>
        <w:tc>
          <w:tcPr>
            <w:tcW w:w="14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ind w:right="130"/>
              <w:spacing w:after="0" w:line="95" w:lineRule="exact"/>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0077C0"/>
            </w:tcBorders>
          </w:tcPr>
          <w:p>
            <w:pPr>
              <w:spacing w:after="0"/>
              <w:rPr>
                <w:sz w:val="8"/>
                <w:szCs w:val="8"/>
                <w:color w:val="auto"/>
              </w:rPr>
            </w:pPr>
          </w:p>
        </w:tc>
        <w:tc>
          <w:tcPr>
            <w:tcW w:w="24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w w:val="98"/>
              </w:rPr>
              <w:t>2007</w:t>
            </w:r>
          </w:p>
        </w:tc>
      </w:tr>
      <w:tr>
        <w:trPr>
          <w:trHeight w:val="90"/>
        </w:trPr>
        <w:tc>
          <w:tcPr>
            <w:tcW w:w="386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520" w:type="dxa"/>
            <w:vAlign w:val="bottom"/>
          </w:tcPr>
          <w:p>
            <w:pPr>
              <w:spacing w:after="0"/>
              <w:rPr>
                <w:sz w:val="7"/>
                <w:szCs w:val="7"/>
                <w:color w:val="auto"/>
              </w:rPr>
            </w:pPr>
          </w:p>
        </w:tc>
        <w:tc>
          <w:tcPr>
            <w:tcW w:w="220" w:type="dxa"/>
            <w:vAlign w:val="bottom"/>
            <w:gridSpan w:val="2"/>
          </w:tcPr>
          <w:p>
            <w:pPr>
              <w:jc w:val="right"/>
              <w:ind w:right="20"/>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482</w:t>
            </w:r>
          </w:p>
        </w:tc>
        <w:tc>
          <w:tcPr>
            <w:tcW w:w="1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335</w:t>
            </w: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Other assets</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172</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337</w:t>
            </w: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Current liabilities</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98</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107</w:t>
            </w:r>
          </w:p>
        </w:tc>
      </w:tr>
      <w:tr>
        <w:trPr>
          <w:trHeight w:val="120"/>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liabilities</w:t>
            </w:r>
          </w:p>
        </w:tc>
        <w:tc>
          <w:tcPr>
            <w:tcW w:w="520" w:type="dxa"/>
            <w:vAlign w:val="bottom"/>
            <w:tcBorders>
              <w:bottom w:val="single" w:sz="8" w:color="0077C0"/>
            </w:tcBorders>
          </w:tcPr>
          <w:p>
            <w:pPr>
              <w:spacing w:after="0"/>
              <w:rPr>
                <w:sz w:val="10"/>
                <w:szCs w:val="10"/>
                <w:color w:val="auto"/>
              </w:rPr>
            </w:pPr>
          </w:p>
        </w:tc>
        <w:tc>
          <w:tcPr>
            <w:tcW w:w="14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88</w:t>
            </w:r>
          </w:p>
        </w:tc>
        <w:tc>
          <w:tcPr>
            <w:tcW w:w="18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188</w:t>
            </w:r>
          </w:p>
        </w:tc>
      </w:tr>
      <w:tr>
        <w:trPr>
          <w:trHeight w:val="114"/>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Net equity</w:t>
            </w:r>
          </w:p>
        </w:tc>
        <w:tc>
          <w:tcPr>
            <w:tcW w:w="520" w:type="dxa"/>
            <w:vAlign w:val="bottom"/>
            <w:tcBorders>
              <w:bottom w:val="single" w:sz="8" w:color="0077C0"/>
            </w:tcBorders>
          </w:tcPr>
          <w:p>
            <w:pPr>
              <w:spacing w:after="0"/>
              <w:rPr>
                <w:sz w:val="9"/>
                <w:szCs w:val="9"/>
                <w:color w:val="auto"/>
              </w:rPr>
            </w:pPr>
          </w:p>
        </w:tc>
        <w:tc>
          <w:tcPr>
            <w:tcW w:w="14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40" w:type="dxa"/>
            <w:vAlign w:val="bottom"/>
            <w:tcBorders>
              <w:bottom w:val="single" w:sz="8" w:color="0077C0"/>
              <w:right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468</w:t>
            </w:r>
          </w:p>
        </w:tc>
        <w:tc>
          <w:tcPr>
            <w:tcW w:w="18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377</w:t>
            </w:r>
          </w:p>
        </w:tc>
      </w:tr>
    </w:tbl>
    <w:p>
      <w:pPr>
        <w:spacing w:after="0" w:line="135" w:lineRule="exact"/>
        <w:rPr>
          <w:sz w:val="20"/>
          <w:szCs w:val="20"/>
          <w:color w:val="auto"/>
        </w:rPr>
      </w:pPr>
    </w:p>
    <w:p>
      <w:pPr>
        <w:ind w:right="120" w:firstLine="158"/>
        <w:spacing w:after="0" w:line="267" w:lineRule="auto"/>
        <w:rPr>
          <w:sz w:val="20"/>
          <w:szCs w:val="20"/>
          <w:color w:val="auto"/>
        </w:rPr>
      </w:pPr>
      <w:r>
        <w:rPr>
          <w:rFonts w:ascii="Arial" w:cs="Arial" w:eastAsia="Arial" w:hAnsi="Arial"/>
          <w:sz w:val="13"/>
          <w:szCs w:val="13"/>
          <w:color w:val="auto"/>
        </w:rPr>
        <w:t>There were no restrictions on CTC’s ability to pay dividends or make loans or advances at December 31, 2008.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0077C0"/>
        </w:rPr>
        <w:t>Financial and Derivative Instruments</w:t>
      </w:r>
    </w:p>
    <w:p>
      <w:pPr>
        <w:ind w:right="120"/>
        <w:spacing w:after="0" w:line="290" w:lineRule="auto"/>
        <w:rPr>
          <w:sz w:val="20"/>
          <w:szCs w:val="20"/>
          <w:color w:val="auto"/>
        </w:rPr>
      </w:pPr>
      <w:r>
        <w:rPr>
          <w:rFonts w:ascii="Arial" w:cs="Arial" w:eastAsia="Arial" w:hAnsi="Arial"/>
          <w:sz w:val="11"/>
          <w:szCs w:val="11"/>
          <w:i w:val="1"/>
          <w:iCs w:val="1"/>
          <w:color w:val="E51837"/>
        </w:rPr>
        <w:t xml:space="preserve">Derivative Commodity Instruments </w:t>
      </w:r>
      <w:r>
        <w:rPr>
          <w:rFonts w:ascii="Arial" w:cs="Arial" w:eastAsia="Arial" w:hAnsi="Arial"/>
          <w:sz w:val="11"/>
          <w:szCs w:val="11"/>
          <w:color w:val="000000"/>
        </w:rPr>
        <w:t>Chevron is exposed to market risks related to price volatility of crude</w:t>
      </w:r>
      <w:r>
        <w:rPr>
          <w:rFonts w:ascii="Arial" w:cs="Arial" w:eastAsia="Arial" w:hAnsi="Arial"/>
          <w:sz w:val="11"/>
          <w:szCs w:val="11"/>
          <w:i w:val="1"/>
          <w:iCs w:val="1"/>
          <w:color w:val="E51837"/>
        </w:rPr>
        <w:t xml:space="preserve"> </w:t>
      </w:r>
      <w:r>
        <w:rPr>
          <w:rFonts w:ascii="Arial" w:cs="Arial" w:eastAsia="Arial" w:hAnsi="Arial"/>
          <w:sz w:val="11"/>
          <w:szCs w:val="11"/>
          <w:color w:val="000000"/>
        </w:rPr>
        <w:t>oil, refined products, natural gas, natural gas liquids, liquefied natural gas and refinery feedstocks.</w:t>
      </w:r>
    </w:p>
    <w:p>
      <w:pPr>
        <w:jc w:val="both"/>
        <w:ind w:right="240" w:firstLine="158"/>
        <w:spacing w:after="0" w:line="291" w:lineRule="auto"/>
        <w:rPr>
          <w:sz w:val="20"/>
          <w:szCs w:val="20"/>
          <w:color w:val="auto"/>
        </w:rPr>
      </w:pPr>
      <w:r>
        <w:rPr>
          <w:rFonts w:ascii="Arial" w:cs="Arial" w:eastAsia="Arial" w:hAnsi="Arial"/>
          <w:sz w:val="11"/>
          <w:szCs w:val="11"/>
          <w:color w:val="auto"/>
        </w:rPr>
        <w:t>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From time to time, the company also uses derivative commodity instruments for limited trading purposes.</w:t>
      </w:r>
    </w:p>
    <w:p>
      <w:pPr>
        <w:spacing w:after="0" w:line="2" w:lineRule="exact"/>
        <w:rPr>
          <w:sz w:val="20"/>
          <w:szCs w:val="20"/>
          <w:color w:val="auto"/>
        </w:rPr>
      </w:pPr>
    </w:p>
    <w:p>
      <w:pPr>
        <w:ind w:firstLine="158"/>
        <w:spacing w:after="0" w:line="291" w:lineRule="auto"/>
        <w:rPr>
          <w:sz w:val="20"/>
          <w:szCs w:val="20"/>
          <w:color w:val="auto"/>
        </w:rPr>
      </w:pPr>
      <w:r>
        <w:rPr>
          <w:rFonts w:ascii="Arial" w:cs="Arial" w:eastAsia="Arial" w:hAnsi="Arial"/>
          <w:sz w:val="11"/>
          <w:szCs w:val="11"/>
          <w:color w:val="auto"/>
        </w:rPr>
        <w:t>The company uses International Swaps and Derivatives Association agreements to govern derivative contracts with certain counterparties to mitigate credit risk. Depending on the nature of the derivative transactions, bilateral collateral arrangements may also be required. When the company is engaged in more than one outstanding derivative transaction with the same counterparty and also has a legally enforceable netting agreement with that counterparty, the net mark-to-market exposure represents the netting of the positive and negative exposures with that counterparty and is a reasonable measure of the company’s credit risk exposure. The company also uses other netting agreements with certain counterparties with which it conducts significant transactions to mitigate credit risk.</w:t>
      </w:r>
    </w:p>
    <w:p>
      <w:pPr>
        <w:spacing w:after="0" w:line="3" w:lineRule="exact"/>
        <w:rPr>
          <w:sz w:val="20"/>
          <w:szCs w:val="20"/>
          <w:color w:val="auto"/>
        </w:rPr>
      </w:pPr>
    </w:p>
    <w:p>
      <w:pPr>
        <w:ind w:right="140" w:firstLine="158"/>
        <w:spacing w:after="0" w:line="317" w:lineRule="auto"/>
        <w:rPr>
          <w:sz w:val="20"/>
          <w:szCs w:val="20"/>
          <w:color w:val="auto"/>
        </w:rPr>
      </w:pPr>
      <w:r>
        <w:rPr>
          <w:rFonts w:ascii="Arial" w:cs="Arial" w:eastAsia="Arial" w:hAnsi="Arial"/>
          <w:sz w:val="11"/>
          <w:szCs w:val="11"/>
          <w:color w:val="auto"/>
        </w:rPr>
        <w:t>The fair values of the outstanding contracts are reported on the Consolidated Balance Sheet as “Accounts and notes receivable,” “Accounts payable,” “Long-term receivables – net” and “Deferred credits and other noncurrent obligations.” Gains and losses on the company’s risk management activities</w:t>
      </w:r>
    </w:p>
    <w:p>
      <w:pPr>
        <w:spacing w:after="0" w:line="657" w:lineRule="exact"/>
        <w:rPr>
          <w:sz w:val="20"/>
          <w:szCs w:val="20"/>
          <w:color w:val="auto"/>
        </w:rPr>
      </w:pPr>
    </w:p>
    <w:p>
      <w:pPr>
        <w:sectPr>
          <w:pgSz w:w="11900" w:h="16838" w:orient="portrait"/>
          <w:cols w:equalWidth="0" w:num="2">
            <w:col w:w="5460" w:space="500"/>
            <w:col w:w="5500"/>
          </w:cols>
          <w:pgMar w:left="220" w:top="338" w:right="21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7 </w:t>
      </w:r>
      <w:r>
        <w:rPr>
          <w:rFonts w:ascii="Arial" w:cs="Arial" w:eastAsia="Arial" w:hAnsi="Arial"/>
          <w:sz w:val="8"/>
          <w:szCs w:val="8"/>
          <w:color w:val="000000"/>
        </w:rPr>
        <w:t>Financial and Derivative Instruments - Continued</w:t>
      </w:r>
    </w:p>
    <w:p>
      <w:pPr>
        <w:sectPr>
          <w:pgSz w:w="11900" w:h="16838" w:orient="portrait"/>
          <w:cols w:equalWidth="0" w:num="1">
            <w:col w:w="11440"/>
          </w:cols>
          <w:pgMar w:left="220" w:top="338"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are reported as either “Sales and other operating revenues” or “Purchased crude oil and products,” whereas trading gains and losses are reported as “Other income.”</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i w:val="1"/>
          <w:iCs w:val="1"/>
          <w:color w:val="E51837"/>
        </w:rPr>
        <w:t xml:space="preserve">Foreign Currency </w:t>
      </w:r>
      <w:r>
        <w:rPr>
          <w:rFonts w:ascii="Arial" w:cs="Arial" w:eastAsia="Arial" w:hAnsi="Arial"/>
          <w:sz w:val="12"/>
          <w:szCs w:val="12"/>
          <w:color w:val="000000"/>
        </w:rPr>
        <w:t>The company enters into forward exchange contracts, generally with terms of 180 days</w:t>
      </w:r>
      <w:r>
        <w:rPr>
          <w:rFonts w:ascii="Arial" w:cs="Arial" w:eastAsia="Arial" w:hAnsi="Arial"/>
          <w:sz w:val="12"/>
          <w:szCs w:val="12"/>
          <w:i w:val="1"/>
          <w:iCs w:val="1"/>
          <w:color w:val="E51837"/>
        </w:rPr>
        <w:t xml:space="preserve"> </w:t>
      </w:r>
      <w:r>
        <w:rPr>
          <w:rFonts w:ascii="Arial" w:cs="Arial" w:eastAsia="Arial" w:hAnsi="Arial"/>
          <w:sz w:val="12"/>
          <w:szCs w:val="12"/>
          <w:color w:val="000000"/>
        </w:rPr>
        <w:t>or less, to manage some of its foreign currency exposures. These exposures include revenue and anticipated purchase transactions, including foreign currency capital expenditures and lease commitments, forecasted to occur within 180 days. The forward exchange contracts are recorded at fair value on the balance sheet with resulting gains and losses reflected in income.</w:t>
      </w:r>
    </w:p>
    <w:p>
      <w:pPr>
        <w:spacing w:after="0" w:line="97" w:lineRule="exact"/>
        <w:rPr>
          <w:sz w:val="20"/>
          <w:szCs w:val="20"/>
          <w:color w:val="auto"/>
        </w:rPr>
      </w:pPr>
    </w:p>
    <w:p>
      <w:pPr>
        <w:ind w:firstLine="158"/>
        <w:spacing w:after="0" w:line="359" w:lineRule="auto"/>
        <w:rPr>
          <w:sz w:val="20"/>
          <w:szCs w:val="20"/>
          <w:color w:val="auto"/>
        </w:rPr>
      </w:pPr>
      <w:r>
        <w:rPr>
          <w:rFonts w:ascii="Arial" w:cs="Arial" w:eastAsia="Arial" w:hAnsi="Arial"/>
          <w:sz w:val="11"/>
          <w:szCs w:val="11"/>
          <w:color w:val="auto"/>
        </w:rPr>
        <w:t>The fair values of the outstanding contracts are reported on the Consolidated Balance Sheet as “Accounts and notes receivable” or “Accounts payable,” with gains and losses reported as “Other income.”</w:t>
      </w:r>
    </w:p>
    <w:p>
      <w:pPr>
        <w:spacing w:after="0" w:line="64"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i w:val="1"/>
          <w:iCs w:val="1"/>
          <w:color w:val="E51837"/>
        </w:rPr>
        <w:t xml:space="preserve">Interest Rates </w:t>
      </w:r>
      <w:r>
        <w:rPr>
          <w:rFonts w:ascii="Arial" w:cs="Arial" w:eastAsia="Arial" w:hAnsi="Arial"/>
          <w:sz w:val="13"/>
          <w:szCs w:val="13"/>
          <w:color w:val="000000"/>
        </w:rPr>
        <w:t>The company enters into interest rate swaps from time to time as part of its overall strategy</w:t>
      </w:r>
      <w:r>
        <w:rPr>
          <w:rFonts w:ascii="Arial" w:cs="Arial" w:eastAsia="Arial" w:hAnsi="Arial"/>
          <w:sz w:val="13"/>
          <w:szCs w:val="13"/>
          <w:i w:val="1"/>
          <w:iCs w:val="1"/>
          <w:color w:val="E51837"/>
        </w:rPr>
        <w:t xml:space="preserve"> </w:t>
      </w:r>
      <w:r>
        <w:rPr>
          <w:rFonts w:ascii="Arial" w:cs="Arial" w:eastAsia="Arial" w:hAnsi="Arial"/>
          <w:sz w:val="13"/>
          <w:szCs w:val="13"/>
          <w:color w:val="000000"/>
        </w:rPr>
        <w:t>to manage the interest rate risk on its debt. Under the terms of the swaps, net cash settlements are based on the difference between fixed-rate and floating-rate interest amounts calculated by reference to agreed notional principal amounts. Interest rate swaps related to a portion of the company’s fixed-rate debt are accounted for as fair value hedges.</w:t>
      </w:r>
    </w:p>
    <w:p>
      <w:pPr>
        <w:spacing w:after="0" w:line="112" w:lineRule="exact"/>
        <w:rPr>
          <w:sz w:val="20"/>
          <w:szCs w:val="20"/>
          <w:color w:val="auto"/>
        </w:rPr>
      </w:pPr>
    </w:p>
    <w:p>
      <w:pPr>
        <w:ind w:right="80" w:firstLine="160"/>
        <w:spacing w:after="0" w:line="281" w:lineRule="auto"/>
        <w:rPr>
          <w:sz w:val="20"/>
          <w:szCs w:val="20"/>
          <w:color w:val="auto"/>
        </w:rPr>
      </w:pPr>
      <w:r>
        <w:rPr>
          <w:rFonts w:ascii="Arial" w:cs="Arial" w:eastAsia="Arial" w:hAnsi="Arial"/>
          <w:sz w:val="12"/>
          <w:szCs w:val="12"/>
          <w:color w:val="auto"/>
        </w:rPr>
        <w:t>Fair values of the interest rate swaps are reported on the Consolidated Balance Sheet as “Accounts and notes receivable” or “Accounts payable.” Interest rate swaps related to floating-rate debt are recorded at fair value on the balance sheet with resulting gains and losses reflected in income. At year-end 2008, the company had no interest-rate swaps on floating-rate debt.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i w:val="1"/>
          <w:iCs w:val="1"/>
          <w:color w:val="E51837"/>
        </w:rPr>
        <w:t xml:space="preserve">Fair Value </w:t>
      </w:r>
      <w:r>
        <w:rPr>
          <w:rFonts w:ascii="Arial" w:cs="Arial" w:eastAsia="Arial" w:hAnsi="Arial"/>
          <w:sz w:val="13"/>
          <w:szCs w:val="13"/>
          <w:color w:val="000000"/>
        </w:rPr>
        <w:t>Fair values are derived from quoted market prices, other independent third-party quotes or, if</w:t>
      </w:r>
      <w:r>
        <w:rPr>
          <w:rFonts w:ascii="Arial" w:cs="Arial" w:eastAsia="Arial" w:hAnsi="Arial"/>
          <w:sz w:val="13"/>
          <w:szCs w:val="13"/>
          <w:i w:val="1"/>
          <w:iCs w:val="1"/>
          <w:color w:val="E51837"/>
        </w:rPr>
        <w:t xml:space="preserve"> </w:t>
      </w:r>
      <w:r>
        <w:rPr>
          <w:rFonts w:ascii="Arial" w:cs="Arial" w:eastAsia="Arial" w:hAnsi="Arial"/>
          <w:sz w:val="13"/>
          <w:szCs w:val="13"/>
          <w:color w:val="000000"/>
        </w:rPr>
        <w:t>not available, the present value of the expected cash flows. The fair values reflect the cash that would have been received or paid if the instruments were settled at year-end.</w:t>
      </w:r>
    </w:p>
    <w:p>
      <w:pPr>
        <w:spacing w:after="0" w:line="117" w:lineRule="exact"/>
        <w:rPr>
          <w:sz w:val="20"/>
          <w:szCs w:val="20"/>
          <w:color w:val="auto"/>
        </w:rPr>
      </w:pPr>
    </w:p>
    <w:p>
      <w:pPr>
        <w:ind w:right="120" w:firstLine="160"/>
        <w:spacing w:after="0" w:line="253" w:lineRule="auto"/>
        <w:rPr>
          <w:sz w:val="20"/>
          <w:szCs w:val="20"/>
          <w:color w:val="auto"/>
        </w:rPr>
      </w:pPr>
      <w:r>
        <w:rPr>
          <w:rFonts w:ascii="Arial" w:cs="Arial" w:eastAsia="Arial" w:hAnsi="Arial"/>
          <w:sz w:val="13"/>
          <w:szCs w:val="13"/>
          <w:color w:val="auto"/>
        </w:rPr>
        <w:t>Long-term debt of $1,221 and $2,132 had estimated fair values of $1,414 and $2,354 at December 31, 2008 and 2007, respectively.</w:t>
      </w:r>
    </w:p>
    <w:p>
      <w:pPr>
        <w:spacing w:after="0" w:line="1" w:lineRule="exact"/>
        <w:rPr>
          <w:sz w:val="20"/>
          <w:szCs w:val="20"/>
          <w:color w:val="auto"/>
        </w:rPr>
      </w:pPr>
    </w:p>
    <w:p>
      <w:pPr>
        <w:ind w:right="100" w:firstLine="158"/>
        <w:spacing w:after="0" w:line="272" w:lineRule="auto"/>
        <w:rPr>
          <w:sz w:val="20"/>
          <w:szCs w:val="20"/>
          <w:color w:val="auto"/>
        </w:rPr>
      </w:pPr>
      <w:r>
        <w:rPr>
          <w:rFonts w:ascii="Arial" w:cs="Arial" w:eastAsia="Arial" w:hAnsi="Arial"/>
          <w:sz w:val="12"/>
          <w:szCs w:val="12"/>
          <w:color w:val="auto"/>
        </w:rPr>
        <w:t>The company holds cash equivalents and marketable securities in U.S. and non-U.S. portfolios. The instruments held are primarily time deposits, money market funds and fixed rate bonds. Cash equivalents and marketable securities had carrying/fair values of $7,271 and $5,427 at December 31, 2008 and 2007, respectively. Of these balances, $7,058 and $4,695 at the respective year-ends were classified as cash equivalents that had average maturities under 90 days. The remainder, classified as marketable securities, had average maturities of approximately one year. At December 31, 2008,</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restricted cash with a carrying/fair value of $367 that is related to capital-investment projects at the company’s Pascagoula, Mississippi refinery and Angola liquefied natural gas project was reclassified from “Cash and cash equivalents” to “Deferred charges and other assets” on the Consolidated Balance Sheet. This restricted cash was invested in short-term marketable securities.</w:t>
      </w:r>
    </w:p>
    <w:p>
      <w:pPr>
        <w:ind w:left="160"/>
        <w:spacing w:after="0"/>
        <w:rPr>
          <w:sz w:val="20"/>
          <w:szCs w:val="20"/>
          <w:color w:val="auto"/>
        </w:rPr>
      </w:pPr>
      <w:r>
        <w:rPr>
          <w:rFonts w:ascii="Arial" w:cs="Arial" w:eastAsia="Arial" w:hAnsi="Arial"/>
          <w:sz w:val="11"/>
          <w:szCs w:val="11"/>
          <w:color w:val="auto"/>
        </w:rPr>
        <w:t>Fair values of other financial and derivative instruments at the end of 2008 and 2007 were not material.</w:t>
      </w:r>
    </w:p>
    <w:p>
      <w:pPr>
        <w:spacing w:after="0" w:line="153"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i w:val="1"/>
          <w:iCs w:val="1"/>
          <w:color w:val="E51837"/>
        </w:rPr>
        <w:t xml:space="preserve">Concentrations of Credit Risk </w:t>
      </w:r>
      <w:r>
        <w:rPr>
          <w:rFonts w:ascii="Arial" w:cs="Arial" w:eastAsia="Arial" w:hAnsi="Arial"/>
          <w:sz w:val="12"/>
          <w:szCs w:val="12"/>
          <w:color w:val="000000"/>
        </w:rPr>
        <w:t>The company’s financial instruments that are exposed to concentrations of</w:t>
      </w:r>
      <w:r>
        <w:rPr>
          <w:rFonts w:ascii="Arial" w:cs="Arial" w:eastAsia="Arial" w:hAnsi="Arial"/>
          <w:sz w:val="12"/>
          <w:szCs w:val="12"/>
          <w:i w:val="1"/>
          <w:iCs w:val="1"/>
          <w:color w:val="E51837"/>
        </w:rPr>
        <w:t xml:space="preserve"> </w:t>
      </w:r>
      <w:r>
        <w:rPr>
          <w:rFonts w:ascii="Arial" w:cs="Arial" w:eastAsia="Arial" w:hAnsi="Arial"/>
          <w:sz w:val="12"/>
          <w:szCs w:val="12"/>
          <w:color w:val="000000"/>
        </w:rPr>
        <w:t>credit risk consist primarily of its cash equivalents, marketable securities, derivative financial instruments and trade receivables. The company’s short-term investments are placed with a wide array of financial institutions with high credit ratings. This diversified investment policy limits the company’s exposure both to credit risk and to concentrations of credit risk. Similar standards of diversity and creditworthiness are applied to the company’s counterparties in derivative instruments.</w:t>
      </w:r>
    </w:p>
    <w:p>
      <w:pPr>
        <w:spacing w:after="0" w:line="99" w:lineRule="exact"/>
        <w:rPr>
          <w:sz w:val="20"/>
          <w:szCs w:val="20"/>
          <w:color w:val="auto"/>
        </w:rPr>
      </w:pPr>
    </w:p>
    <w:p>
      <w:pPr>
        <w:ind w:right="160" w:firstLine="158"/>
        <w:spacing w:after="0" w:line="277" w:lineRule="auto"/>
        <w:rPr>
          <w:sz w:val="20"/>
          <w:szCs w:val="20"/>
          <w:color w:val="auto"/>
        </w:rPr>
      </w:pPr>
      <w:r>
        <w:rPr>
          <w:rFonts w:ascii="Arial" w:cs="Arial" w:eastAsia="Arial" w:hAnsi="Arial"/>
          <w:sz w:val="12"/>
          <w:szCs w:val="12"/>
          <w:color w:val="auto"/>
        </w:rPr>
        <w:t>The trade receivable balances, reflecting the company’s diversified sources of revenue, are dispersed among the company’s broad customer base worldwide. As a consequence, the company believes concentrations of credit risk are limited. The company routinely assesses the financial strength of its customers. When the financial strength of a customer is not considered sufficient, requiring Letters of Credit is a principal method used to support sales to customers.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Fair Value Measurements</w:t>
      </w:r>
    </w:p>
    <w:p>
      <w:pPr>
        <w:ind w:right="40"/>
        <w:spacing w:after="0" w:line="292" w:lineRule="auto"/>
        <w:rPr>
          <w:sz w:val="20"/>
          <w:szCs w:val="20"/>
          <w:color w:val="auto"/>
        </w:rPr>
      </w:pPr>
      <w:r>
        <w:rPr>
          <w:rFonts w:ascii="Arial" w:cs="Arial" w:eastAsia="Arial" w:hAnsi="Arial"/>
          <w:sz w:val="11"/>
          <w:szCs w:val="11"/>
          <w:color w:val="auto"/>
        </w:rPr>
        <w:t xml:space="preserve">The company implemented FASB Statement No. 157,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(FAS 157), as of January 1, 2008. FAS 157 was amended in February 2008 by FASB Staff Position (FSP) FAS No. 157-1, </w:t>
      </w:r>
      <w:r>
        <w:rPr>
          <w:rFonts w:ascii="Arial" w:cs="Arial" w:eastAsia="Arial" w:hAnsi="Arial"/>
          <w:sz w:val="11"/>
          <w:szCs w:val="11"/>
          <w:i w:val="1"/>
          <w:iCs w:val="1"/>
          <w:color w:val="auto"/>
        </w:rPr>
        <w:t xml:space="preserve">Application of FASB Statement No. 157 to FASB Statement No. 13 and Its Related Interpretive Accounting Pronouncements That Address Leasing Transactions, </w:t>
      </w:r>
      <w:r>
        <w:rPr>
          <w:rFonts w:ascii="Arial" w:cs="Arial" w:eastAsia="Arial" w:hAnsi="Arial"/>
          <w:sz w:val="11"/>
          <w:szCs w:val="11"/>
          <w:color w:val="auto"/>
        </w:rPr>
        <w:t>and by FSP FAS 157-2,</w:t>
      </w:r>
      <w:r>
        <w:rPr>
          <w:rFonts w:ascii="Arial" w:cs="Arial" w:eastAsia="Arial" w:hAnsi="Arial"/>
          <w:sz w:val="11"/>
          <w:szCs w:val="11"/>
          <w:i w:val="1"/>
          <w:iCs w:val="1"/>
          <w:color w:val="auto"/>
        </w:rPr>
        <w:t xml:space="preserve"> Effective Date of FASB Statement No. 157, </w:t>
      </w:r>
      <w:r>
        <w:rPr>
          <w:rFonts w:ascii="Arial" w:cs="Arial" w:eastAsia="Arial" w:hAnsi="Arial"/>
          <w:sz w:val="11"/>
          <w:szCs w:val="11"/>
          <w:color w:val="auto"/>
        </w:rPr>
        <w:t>which delayed the company’s application of FAS 157 for nonrecurring nonfinancial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assets and liabilities until January 1, 2009. FAS 157 was further amended in October 2008 by FSP FAS 157-3, </w:t>
      </w:r>
      <w:r>
        <w:rPr>
          <w:rFonts w:ascii="Arial" w:cs="Arial" w:eastAsia="Arial" w:hAnsi="Arial"/>
          <w:sz w:val="11"/>
          <w:szCs w:val="11"/>
          <w:i w:val="1"/>
          <w:iCs w:val="1"/>
          <w:color w:val="auto"/>
        </w:rPr>
        <w:t>Determining the Fair Value of a Financial Asset When the Market for That Asset Is Not Active,</w:t>
      </w:r>
      <w:r>
        <w:rPr>
          <w:rFonts w:ascii="Arial" w:cs="Arial" w:eastAsia="Arial" w:hAnsi="Arial"/>
          <w:sz w:val="11"/>
          <w:szCs w:val="11"/>
          <w:color w:val="auto"/>
        </w:rPr>
        <w:t xml:space="preserve"> which clarifies the application of FAS 157 to assets participating in inactive markets.</w:t>
      </w:r>
    </w:p>
    <w:p>
      <w:pPr>
        <w:spacing w:after="0" w:line="3" w:lineRule="exact"/>
        <w:rPr>
          <w:sz w:val="20"/>
          <w:szCs w:val="20"/>
          <w:color w:val="auto"/>
        </w:rPr>
      </w:pPr>
    </w:p>
    <w:p>
      <w:pPr>
        <w:ind w:right="220" w:firstLine="160"/>
        <w:spacing w:after="0" w:line="317" w:lineRule="auto"/>
        <w:rPr>
          <w:sz w:val="20"/>
          <w:szCs w:val="20"/>
          <w:color w:val="auto"/>
        </w:rPr>
      </w:pPr>
      <w:r>
        <w:rPr>
          <w:rFonts w:ascii="Arial" w:cs="Arial" w:eastAsia="Arial" w:hAnsi="Arial"/>
          <w:sz w:val="11"/>
          <w:szCs w:val="11"/>
          <w:color w:val="auto"/>
        </w:rPr>
        <w:t>Implementation of FAS 157 did not have a material effect on the company’s results of operations or consolidated financial position and had no effect on the company’s existing fair-value measurement practices. However, FAS 157 requires disclosure of a fair-value hierarchy of inputs the</w:t>
      </w:r>
    </w:p>
    <w:p>
      <w:pPr>
        <w:spacing w:after="0" w:line="656" w:lineRule="exact"/>
        <w:rPr>
          <w:sz w:val="20"/>
          <w:szCs w:val="20"/>
          <w:color w:val="auto"/>
        </w:rPr>
      </w:pPr>
    </w:p>
    <w:p>
      <w:pPr>
        <w:sectPr>
          <w:pgSz w:w="11900" w:h="16838" w:orient="portrait"/>
          <w:cols w:equalWidth="0" w:num="2">
            <w:col w:w="5500" w:space="460"/>
            <w:col w:w="5480"/>
          </w:cols>
          <w:pgMar w:left="220" w:top="338" w:right="239" w:bottom="1440" w:gutter="0" w:footer="0" w:header="0"/>
          <w:type w:val="continuous"/>
        </w:sectPr>
      </w:pP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type w:val="continuous"/>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40"/>
        <w:spacing w:after="0"/>
        <w:rPr>
          <w:sz w:val="20"/>
          <w:szCs w:val="20"/>
          <w:color w:val="auto"/>
        </w:rPr>
      </w:pPr>
      <w:r>
        <w:rPr>
          <w:rFonts w:ascii="Arial" w:cs="Arial" w:eastAsia="Arial" w:hAnsi="Arial"/>
          <w:sz w:val="12"/>
          <w:szCs w:val="12"/>
          <w:color w:val="0077C0"/>
        </w:rPr>
        <w:t>Notes to the Consolidated Financial Statements</w:t>
      </w:r>
    </w:p>
    <w:p>
      <w:pPr>
        <w:jc w:val="right"/>
        <w:ind w:right="594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8 </w:t>
      </w:r>
      <w:r>
        <w:rPr>
          <w:rFonts w:ascii="Arial" w:cs="Arial" w:eastAsia="Arial" w:hAnsi="Arial"/>
          <w:sz w:val="8"/>
          <w:szCs w:val="8"/>
          <w:color w:val="000000"/>
        </w:rPr>
        <w:t>Fair Value Measurements - Continued</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company uses to value an asset or a liability. The three levels of the fair-value hierarchy are described as follows:</w:t>
      </w:r>
    </w:p>
    <w:p>
      <w:pPr>
        <w:spacing w:after="0" w:line="100" w:lineRule="exact"/>
        <w:rPr>
          <w:sz w:val="20"/>
          <w:szCs w:val="20"/>
          <w:color w:val="auto"/>
        </w:rPr>
      </w:pPr>
    </w:p>
    <w:p>
      <w:pPr>
        <w:ind w:left="220" w:right="60"/>
        <w:spacing w:after="0" w:line="288" w:lineRule="auto"/>
        <w:rPr>
          <w:sz w:val="20"/>
          <w:szCs w:val="20"/>
          <w:color w:val="auto"/>
        </w:rPr>
      </w:pPr>
      <w:r>
        <w:rPr>
          <w:rFonts w:ascii="Arial" w:cs="Arial" w:eastAsia="Arial" w:hAnsi="Arial"/>
          <w:sz w:val="12"/>
          <w:szCs w:val="12"/>
          <w:color w:val="auto"/>
        </w:rPr>
        <w:t>Level 1: Quoted prices (unadjusted) in active markets for identical assets and liabilities. For the company, Level 1 inputs include exchange-traded futures contracts for which the parties are willing to transact at the exchange-quoted price and marketable securities that are actively traded.</w:t>
      </w:r>
    </w:p>
    <w:p>
      <w:pPr>
        <w:spacing w:after="0" w:line="41" w:lineRule="exact"/>
        <w:rPr>
          <w:sz w:val="20"/>
          <w:szCs w:val="20"/>
          <w:color w:val="auto"/>
        </w:rPr>
      </w:pPr>
    </w:p>
    <w:p>
      <w:pPr>
        <w:ind w:left="220" w:right="20"/>
        <w:spacing w:after="0" w:line="253" w:lineRule="auto"/>
        <w:rPr>
          <w:sz w:val="20"/>
          <w:szCs w:val="20"/>
          <w:color w:val="auto"/>
        </w:rPr>
      </w:pPr>
      <w:r>
        <w:rPr>
          <w:rFonts w:ascii="Arial" w:cs="Arial" w:eastAsia="Arial" w:hAnsi="Arial"/>
          <w:sz w:val="13"/>
          <w:szCs w:val="13"/>
          <w:color w:val="auto"/>
        </w:rPr>
        <w:t>Level 2: Inputs other than Level 1 that are observable, either directly or indirectly. For the company, Level 2 inputs include quoted prices for similar assets or liabilities, prices obtained through third-party broker quotes, and prices that can be corroborated with other observable inputs for substantially the complete term of a contract.</w:t>
      </w:r>
    </w:p>
    <w:p>
      <w:pPr>
        <w:spacing w:after="0" w:line="62" w:lineRule="exact"/>
        <w:rPr>
          <w:sz w:val="20"/>
          <w:szCs w:val="20"/>
          <w:color w:val="auto"/>
        </w:rPr>
      </w:pPr>
    </w:p>
    <w:p>
      <w:pPr>
        <w:ind w:left="220" w:right="20"/>
        <w:spacing w:after="0" w:line="325" w:lineRule="auto"/>
        <w:rPr>
          <w:sz w:val="20"/>
          <w:szCs w:val="20"/>
          <w:color w:val="auto"/>
        </w:rPr>
      </w:pPr>
      <w:r>
        <w:rPr>
          <w:rFonts w:ascii="Arial" w:cs="Arial" w:eastAsia="Arial" w:hAnsi="Arial"/>
          <w:sz w:val="11"/>
          <w:szCs w:val="11"/>
          <w:color w:val="auto"/>
        </w:rPr>
        <w:t>Level 3: Unobservable inputs. The company does not use Level 3 inputs for any of its recurring fair-value measurements. Beginning January 1, 2009, Level 3 inputs may be required for the determination of fair value associated with certain nonrecurring measurements of nonfinancial assets and liabilities.</w:t>
      </w:r>
    </w:p>
    <w:p>
      <w:pPr>
        <w:spacing w:after="0" w:line="72" w:lineRule="exact"/>
        <w:rPr>
          <w:sz w:val="20"/>
          <w:szCs w:val="20"/>
          <w:color w:val="auto"/>
        </w:rPr>
      </w:pPr>
    </w:p>
    <w:p>
      <w:pPr>
        <w:ind w:right="240" w:firstLine="158"/>
        <w:spacing w:after="0" w:line="267" w:lineRule="auto"/>
        <w:rPr>
          <w:sz w:val="20"/>
          <w:szCs w:val="20"/>
          <w:color w:val="auto"/>
        </w:rPr>
      </w:pPr>
      <w:r>
        <w:rPr>
          <w:rFonts w:ascii="Arial" w:cs="Arial" w:eastAsia="Arial" w:hAnsi="Arial"/>
          <w:sz w:val="13"/>
          <w:szCs w:val="13"/>
          <w:color w:val="auto"/>
        </w:rPr>
        <w:t>The fair-value hierarchy for assets and liabilities measured at fair value at December 31, 2008, is as follows: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and Liabilities Measured at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 on a Recurring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right"/>
              <w:ind w:right="89"/>
              <w:spacing w:after="0"/>
              <w:rPr>
                <w:sz w:val="20"/>
                <w:szCs w:val="20"/>
                <w:color w:val="auto"/>
              </w:rPr>
            </w:pPr>
            <w:r>
              <w:rPr>
                <w:rFonts w:ascii="Arial" w:cs="Arial" w:eastAsia="Arial" w:hAnsi="Arial"/>
                <w:sz w:val="10"/>
                <w:szCs w:val="10"/>
                <w:color w:val="auto"/>
              </w:rPr>
              <w:t>Prices in Active</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6"/>
        </w:trPr>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Markets for</w:t>
            </w:r>
          </w:p>
        </w:tc>
        <w:tc>
          <w:tcPr>
            <w:tcW w:w="340" w:type="dxa"/>
            <w:vAlign w:val="bottom"/>
          </w:tcPr>
          <w:p>
            <w:pPr>
              <w:spacing w:after="0"/>
              <w:rPr>
                <w:sz w:val="9"/>
                <w:szCs w:val="9"/>
                <w:color w:val="auto"/>
              </w:rPr>
            </w:pPr>
          </w:p>
        </w:tc>
        <w:tc>
          <w:tcPr>
            <w:tcW w:w="36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9"/>
              </w:rPr>
              <w:t>Other</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6"/>
        </w:trPr>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Identical</w:t>
            </w:r>
          </w:p>
        </w:tc>
        <w:tc>
          <w:tcPr>
            <w:tcW w:w="70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Observable</w:t>
            </w:r>
          </w:p>
        </w:tc>
        <w:tc>
          <w:tcPr>
            <w:tcW w:w="7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Unobservable</w:t>
            </w:r>
          </w:p>
        </w:tc>
      </w:tr>
      <w:tr>
        <w:trPr>
          <w:trHeight w:val="106"/>
        </w:trPr>
        <w:tc>
          <w:tcPr>
            <w:tcW w:w="1840" w:type="dxa"/>
            <w:vAlign w:val="bottom"/>
          </w:tcPr>
          <w:p>
            <w:pPr>
              <w:spacing w:after="0"/>
              <w:rPr>
                <w:sz w:val="9"/>
                <w:szCs w:val="9"/>
                <w:color w:val="auto"/>
              </w:rPr>
            </w:pPr>
          </w:p>
        </w:tc>
        <w:tc>
          <w:tcPr>
            <w:tcW w:w="1320" w:type="dxa"/>
            <w:vAlign w:val="bottom"/>
            <w:gridSpan w:val="2"/>
          </w:tcPr>
          <w:p>
            <w:pPr>
              <w:jc w:val="right"/>
              <w:ind w:right="69"/>
              <w:spacing w:after="0" w:line="106" w:lineRule="exact"/>
              <w:rPr>
                <w:sz w:val="20"/>
                <w:szCs w:val="20"/>
                <w:color w:val="auto"/>
              </w:rPr>
            </w:pPr>
            <w:r>
              <w:rPr>
                <w:rFonts w:ascii="Arial" w:cs="Arial" w:eastAsia="Arial" w:hAnsi="Arial"/>
                <w:sz w:val="10"/>
                <w:szCs w:val="10"/>
                <w:color w:val="auto"/>
              </w:rPr>
              <w:t>At December 31</w:t>
            </w:r>
          </w:p>
        </w:tc>
        <w:tc>
          <w:tcPr>
            <w:tcW w:w="94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Assets/Liabilities</w:t>
            </w:r>
          </w:p>
        </w:tc>
        <w:tc>
          <w:tcPr>
            <w:tcW w:w="70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Inputs</w:t>
            </w:r>
          </w:p>
        </w:tc>
        <w:tc>
          <w:tcPr>
            <w:tcW w:w="7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Inputs</w:t>
            </w:r>
          </w:p>
        </w:tc>
      </w:tr>
      <w:tr>
        <w:trPr>
          <w:trHeight w:val="113"/>
        </w:trPr>
        <w:tc>
          <w:tcPr>
            <w:tcW w:w="1840" w:type="dxa"/>
            <w:vAlign w:val="bottom"/>
            <w:tcBorders>
              <w:bottom w:val="single" w:sz="8" w:color="0077C0"/>
            </w:tcBorders>
          </w:tcPr>
          <w:p>
            <w:pPr>
              <w:spacing w:after="0"/>
              <w:rPr>
                <w:sz w:val="9"/>
                <w:szCs w:val="9"/>
                <w:color w:val="auto"/>
              </w:rPr>
            </w:pPr>
          </w:p>
        </w:tc>
        <w:tc>
          <w:tcPr>
            <w:tcW w:w="9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69"/>
              <w:spacing w:after="0" w:line="113" w:lineRule="exact"/>
              <w:rPr>
                <w:sz w:val="20"/>
                <w:szCs w:val="20"/>
                <w:color w:val="auto"/>
              </w:rPr>
            </w:pPr>
            <w:r>
              <w:rPr>
                <w:rFonts w:ascii="Arial" w:cs="Arial" w:eastAsia="Arial" w:hAnsi="Arial"/>
                <w:sz w:val="10"/>
                <w:szCs w:val="10"/>
                <w:color w:val="auto"/>
              </w:rPr>
              <w:t>2008</w:t>
            </w:r>
          </w:p>
        </w:tc>
        <w:tc>
          <w:tcPr>
            <w:tcW w:w="940" w:type="dxa"/>
            <w:vAlign w:val="bottom"/>
            <w:tcBorders>
              <w:bottom w:val="single" w:sz="8" w:color="0077C0"/>
            </w:tcBorders>
            <w:gridSpan w:val="2"/>
          </w:tcPr>
          <w:p>
            <w:pPr>
              <w:jc w:val="right"/>
              <w:ind w:right="89"/>
              <w:spacing w:after="0" w:line="113" w:lineRule="exact"/>
              <w:rPr>
                <w:sz w:val="20"/>
                <w:szCs w:val="20"/>
                <w:color w:val="auto"/>
              </w:rPr>
            </w:pPr>
            <w:r>
              <w:rPr>
                <w:rFonts w:ascii="Arial" w:cs="Arial" w:eastAsia="Arial" w:hAnsi="Arial"/>
                <w:sz w:val="10"/>
                <w:szCs w:val="10"/>
                <w:color w:val="auto"/>
              </w:rPr>
              <w:t>(Level 1)</w:t>
            </w:r>
          </w:p>
        </w:tc>
        <w:tc>
          <w:tcPr>
            <w:tcW w:w="700" w:type="dxa"/>
            <w:vAlign w:val="bottom"/>
            <w:tcBorders>
              <w:bottom w:val="single" w:sz="8" w:color="0077C0"/>
            </w:tcBorders>
            <w:gridSpan w:val="2"/>
          </w:tcPr>
          <w:p>
            <w:pPr>
              <w:jc w:val="right"/>
              <w:ind w:right="89"/>
              <w:spacing w:after="0" w:line="113" w:lineRule="exact"/>
              <w:rPr>
                <w:sz w:val="20"/>
                <w:szCs w:val="20"/>
                <w:color w:val="auto"/>
              </w:rPr>
            </w:pPr>
            <w:r>
              <w:rPr>
                <w:rFonts w:ascii="Arial" w:cs="Arial" w:eastAsia="Arial" w:hAnsi="Arial"/>
                <w:sz w:val="10"/>
                <w:szCs w:val="10"/>
                <w:color w:val="auto"/>
              </w:rPr>
              <w:t>(Level 2)</w:t>
            </w:r>
          </w:p>
        </w:tc>
        <w:tc>
          <w:tcPr>
            <w:tcW w:w="700" w:type="dxa"/>
            <w:vAlign w:val="bottom"/>
            <w:tcBorders>
              <w:bottom w:val="single" w:sz="8" w:color="0077C0"/>
            </w:tcBorders>
            <w:gridSpan w:val="2"/>
          </w:tcPr>
          <w:p>
            <w:pPr>
              <w:jc w:val="right"/>
              <w:spacing w:after="0" w:line="113" w:lineRule="exact"/>
              <w:rPr>
                <w:sz w:val="20"/>
                <w:szCs w:val="20"/>
                <w:color w:val="auto"/>
              </w:rPr>
            </w:pPr>
            <w:r>
              <w:rPr>
                <w:rFonts w:ascii="Arial" w:cs="Arial" w:eastAsia="Arial" w:hAnsi="Arial"/>
                <w:sz w:val="10"/>
                <w:szCs w:val="10"/>
                <w:color w:val="auto"/>
              </w:rPr>
              <w:t>(Level 3)</w:t>
            </w:r>
          </w:p>
        </w:tc>
      </w:tr>
      <w:tr>
        <w:trPr>
          <w:trHeight w:val="90"/>
        </w:trPr>
        <w:tc>
          <w:tcPr>
            <w:tcW w:w="1840" w:type="dxa"/>
            <w:vAlign w:val="bottom"/>
          </w:tcPr>
          <w:p>
            <w:pPr>
              <w:spacing w:after="0" w:line="91" w:lineRule="exact"/>
              <w:rPr>
                <w:sz w:val="20"/>
                <w:szCs w:val="20"/>
                <w:color w:val="auto"/>
              </w:rPr>
            </w:pPr>
            <w:r>
              <w:rPr>
                <w:rFonts w:ascii="Arial" w:cs="Arial" w:eastAsia="Arial" w:hAnsi="Arial"/>
                <w:sz w:val="10"/>
                <w:szCs w:val="10"/>
                <w:color w:val="auto"/>
              </w:rPr>
              <w:t>Marketable Securities</w:t>
            </w:r>
          </w:p>
        </w:tc>
        <w:tc>
          <w:tcPr>
            <w:tcW w:w="92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400" w:type="dxa"/>
            <w:vAlign w:val="bottom"/>
          </w:tcPr>
          <w:p>
            <w:pPr>
              <w:jc w:val="right"/>
              <w:ind w:right="69"/>
              <w:spacing w:after="0" w:line="91" w:lineRule="exact"/>
              <w:rPr>
                <w:sz w:val="20"/>
                <w:szCs w:val="20"/>
                <w:color w:val="auto"/>
              </w:rPr>
            </w:pPr>
            <w:r>
              <w:rPr>
                <w:rFonts w:ascii="Arial" w:cs="Arial" w:eastAsia="Arial" w:hAnsi="Arial"/>
                <w:sz w:val="10"/>
                <w:szCs w:val="10"/>
                <w:b w:val="1"/>
                <w:bCs w:val="1"/>
                <w:color w:val="auto"/>
              </w:rPr>
              <w:t>213</w:t>
            </w:r>
          </w:p>
        </w:tc>
        <w:tc>
          <w:tcPr>
            <w:tcW w:w="6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40" w:type="dxa"/>
            <w:vAlign w:val="bottom"/>
          </w:tcPr>
          <w:p>
            <w:pPr>
              <w:jc w:val="right"/>
              <w:ind w:right="89"/>
              <w:spacing w:after="0" w:line="91" w:lineRule="exact"/>
              <w:rPr>
                <w:sz w:val="20"/>
                <w:szCs w:val="20"/>
                <w:color w:val="auto"/>
              </w:rPr>
            </w:pPr>
            <w:r>
              <w:rPr>
                <w:rFonts w:ascii="Arial" w:cs="Arial" w:eastAsia="Arial" w:hAnsi="Arial"/>
                <w:sz w:val="10"/>
                <w:szCs w:val="10"/>
                <w:color w:val="auto"/>
              </w:rPr>
              <w:t>213</w:t>
            </w: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60" w:type="dxa"/>
            <w:vAlign w:val="bottom"/>
          </w:tcPr>
          <w:p>
            <w:pPr>
              <w:jc w:val="right"/>
              <w:ind w:right="89"/>
              <w:spacing w:after="0" w:line="91"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0"/>
              <w:spacing w:after="0" w:line="91"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r>
      <w:tr>
        <w:trPr>
          <w:trHeight w:val="120"/>
        </w:trPr>
        <w:tc>
          <w:tcPr>
            <w:tcW w:w="18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Derivatives</w:t>
            </w:r>
          </w:p>
        </w:tc>
        <w:tc>
          <w:tcPr>
            <w:tcW w:w="9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805</w:t>
            </w:r>
          </w:p>
        </w:tc>
        <w:tc>
          <w:tcPr>
            <w:tcW w:w="6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529</w:t>
            </w:r>
          </w:p>
        </w:tc>
        <w:tc>
          <w:tcPr>
            <w:tcW w:w="34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276</w:t>
            </w:r>
          </w:p>
        </w:tc>
        <w:tc>
          <w:tcPr>
            <w:tcW w:w="540" w:type="dxa"/>
            <w:vAlign w:val="bottom"/>
            <w:tcBorders>
              <w:bottom w:val="single" w:sz="8" w:color="0077C0"/>
            </w:tcBorders>
          </w:tcPr>
          <w:p>
            <w:pPr>
              <w:spacing w:after="0"/>
              <w:rPr>
                <w:sz w:val="10"/>
                <w:szCs w:val="10"/>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r>
      <w:tr>
        <w:trPr>
          <w:trHeight w:val="105"/>
        </w:trPr>
        <w:tc>
          <w:tcPr>
            <w:tcW w:w="1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Assets at Fair Value</w:t>
            </w:r>
          </w:p>
        </w:tc>
        <w:tc>
          <w:tcPr>
            <w:tcW w:w="9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1,018</w:t>
            </w:r>
          </w:p>
        </w:tc>
        <w:tc>
          <w:tcPr>
            <w:tcW w:w="6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742</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276</w:t>
            </w:r>
          </w:p>
        </w:tc>
        <w:tc>
          <w:tcPr>
            <w:tcW w:w="54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r>
      <w:tr>
        <w:trPr>
          <w:trHeight w:val="105"/>
        </w:trPr>
        <w:tc>
          <w:tcPr>
            <w:tcW w:w="1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Derivatives</w:t>
            </w:r>
          </w:p>
        </w:tc>
        <w:tc>
          <w:tcPr>
            <w:tcW w:w="9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516</w:t>
            </w:r>
          </w:p>
        </w:tc>
        <w:tc>
          <w:tcPr>
            <w:tcW w:w="6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98</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418</w:t>
            </w:r>
          </w:p>
        </w:tc>
        <w:tc>
          <w:tcPr>
            <w:tcW w:w="54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r>
      <w:tr>
        <w:trPr>
          <w:trHeight w:val="114"/>
        </w:trPr>
        <w:tc>
          <w:tcPr>
            <w:tcW w:w="1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Liabilities at Fair Value</w:t>
            </w:r>
          </w:p>
        </w:tc>
        <w:tc>
          <w:tcPr>
            <w:tcW w:w="9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516</w:t>
            </w:r>
          </w:p>
        </w:tc>
        <w:tc>
          <w:tcPr>
            <w:tcW w:w="6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98</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418</w:t>
            </w:r>
          </w:p>
        </w:tc>
        <w:tc>
          <w:tcPr>
            <w:tcW w:w="540" w:type="dxa"/>
            <w:vAlign w:val="bottom"/>
            <w:tcBorders>
              <w:bottom w:val="single" w:sz="8" w:color="0077C0"/>
            </w:tcBorders>
          </w:tcPr>
          <w:p>
            <w:pPr>
              <w:jc w:val="right"/>
              <w:ind w:right="10"/>
              <w:spacing w:after="0" w:line="105"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r>
    </w:tbl>
    <w:p>
      <w:pPr>
        <w:spacing w:after="0" w:line="126" w:lineRule="exact"/>
        <w:rPr>
          <w:sz w:val="20"/>
          <w:szCs w:val="20"/>
          <w:color w:val="auto"/>
        </w:rPr>
      </w:pPr>
    </w:p>
    <w:p>
      <w:pPr>
        <w:ind w:right="100" w:firstLine="160"/>
        <w:spacing w:after="0" w:line="267" w:lineRule="auto"/>
        <w:rPr>
          <w:sz w:val="20"/>
          <w:szCs w:val="20"/>
          <w:color w:val="auto"/>
        </w:rPr>
      </w:pPr>
      <w:r>
        <w:rPr>
          <w:rFonts w:ascii="Arial" w:cs="Arial" w:eastAsia="Arial" w:hAnsi="Arial"/>
          <w:sz w:val="13"/>
          <w:szCs w:val="13"/>
          <w:i w:val="1"/>
          <w:iCs w:val="1"/>
          <w:color w:val="E51837"/>
        </w:rPr>
        <w:t xml:space="preserve">Marketable securities </w:t>
      </w:r>
      <w:r>
        <w:rPr>
          <w:rFonts w:ascii="Arial" w:cs="Arial" w:eastAsia="Arial" w:hAnsi="Arial"/>
          <w:sz w:val="13"/>
          <w:szCs w:val="13"/>
          <w:color w:val="000000"/>
        </w:rPr>
        <w:t>The company calculates fair value for its marketable securities based on quoted</w:t>
      </w:r>
      <w:r>
        <w:rPr>
          <w:rFonts w:ascii="Arial" w:cs="Arial" w:eastAsia="Arial" w:hAnsi="Arial"/>
          <w:sz w:val="13"/>
          <w:szCs w:val="13"/>
          <w:i w:val="1"/>
          <w:iCs w:val="1"/>
          <w:color w:val="E51837"/>
        </w:rPr>
        <w:t xml:space="preserve"> </w:t>
      </w:r>
      <w:r>
        <w:rPr>
          <w:rFonts w:ascii="Arial" w:cs="Arial" w:eastAsia="Arial" w:hAnsi="Arial"/>
          <w:sz w:val="13"/>
          <w:szCs w:val="13"/>
          <w:color w:val="000000"/>
        </w:rPr>
        <w:t>market prices for identical assets and liabilities.</w:t>
      </w:r>
    </w:p>
    <w:p>
      <w:pPr>
        <w:spacing w:after="0" w:line="100" w:lineRule="exact"/>
        <w:rPr>
          <w:sz w:val="20"/>
          <w:szCs w:val="20"/>
          <w:color w:val="auto"/>
        </w:rPr>
      </w:pPr>
    </w:p>
    <w:p>
      <w:pPr>
        <w:ind w:right="140" w:firstLine="160"/>
        <w:spacing w:after="0" w:line="270" w:lineRule="auto"/>
        <w:rPr>
          <w:sz w:val="20"/>
          <w:szCs w:val="20"/>
          <w:color w:val="auto"/>
        </w:rPr>
      </w:pPr>
      <w:r>
        <w:rPr>
          <w:rFonts w:ascii="Arial" w:cs="Arial" w:eastAsia="Arial" w:hAnsi="Arial"/>
          <w:sz w:val="12"/>
          <w:szCs w:val="12"/>
          <w:i w:val="1"/>
          <w:iCs w:val="1"/>
          <w:color w:val="E51837"/>
        </w:rPr>
        <w:t xml:space="preserve">Derivatives </w:t>
      </w:r>
      <w:r>
        <w:rPr>
          <w:rFonts w:ascii="Arial" w:cs="Arial" w:eastAsia="Arial" w:hAnsi="Arial"/>
          <w:sz w:val="12"/>
          <w:szCs w:val="12"/>
          <w:color w:val="000000"/>
        </w:rPr>
        <w:t>The company records its derivative instruments – other than any commodity derivative</w:t>
      </w:r>
      <w:r>
        <w:rPr>
          <w:rFonts w:ascii="Arial" w:cs="Arial" w:eastAsia="Arial" w:hAnsi="Arial"/>
          <w:sz w:val="12"/>
          <w:szCs w:val="12"/>
          <w:i w:val="1"/>
          <w:iCs w:val="1"/>
          <w:color w:val="E51837"/>
        </w:rPr>
        <w:t xml:space="preserve"> </w:t>
      </w:r>
      <w:r>
        <w:rPr>
          <w:rFonts w:ascii="Arial" w:cs="Arial" w:eastAsia="Arial" w:hAnsi="Arial"/>
          <w:sz w:val="12"/>
          <w:szCs w:val="12"/>
          <w:color w:val="000000"/>
        </w:rPr>
        <w:t>contracts that are designated as normal purchase and normal sale – on the Consolidated Balance Sheet at fair value, with virtually all the offsetting amount to income. For derivatives with identical or similar provisions as contracts that are publicly traded on a regular basis, the company uses the market values of the publicly traded instruments as an input for fair-value calculations.</w:t>
      </w:r>
    </w:p>
    <w:p>
      <w:pPr>
        <w:spacing w:after="0" w:line="1" w:lineRule="exact"/>
        <w:rPr>
          <w:sz w:val="20"/>
          <w:szCs w:val="20"/>
          <w:color w:val="auto"/>
        </w:rPr>
      </w:pPr>
    </w:p>
    <w:p>
      <w:pPr>
        <w:ind w:right="100" w:firstLine="158"/>
        <w:spacing w:after="0" w:line="250" w:lineRule="auto"/>
        <w:rPr>
          <w:sz w:val="20"/>
          <w:szCs w:val="20"/>
          <w:color w:val="auto"/>
        </w:rPr>
      </w:pPr>
      <w:r>
        <w:rPr>
          <w:rFonts w:ascii="Arial" w:cs="Arial" w:eastAsia="Arial" w:hAnsi="Arial"/>
          <w:sz w:val="13"/>
          <w:szCs w:val="13"/>
          <w:color w:val="auto"/>
        </w:rPr>
        <w:t>The company’s derivative instruments principally include crude oil, natural gas and refined-product futures, swaps, options and forward contracts, as well as interest-rate swaps and foreign currency forward contracts.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300"/>
        <w:spacing w:after="0" w:line="253" w:lineRule="auto"/>
        <w:rPr>
          <w:sz w:val="20"/>
          <w:szCs w:val="20"/>
          <w:color w:val="auto"/>
        </w:rPr>
      </w:pPr>
      <w:r>
        <w:rPr>
          <w:rFonts w:ascii="Arial" w:cs="Arial" w:eastAsia="Arial" w:hAnsi="Arial"/>
          <w:sz w:val="13"/>
          <w:szCs w:val="13"/>
          <w:color w:val="auto"/>
        </w:rPr>
        <w:t>classified as Level 1 include futures, swaps and options contracts traded in active markets such as the NYMEX (New York Mercantile Exchange).</w:t>
      </w:r>
    </w:p>
    <w:p>
      <w:pPr>
        <w:spacing w:after="0" w:line="1" w:lineRule="exact"/>
        <w:rPr>
          <w:sz w:val="20"/>
          <w:szCs w:val="20"/>
          <w:color w:val="auto"/>
        </w:rPr>
      </w:pPr>
    </w:p>
    <w:p>
      <w:pPr>
        <w:ind w:firstLine="160"/>
        <w:spacing w:after="0" w:line="298" w:lineRule="auto"/>
        <w:rPr>
          <w:sz w:val="20"/>
          <w:szCs w:val="20"/>
          <w:color w:val="auto"/>
        </w:rPr>
      </w:pPr>
      <w:r>
        <w:rPr>
          <w:rFonts w:ascii="Arial" w:cs="Arial" w:eastAsia="Arial" w:hAnsi="Arial"/>
          <w:sz w:val="11"/>
          <w:szCs w:val="11"/>
          <w:color w:val="auto"/>
        </w:rPr>
        <w:t>Derivatives classified as Level 2 include swaps (including interest rate), options, and forward (including foreign currency) contracts principally with financial institutions and other oil and gas companies, the fair values for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 The company incorporates internal review, evaluation and assessment procedures, including a comparison of Level 2 fair values derived from the company’s internally developed forward curves (on a sample basis) with the pricing information to document reasonable, logical and supportable fair-value determinations and proper level of classification.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Operating Segments and Geographic Data</w:t>
      </w:r>
    </w:p>
    <w:p>
      <w:pPr>
        <w:ind w:right="20"/>
        <w:spacing w:after="0" w:line="293" w:lineRule="auto"/>
        <w:rPr>
          <w:sz w:val="20"/>
          <w:szCs w:val="20"/>
          <w:color w:val="auto"/>
        </w:rPr>
      </w:pPr>
      <w:r>
        <w:rPr>
          <w:rFonts w:ascii="Arial" w:cs="Arial" w:eastAsia="Arial" w:hAnsi="Arial"/>
          <w:sz w:val="11"/>
          <w:szCs w:val="11"/>
          <w:color w:val="auto"/>
        </w:rPr>
        <w:t xml:space="preserve">Although each subsidiary of Chevron is responsible for its own affairs, Chevron Corporation manages its investments in these subsidiaries and their affiliates. For this purpose, the investments are grouped as follows: upstream – exploration and production; downstream – refining, marketing and transportation; chemicals; and all other. The first three of these groupings represent the company’s “reportable segments” and “operating segments” as defined in Financial Accounting Standards Board (FASB) Statement No. 131, </w:t>
      </w:r>
      <w:r>
        <w:rPr>
          <w:rFonts w:ascii="Arial" w:cs="Arial" w:eastAsia="Arial" w:hAnsi="Arial"/>
          <w:sz w:val="11"/>
          <w:szCs w:val="11"/>
          <w:i w:val="1"/>
          <w:iCs w:val="1"/>
          <w:color w:val="auto"/>
        </w:rPr>
        <w:t xml:space="preserve">Disclosures About Segments of an Enterprise and Related Information </w:t>
      </w:r>
      <w:r>
        <w:rPr>
          <w:rFonts w:ascii="Arial" w:cs="Arial" w:eastAsia="Arial" w:hAnsi="Arial"/>
          <w:sz w:val="11"/>
          <w:szCs w:val="11"/>
          <w:color w:val="auto"/>
        </w:rPr>
        <w:t>(FAS 131).</w:t>
      </w:r>
    </w:p>
    <w:p>
      <w:pPr>
        <w:ind w:firstLine="158"/>
        <w:spacing w:after="0" w:line="291" w:lineRule="auto"/>
        <w:rPr>
          <w:sz w:val="20"/>
          <w:szCs w:val="20"/>
          <w:color w:val="auto"/>
        </w:rPr>
      </w:pPr>
      <w:r>
        <w:rPr>
          <w:rFonts w:ascii="Arial" w:cs="Arial" w:eastAsia="Arial" w:hAnsi="Arial"/>
          <w:sz w:val="11"/>
          <w:szCs w:val="11"/>
          <w:color w:val="auto"/>
        </w:rPr>
        <w:t>The segments are separately managed for investment purposes under a structure that includes “segment managers” who report to the company’s “chief operating decision maker” (CODM) (terms as defined in FAS 131). The CODM is the company’s Executive Committee, a committee of senior officers that includes the Chief Executive Officer and that, in turn, reports to the Board of Directors of Chevron Corporation.</w:t>
      </w:r>
    </w:p>
    <w:p>
      <w:pPr>
        <w:spacing w:after="0" w:line="2" w:lineRule="exact"/>
        <w:rPr>
          <w:sz w:val="20"/>
          <w:szCs w:val="20"/>
          <w:color w:val="auto"/>
        </w:rPr>
      </w:pPr>
    </w:p>
    <w:p>
      <w:pPr>
        <w:ind w:right="40" w:firstLine="158"/>
        <w:spacing w:after="0" w:line="291" w:lineRule="auto"/>
        <w:rPr>
          <w:sz w:val="20"/>
          <w:szCs w:val="20"/>
          <w:color w:val="auto"/>
        </w:rPr>
      </w:pPr>
      <w:r>
        <w:rPr>
          <w:rFonts w:ascii="Arial" w:cs="Arial" w:eastAsia="Arial" w:hAnsi="Arial"/>
          <w:sz w:val="11"/>
          <w:szCs w:val="11"/>
          <w:color w:val="auto"/>
        </w:rPr>
        <w:t>The operating segments represent components of the company as described in FAS 131 terms that engage in activities (a) from which revenues are earned and expenses are incurred; (b) whose operating results are regularly reviewed by the CODM, which makes decisions about resources to be allocated to the segments and to assess their performance; and (c) for which discrete financial information is available.</w:t>
      </w:r>
    </w:p>
    <w:p>
      <w:pPr>
        <w:spacing w:after="0" w:line="2" w:lineRule="exact"/>
        <w:rPr>
          <w:sz w:val="20"/>
          <w:szCs w:val="20"/>
          <w:color w:val="auto"/>
        </w:rPr>
      </w:pPr>
    </w:p>
    <w:p>
      <w:pPr>
        <w:ind w:firstLine="160"/>
        <w:spacing w:after="0" w:line="249" w:lineRule="auto"/>
        <w:rPr>
          <w:sz w:val="20"/>
          <w:szCs w:val="20"/>
          <w:color w:val="auto"/>
        </w:rPr>
      </w:pPr>
      <w:r>
        <w:rPr>
          <w:rFonts w:ascii="Arial" w:cs="Arial" w:eastAsia="Arial" w:hAnsi="Arial"/>
          <w:sz w:val="13"/>
          <w:szCs w:val="13"/>
          <w:color w:val="auto"/>
        </w:rPr>
        <w:t>Segment managers for the reportable segments are accountable directly to and maintain regular contact with the company’s CODM to discuss the segment’s operating activities and financial performance. The CODM approves annual capital and exploratory budgets at the reportable segment level, as well as reviews capital and exploratory funding for major</w:t>
      </w:r>
    </w:p>
    <w:p>
      <w:pPr>
        <w:spacing w:after="0" w:line="1565"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9 </w:t>
      </w:r>
      <w:r>
        <w:rPr>
          <w:rFonts w:ascii="Arial" w:cs="Arial" w:eastAsia="Arial" w:hAnsi="Arial"/>
          <w:sz w:val="8"/>
          <w:szCs w:val="8"/>
          <w:color w:val="000000"/>
        </w:rPr>
        <w:t>Operating Segments and Geographic Data - Continued</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projects and approves major changes to the annual capital and exploratory budgets. However, business-unit managers within the operating segments are directly responsible for decisions relating to project implementation and all other matters connected with daily operations. Company officers who are members of the Executive Committee also have individual management responsibilities and participate in other committees for purposes other than acting as the CODM.</w:t>
      </w:r>
    </w:p>
    <w:p>
      <w:pPr>
        <w:spacing w:after="0" w:line="97"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“All Other” activities include the company’s interest in Dynegy (through May 2007, when Chevron sold its interest), mining operations, power generation businesses, worldwide cash management and debt financing activities, corporate administrative functions, insurance operations, real estate activities, alternative fuels, and technology companies.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company’s primary country of operation is the United States of America, its country of domicile.</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Other components of the company’s operations are reported as “International” (outside the United States).</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i w:val="1"/>
          <w:iCs w:val="1"/>
          <w:color w:val="E51837"/>
        </w:rPr>
        <w:t xml:space="preserve">Segment Earnings </w:t>
      </w:r>
      <w:r>
        <w:rPr>
          <w:rFonts w:ascii="Arial" w:cs="Arial" w:eastAsia="Arial" w:hAnsi="Arial"/>
          <w:sz w:val="12"/>
          <w:szCs w:val="12"/>
          <w:color w:val="000000"/>
        </w:rPr>
        <w:t>The company evaluates the performance of its operating segments on an after-tax basis,</w:t>
      </w:r>
      <w:r>
        <w:rPr>
          <w:rFonts w:ascii="Arial" w:cs="Arial" w:eastAsia="Arial" w:hAnsi="Arial"/>
          <w:sz w:val="12"/>
          <w:szCs w:val="12"/>
          <w:i w:val="1"/>
          <w:iCs w:val="1"/>
          <w:color w:val="E51837"/>
        </w:rPr>
        <w:t xml:space="preserve"> </w:t>
      </w:r>
      <w:r>
        <w:rPr>
          <w:rFonts w:ascii="Arial" w:cs="Arial" w:eastAsia="Arial" w:hAnsi="Arial"/>
          <w:sz w:val="12"/>
          <w:szCs w:val="12"/>
          <w:color w:val="000000"/>
        </w:rPr>
        <w:t>without considering the effects of debt financing interest expense or investment interest income, both of which are managed by the company on a worldwide basis. Corporate administrative costs and assets are not allocated to the operating segments. However, operating segments are billed for the direct use of corporate services. Nonbillable costs remain at the corporate level in “All Other.” After-tax segment income by major operating area is presented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0"/>
                <w:szCs w:val="10"/>
                <w:color w:val="auto"/>
                <w:w w:val="83"/>
              </w:rPr>
              <w:t>Year ended December 31</w:t>
            </w:r>
          </w:p>
        </w:tc>
        <w:tc>
          <w:tcPr>
            <w:tcW w:w="0" w:type="dxa"/>
            <w:vAlign w:val="bottom"/>
          </w:tcPr>
          <w:p>
            <w:pPr>
              <w:spacing w:after="0"/>
              <w:rPr>
                <w:sz w:val="1"/>
                <w:szCs w:val="1"/>
                <w:color w:val="auto"/>
              </w:rPr>
            </w:pPr>
          </w:p>
        </w:tc>
      </w:tr>
      <w:tr>
        <w:trPr>
          <w:trHeight w:val="95"/>
        </w:trPr>
        <w:tc>
          <w:tcPr>
            <w:tcW w:w="37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color w:val="auto"/>
              </w:rPr>
              <w:t>2007</w:t>
            </w:r>
          </w:p>
        </w:tc>
        <w:tc>
          <w:tcPr>
            <w:tcW w:w="22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line="91" w:lineRule="exact"/>
              <w:rPr>
                <w:sz w:val="20"/>
                <w:szCs w:val="20"/>
                <w:color w:val="auto"/>
              </w:rPr>
            </w:pPr>
            <w:r>
              <w:rPr>
                <w:rFonts w:ascii="Arial" w:cs="Arial" w:eastAsia="Arial" w:hAnsi="Arial"/>
                <w:sz w:val="10"/>
                <w:szCs w:val="10"/>
                <w:b w:val="1"/>
                <w:bCs w:val="1"/>
                <w:color w:val="auto"/>
              </w:rPr>
              <w:t>Income by Major Operating Area</w:t>
            </w:r>
          </w:p>
        </w:tc>
        <w:tc>
          <w:tcPr>
            <w:tcW w:w="80" w:type="dxa"/>
            <w:vAlign w:val="bottom"/>
          </w:tcPr>
          <w:p>
            <w:pPr>
              <w:spacing w:after="0"/>
              <w:rPr>
                <w:sz w:val="7"/>
                <w:szCs w:val="7"/>
                <w:color w:val="auto"/>
              </w:rPr>
            </w:pPr>
          </w:p>
        </w:tc>
        <w:tc>
          <w:tcPr>
            <w:tcW w:w="460" w:type="dxa"/>
            <w:vAlign w:val="bottom"/>
            <w:tcBorders>
              <w:right w:val="single" w:sz="8" w:color="0077C0"/>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b w:val="1"/>
                <w:bCs w:val="1"/>
                <w:color w:val="auto"/>
              </w:rPr>
              <w:t>Upstream</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7,126</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4,532</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4,270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4"/>
              </w:rPr>
              <w:t>14,584</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1"/>
              </w:rPr>
              <w:t>10,284</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8,872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21,710</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14,816</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13,142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8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1,369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966</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1,938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2,060</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2,536</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3,429</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3,502</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3,973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8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22</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253</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160</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143</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Chemicals</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182</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396</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line="91" w:lineRule="exact"/>
              <w:rPr>
                <w:sz w:val="20"/>
                <w:szCs w:val="20"/>
                <w:color w:val="auto"/>
              </w:rPr>
            </w:pPr>
            <w:r>
              <w:rPr>
                <w:rFonts w:ascii="Arial" w:cs="Arial" w:eastAsia="Arial" w:hAnsi="Arial"/>
                <w:sz w:val="10"/>
                <w:szCs w:val="10"/>
                <w:b w:val="1"/>
                <w:bCs w:val="1"/>
                <w:color w:val="auto"/>
              </w:rPr>
              <w:t>Total Segment Income</w:t>
            </w:r>
          </w:p>
        </w:tc>
        <w:tc>
          <w:tcPr>
            <w:tcW w:w="80" w:type="dxa"/>
            <w:vAlign w:val="bottom"/>
          </w:tcPr>
          <w:p>
            <w:pPr>
              <w:spacing w:after="0"/>
              <w:rPr>
                <w:sz w:val="7"/>
                <w:szCs w:val="7"/>
                <w:color w:val="auto"/>
              </w:rPr>
            </w:pPr>
          </w:p>
        </w:tc>
        <w:tc>
          <w:tcPr>
            <w:tcW w:w="46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84"/>
              </w:rPr>
              <w:t>25,321</w:t>
            </w:r>
          </w:p>
        </w:tc>
        <w:tc>
          <w:tcPr>
            <w:tcW w:w="160" w:type="dxa"/>
            <w:vAlign w:val="bottom"/>
          </w:tcPr>
          <w:p>
            <w:pPr>
              <w:spacing w:after="0"/>
              <w:rPr>
                <w:sz w:val="7"/>
                <w:szCs w:val="7"/>
                <w:color w:val="auto"/>
              </w:rPr>
            </w:pPr>
          </w:p>
        </w:tc>
        <w:tc>
          <w:tcPr>
            <w:tcW w:w="460" w:type="dxa"/>
            <w:vAlign w:val="bottom"/>
          </w:tcPr>
          <w:p>
            <w:pPr>
              <w:jc w:val="right"/>
              <w:ind w:right="109"/>
              <w:spacing w:after="0" w:line="91" w:lineRule="exact"/>
              <w:rPr>
                <w:sz w:val="20"/>
                <w:szCs w:val="20"/>
                <w:color w:val="auto"/>
              </w:rPr>
            </w:pPr>
            <w:r>
              <w:rPr>
                <w:rFonts w:ascii="Arial" w:cs="Arial" w:eastAsia="Arial" w:hAnsi="Arial"/>
                <w:sz w:val="10"/>
                <w:szCs w:val="10"/>
                <w:color w:val="auto"/>
                <w:w w:val="91"/>
              </w:rPr>
              <w:t>18,714</w:t>
            </w:r>
          </w:p>
        </w:tc>
        <w:tc>
          <w:tcPr>
            <w:tcW w:w="220" w:type="dxa"/>
            <w:vAlign w:val="bottom"/>
          </w:tcPr>
          <w:p>
            <w:pPr>
              <w:spacing w:after="0"/>
              <w:rPr>
                <w:sz w:val="7"/>
                <w:szCs w:val="7"/>
                <w:color w:val="auto"/>
              </w:rPr>
            </w:pP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1"/>
              </w:rPr>
              <w:t>17,654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b w:val="1"/>
                <w:bCs w:val="1"/>
                <w:color w:val="auto"/>
              </w:rPr>
              <w:t>All Other</w:t>
            </w:r>
          </w:p>
        </w:tc>
        <w:tc>
          <w:tcPr>
            <w:tcW w:w="8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Interest expense</w:t>
            </w:r>
          </w:p>
        </w:tc>
        <w:tc>
          <w:tcPr>
            <w:tcW w:w="8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89"/>
              <w:spacing w:after="0" w:line="104" w:lineRule="exact"/>
              <w:rPr>
                <w:sz w:val="20"/>
                <w:szCs w:val="20"/>
                <w:color w:val="auto"/>
              </w:rPr>
            </w:pPr>
            <w:r>
              <w:rPr>
                <w:rFonts w:ascii="Arial" w:cs="Arial" w:eastAsia="Arial" w:hAnsi="Arial"/>
                <w:sz w:val="10"/>
                <w:szCs w:val="10"/>
                <w:color w:val="auto"/>
              </w:rPr>
              <w:t>(107)</w:t>
            </w:r>
          </w:p>
        </w:tc>
        <w:tc>
          <w:tcPr>
            <w:tcW w:w="220" w:type="dxa"/>
            <w:vAlign w:val="bottom"/>
          </w:tcPr>
          <w:p>
            <w:pPr>
              <w:spacing w:after="0"/>
              <w:rPr>
                <w:sz w:val="9"/>
                <w:szCs w:val="9"/>
                <w:color w:val="auto"/>
              </w:rPr>
            </w:pPr>
          </w:p>
        </w:tc>
        <w:tc>
          <w:tcPr>
            <w:tcW w:w="32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Interest income</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192</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385</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380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80" w:type="dxa"/>
            <w:vAlign w:val="bottom"/>
          </w:tcPr>
          <w:p>
            <w:pPr>
              <w:ind w:left="10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0"/>
                <w:szCs w:val="10"/>
                <w:color w:val="auto"/>
              </w:rPr>
            </w:pPr>
          </w:p>
        </w:tc>
        <w:tc>
          <w:tcPr>
            <w:tcW w:w="46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w w:val="94"/>
              </w:rPr>
              <w:t>(1,582)</w:t>
            </w:r>
          </w:p>
        </w:tc>
        <w:tc>
          <w:tcPr>
            <w:tcW w:w="16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color w:val="auto"/>
              </w:rPr>
              <w:t>(304)</w:t>
            </w:r>
          </w:p>
        </w:tc>
        <w:tc>
          <w:tcPr>
            <w:tcW w:w="22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0"/>
                <w:szCs w:val="10"/>
                <w:color w:val="auto"/>
              </w:rPr>
              <w:t>(584)</w:t>
            </w:r>
          </w:p>
        </w:tc>
        <w:tc>
          <w:tcPr>
            <w:tcW w:w="0" w:type="dxa"/>
            <w:vAlign w:val="bottom"/>
          </w:tcPr>
          <w:p>
            <w:pPr>
              <w:spacing w:after="0"/>
              <w:rPr>
                <w:sz w:val="1"/>
                <w:szCs w:val="1"/>
                <w:color w:val="auto"/>
              </w:rPr>
            </w:pPr>
          </w:p>
        </w:tc>
      </w:tr>
      <w:tr>
        <w:trPr>
          <w:trHeight w:val="114"/>
        </w:trPr>
        <w:tc>
          <w:tcPr>
            <w:tcW w:w="37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Net Income</w:t>
            </w:r>
          </w:p>
        </w:tc>
        <w:tc>
          <w:tcPr>
            <w:tcW w:w="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0077C0"/>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23,931</w:t>
            </w:r>
          </w:p>
        </w:tc>
        <w:tc>
          <w:tcPr>
            <w:tcW w:w="1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18,688</w:t>
            </w:r>
          </w:p>
        </w:tc>
        <w:tc>
          <w:tcPr>
            <w:tcW w:w="2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17,138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Arial" w:cs="Arial" w:eastAsia="Arial" w:hAnsi="Arial"/>
          <w:sz w:val="11"/>
          <w:szCs w:val="11"/>
          <w:i w:val="1"/>
          <w:iCs w:val="1"/>
          <w:color w:val="E51837"/>
        </w:rPr>
        <w:t xml:space="preserve">Segment Assets </w:t>
      </w:r>
      <w:r>
        <w:rPr>
          <w:rFonts w:ascii="Arial" w:cs="Arial" w:eastAsia="Arial" w:hAnsi="Arial"/>
          <w:sz w:val="11"/>
          <w:szCs w:val="11"/>
          <w:color w:val="000000"/>
        </w:rPr>
        <w:t>Segment assets do not include intercompany investments or intercompany receivables.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Segment assets at year-end 2008 and 2007 are as follows:</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w w:val="88"/>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Borders>
              <w:bottom w:val="single" w:sz="8" w:color="0077C0"/>
            </w:tcBorders>
          </w:tcPr>
          <w:p>
            <w:pPr>
              <w:spacing w:after="0"/>
              <w:rPr>
                <w:sz w:val="8"/>
                <w:szCs w:val="8"/>
                <w:color w:val="auto"/>
              </w:rPr>
            </w:pPr>
          </w:p>
        </w:tc>
        <w:tc>
          <w:tcPr>
            <w:tcW w:w="1580" w:type="dxa"/>
            <w:vAlign w:val="bottom"/>
            <w:tcBorders>
              <w:bottom w:val="single" w:sz="8" w:color="0077C0"/>
            </w:tcBorders>
          </w:tcPr>
          <w:p>
            <w:pPr>
              <w:spacing w:after="0"/>
              <w:rPr>
                <w:sz w:val="8"/>
                <w:szCs w:val="8"/>
                <w:color w:val="auto"/>
              </w:rPr>
            </w:pPr>
          </w:p>
        </w:tc>
        <w:tc>
          <w:tcPr>
            <w:tcW w:w="60" w:type="dxa"/>
            <w:vAlign w:val="bottom"/>
            <w:tcBorders>
              <w:bottom w:val="single" w:sz="8" w:color="0077C0"/>
            </w:tcBorders>
          </w:tcPr>
          <w:p>
            <w:pPr>
              <w:spacing w:after="0"/>
              <w:rPr>
                <w:sz w:val="8"/>
                <w:szCs w:val="8"/>
                <w:color w:val="auto"/>
              </w:rPr>
            </w:pPr>
          </w:p>
        </w:tc>
        <w:tc>
          <w:tcPr>
            <w:tcW w:w="38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b w:val="1"/>
                <w:bCs w:val="1"/>
                <w:color w:val="auto"/>
              </w:rPr>
              <w:t>2008</w:t>
            </w:r>
          </w:p>
        </w:tc>
        <w:tc>
          <w:tcPr>
            <w:tcW w:w="140" w:type="dxa"/>
            <w:vAlign w:val="bottom"/>
            <w:tcBorders>
              <w:bottom w:val="single" w:sz="8" w:color="0077C0"/>
            </w:tcBorders>
          </w:tcPr>
          <w:p>
            <w:pPr>
              <w:spacing w:after="0"/>
              <w:rPr>
                <w:sz w:val="8"/>
                <w:szCs w:val="8"/>
                <w:color w:val="auto"/>
              </w:rPr>
            </w:pPr>
          </w:p>
        </w:tc>
        <w:tc>
          <w:tcPr>
            <w:tcW w:w="180" w:type="dxa"/>
            <w:vAlign w:val="bottom"/>
            <w:tcBorders>
              <w:bottom w:val="single" w:sz="8" w:color="0077C0"/>
            </w:tcBorders>
          </w:tcPr>
          <w:p>
            <w:pPr>
              <w:spacing w:after="0"/>
              <w:rPr>
                <w:sz w:val="8"/>
                <w:szCs w:val="8"/>
                <w:color w:val="auto"/>
              </w:rPr>
            </w:pPr>
          </w:p>
        </w:tc>
        <w:tc>
          <w:tcPr>
            <w:tcW w:w="34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Pr>
          <w:p>
            <w:pPr>
              <w:spacing w:after="0" w:line="92" w:lineRule="exact"/>
              <w:rPr>
                <w:sz w:val="20"/>
                <w:szCs w:val="20"/>
                <w:color w:val="auto"/>
              </w:rPr>
            </w:pPr>
            <w:r>
              <w:rPr>
                <w:rFonts w:ascii="Arial" w:cs="Arial" w:eastAsia="Arial" w:hAnsi="Arial"/>
                <w:sz w:val="10"/>
                <w:szCs w:val="10"/>
                <w:b w:val="1"/>
                <w:bCs w:val="1"/>
                <w:color w:val="auto"/>
              </w:rPr>
              <w:t>Upstream</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26,071</w:t>
            </w:r>
          </w:p>
        </w:tc>
        <w:tc>
          <w:tcPr>
            <w:tcW w:w="14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64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Borders>
              <w:right w:val="single" w:sz="8" w:color="0077C0"/>
            </w:tcBorders>
          </w:tcPr>
          <w:p>
            <w:pPr>
              <w:spacing w:after="0"/>
              <w:rPr>
                <w:sz w:val="9"/>
                <w:szCs w:val="9"/>
                <w:color w:val="auto"/>
              </w:rPr>
            </w:pP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23,535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ind w:left="80"/>
              <w:spacing w:after="0" w:line="106" w:lineRule="exact"/>
              <w:rPr>
                <w:sz w:val="20"/>
                <w:szCs w:val="20"/>
                <w:color w:val="auto"/>
              </w:rPr>
            </w:pPr>
            <w:r>
              <w:rPr>
                <w:rFonts w:ascii="Arial" w:cs="Arial" w:eastAsia="Arial" w:hAnsi="Arial"/>
                <w:sz w:val="10"/>
                <w:szCs w:val="10"/>
                <w:color w:val="auto"/>
              </w:rPr>
              <w:t>International</w:t>
            </w: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72,530</w:t>
            </w:r>
          </w:p>
        </w:tc>
        <w:tc>
          <w:tcPr>
            <w:tcW w:w="14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61,049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Goodwill</w:t>
            </w:r>
          </w:p>
        </w:tc>
        <w:tc>
          <w:tcPr>
            <w:tcW w:w="15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4,619</w:t>
            </w:r>
          </w:p>
        </w:tc>
        <w:tc>
          <w:tcPr>
            <w:tcW w:w="14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4,637</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7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15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93"/>
              </w:rPr>
              <w:t>103,220</w:t>
            </w:r>
          </w:p>
        </w:tc>
        <w:tc>
          <w:tcPr>
            <w:tcW w:w="14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89,221</w:t>
            </w:r>
          </w:p>
        </w:tc>
        <w:tc>
          <w:tcPr>
            <w:tcW w:w="0" w:type="dxa"/>
            <w:vAlign w:val="bottom"/>
          </w:tcPr>
          <w:p>
            <w:pPr>
              <w:spacing w:after="0"/>
              <w:rPr>
                <w:sz w:val="1"/>
                <w:szCs w:val="1"/>
                <w:color w:val="auto"/>
              </w:rPr>
            </w:pPr>
          </w:p>
        </w:tc>
      </w:tr>
      <w:tr>
        <w:trPr>
          <w:trHeight w:val="92"/>
        </w:trPr>
        <w:tc>
          <w:tcPr>
            <w:tcW w:w="27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15,869</w:t>
            </w:r>
          </w:p>
        </w:tc>
        <w:tc>
          <w:tcPr>
            <w:tcW w:w="14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16,790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5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23,572</w:t>
            </w:r>
          </w:p>
        </w:tc>
        <w:tc>
          <w:tcPr>
            <w:tcW w:w="14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26,075</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7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15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39,441</w:t>
            </w:r>
          </w:p>
        </w:tc>
        <w:tc>
          <w:tcPr>
            <w:tcW w:w="14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42,865</w:t>
            </w:r>
          </w:p>
        </w:tc>
        <w:tc>
          <w:tcPr>
            <w:tcW w:w="0" w:type="dxa"/>
            <w:vAlign w:val="bottom"/>
          </w:tcPr>
          <w:p>
            <w:pPr>
              <w:spacing w:after="0"/>
              <w:rPr>
                <w:sz w:val="1"/>
                <w:szCs w:val="1"/>
                <w:color w:val="auto"/>
              </w:rPr>
            </w:pPr>
          </w:p>
        </w:tc>
      </w:tr>
      <w:tr>
        <w:trPr>
          <w:trHeight w:val="92"/>
        </w:trPr>
        <w:tc>
          <w:tcPr>
            <w:tcW w:w="27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2,535</w:t>
            </w:r>
          </w:p>
        </w:tc>
        <w:tc>
          <w:tcPr>
            <w:tcW w:w="14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2,484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5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1,086</w:t>
            </w:r>
          </w:p>
        </w:tc>
        <w:tc>
          <w:tcPr>
            <w:tcW w:w="14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870</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7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Chemicals</w:t>
            </w:r>
          </w:p>
        </w:tc>
        <w:tc>
          <w:tcPr>
            <w:tcW w:w="15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3,621</w:t>
            </w:r>
          </w:p>
        </w:tc>
        <w:tc>
          <w:tcPr>
            <w:tcW w:w="14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3,354</w:t>
            </w:r>
          </w:p>
        </w:tc>
        <w:tc>
          <w:tcPr>
            <w:tcW w:w="0" w:type="dxa"/>
            <w:vAlign w:val="bottom"/>
          </w:tcPr>
          <w:p>
            <w:pPr>
              <w:spacing w:after="0"/>
              <w:rPr>
                <w:sz w:val="1"/>
                <w:szCs w:val="1"/>
                <w:color w:val="auto"/>
              </w:rPr>
            </w:pPr>
          </w:p>
        </w:tc>
      </w:tr>
      <w:tr>
        <w:trPr>
          <w:trHeight w:val="105"/>
        </w:trPr>
        <w:tc>
          <w:tcPr>
            <w:tcW w:w="278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Total Segment Assets</w:t>
            </w:r>
          </w:p>
        </w:tc>
        <w:tc>
          <w:tcPr>
            <w:tcW w:w="15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93"/>
              </w:rPr>
              <w:t>146,282</w:t>
            </w:r>
          </w:p>
        </w:tc>
        <w:tc>
          <w:tcPr>
            <w:tcW w:w="14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135,440</w:t>
            </w:r>
          </w:p>
        </w:tc>
        <w:tc>
          <w:tcPr>
            <w:tcW w:w="0" w:type="dxa"/>
            <w:vAlign w:val="bottom"/>
          </w:tcPr>
          <w:p>
            <w:pPr>
              <w:spacing w:after="0"/>
              <w:rPr>
                <w:sz w:val="1"/>
                <w:szCs w:val="1"/>
                <w:color w:val="auto"/>
              </w:rPr>
            </w:pPr>
          </w:p>
        </w:tc>
      </w:tr>
      <w:tr>
        <w:trPr>
          <w:trHeight w:val="92"/>
        </w:trPr>
        <w:tc>
          <w:tcPr>
            <w:tcW w:w="27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8,984</w:t>
            </w:r>
          </w:p>
        </w:tc>
        <w:tc>
          <w:tcPr>
            <w:tcW w:w="14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6,847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5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5,899</w:t>
            </w:r>
          </w:p>
        </w:tc>
        <w:tc>
          <w:tcPr>
            <w:tcW w:w="14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6,499</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7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All Other</w:t>
            </w:r>
          </w:p>
        </w:tc>
        <w:tc>
          <w:tcPr>
            <w:tcW w:w="15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14,883</w:t>
            </w:r>
          </w:p>
        </w:tc>
        <w:tc>
          <w:tcPr>
            <w:tcW w:w="14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13,346</w:t>
            </w:r>
          </w:p>
        </w:tc>
        <w:tc>
          <w:tcPr>
            <w:tcW w:w="0" w:type="dxa"/>
            <w:vAlign w:val="bottom"/>
          </w:tcPr>
          <w:p>
            <w:pPr>
              <w:spacing w:after="0"/>
              <w:rPr>
                <w:sz w:val="1"/>
                <w:szCs w:val="1"/>
                <w:color w:val="auto"/>
              </w:rPr>
            </w:pPr>
          </w:p>
        </w:tc>
      </w:tr>
      <w:tr>
        <w:trPr>
          <w:trHeight w:val="90"/>
        </w:trPr>
        <w:tc>
          <w:tcPr>
            <w:tcW w:w="278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Total Assets – United States</w:t>
            </w:r>
          </w:p>
        </w:tc>
        <w:tc>
          <w:tcPr>
            <w:tcW w:w="1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53,459</w:t>
            </w:r>
          </w:p>
        </w:tc>
        <w:tc>
          <w:tcPr>
            <w:tcW w:w="140" w:type="dxa"/>
            <w:vAlign w:val="bottom"/>
            <w:tcBorders>
              <w:right w:val="single" w:sz="8" w:color="0077C0"/>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49,656</w:t>
            </w:r>
          </w:p>
        </w:tc>
        <w:tc>
          <w:tcPr>
            <w:tcW w:w="0" w:type="dxa"/>
            <w:vAlign w:val="bottom"/>
          </w:tcPr>
          <w:p>
            <w:pPr>
              <w:spacing w:after="0"/>
              <w:rPr>
                <w:sz w:val="1"/>
                <w:szCs w:val="1"/>
                <w:color w:val="auto"/>
              </w:rPr>
            </w:pPr>
          </w:p>
        </w:tc>
      </w:tr>
      <w:tr>
        <w:trPr>
          <w:trHeight w:val="106"/>
        </w:trPr>
        <w:tc>
          <w:tcPr>
            <w:tcW w:w="278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Total Assets – International</w:t>
            </w: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w w:val="93"/>
              </w:rPr>
              <w:t>103,087</w:t>
            </w:r>
          </w:p>
        </w:tc>
        <w:tc>
          <w:tcPr>
            <w:tcW w:w="14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94,493</w:t>
            </w:r>
          </w:p>
        </w:tc>
        <w:tc>
          <w:tcPr>
            <w:tcW w:w="0" w:type="dxa"/>
            <w:vAlign w:val="bottom"/>
          </w:tcPr>
          <w:p>
            <w:pPr>
              <w:spacing w:after="0"/>
              <w:rPr>
                <w:sz w:val="1"/>
                <w:szCs w:val="1"/>
                <w:color w:val="auto"/>
              </w:rPr>
            </w:pPr>
          </w:p>
        </w:tc>
      </w:tr>
      <w:tr>
        <w:trPr>
          <w:trHeight w:val="120"/>
        </w:trPr>
        <w:tc>
          <w:tcPr>
            <w:tcW w:w="278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Goodwill</w:t>
            </w:r>
          </w:p>
        </w:tc>
        <w:tc>
          <w:tcPr>
            <w:tcW w:w="15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4,619</w:t>
            </w:r>
          </w:p>
        </w:tc>
        <w:tc>
          <w:tcPr>
            <w:tcW w:w="14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4,637</w:t>
            </w:r>
          </w:p>
        </w:tc>
        <w:tc>
          <w:tcPr>
            <w:tcW w:w="0" w:type="dxa"/>
            <w:vAlign w:val="bottom"/>
          </w:tcPr>
          <w:p>
            <w:pPr>
              <w:spacing w:after="0"/>
              <w:rPr>
                <w:sz w:val="1"/>
                <w:szCs w:val="1"/>
                <w:color w:val="auto"/>
              </w:rPr>
            </w:pPr>
          </w:p>
        </w:tc>
      </w:tr>
      <w:tr>
        <w:trPr>
          <w:trHeight w:val="105"/>
        </w:trPr>
        <w:tc>
          <w:tcPr>
            <w:tcW w:w="27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Total Assets</w:t>
            </w:r>
          </w:p>
        </w:tc>
        <w:tc>
          <w:tcPr>
            <w:tcW w:w="164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380" w:type="dxa"/>
            <w:vAlign w:val="bottom"/>
          </w:tcPr>
          <w:p>
            <w:pPr>
              <w:jc w:val="right"/>
              <w:spacing w:after="0" w:line="105" w:lineRule="exact"/>
              <w:rPr>
                <w:sz w:val="20"/>
                <w:szCs w:val="20"/>
                <w:color w:val="auto"/>
              </w:rPr>
            </w:pPr>
            <w:r>
              <w:rPr>
                <w:rFonts w:ascii="Arial" w:cs="Arial" w:eastAsia="Arial" w:hAnsi="Arial"/>
                <w:sz w:val="10"/>
                <w:szCs w:val="10"/>
                <w:b w:val="1"/>
                <w:bCs w:val="1"/>
                <w:color w:val="auto"/>
                <w:w w:val="93"/>
              </w:rPr>
              <w:t>161,165</w:t>
            </w:r>
          </w:p>
        </w:tc>
        <w:tc>
          <w:tcPr>
            <w:tcW w:w="140" w:type="dxa"/>
            <w:vAlign w:val="bottom"/>
            <w:tcBorders>
              <w:right w:val="single" w:sz="8" w:color="0077C0"/>
            </w:tcBorders>
          </w:tcPr>
          <w:p>
            <w:pPr>
              <w:spacing w:after="0"/>
              <w:rPr>
                <w:sz w:val="9"/>
                <w:szCs w:val="9"/>
                <w:color w:val="auto"/>
              </w:rPr>
            </w:pPr>
          </w:p>
        </w:tc>
        <w:tc>
          <w:tcPr>
            <w:tcW w:w="1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w w:val="88"/>
              </w:rPr>
              <w:t>148,786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60" w:type="dxa"/>
            <w:vAlign w:val="bottom"/>
            <w:shd w:val="clear" w:color="auto" w:fill="0077C0"/>
          </w:tcPr>
          <w:p>
            <w:pPr>
              <w:spacing w:after="0"/>
              <w:rPr>
                <w:sz w:val="2"/>
                <w:szCs w:val="2"/>
                <w:color w:val="auto"/>
              </w:rPr>
            </w:pPr>
          </w:p>
        </w:tc>
        <w:tc>
          <w:tcPr>
            <w:tcW w:w="1580" w:type="dxa"/>
            <w:vAlign w:val="bottom"/>
            <w:shd w:val="clear" w:color="auto" w:fill="0077C0"/>
          </w:tcPr>
          <w:p>
            <w:pPr>
              <w:spacing w:after="0"/>
              <w:rPr>
                <w:sz w:val="2"/>
                <w:szCs w:val="2"/>
                <w:color w:val="auto"/>
              </w:rPr>
            </w:pPr>
          </w:p>
        </w:tc>
        <w:tc>
          <w:tcPr>
            <w:tcW w:w="6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140" w:type="dxa"/>
            <w:vAlign w:val="bottom"/>
            <w:tcBorders>
              <w:right w:val="single" w:sz="8" w:color="0077C0"/>
            </w:tcBorders>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340" w:type="dxa"/>
            <w:vAlign w:val="bottom"/>
            <w:shd w:val="clear" w:color="auto" w:fill="0077C0"/>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80" w:right="360" w:hanging="104"/>
        <w:spacing w:after="0" w:line="304" w:lineRule="auto"/>
        <w:tabs>
          <w:tab w:leader="none" w:pos="480" w:val="left"/>
        </w:tabs>
        <w:numPr>
          <w:ilvl w:val="0"/>
          <w:numId w:val="44"/>
        </w:numPr>
        <w:rPr>
          <w:rFonts w:ascii="Arial" w:cs="Arial" w:eastAsia="Arial" w:hAnsi="Arial"/>
          <w:sz w:val="8"/>
          <w:szCs w:val="8"/>
          <w:color w:val="auto"/>
        </w:rPr>
      </w:pPr>
      <w:r>
        <w:rPr>
          <w:rFonts w:ascii="Arial" w:cs="Arial" w:eastAsia="Arial" w:hAnsi="Arial"/>
          <w:sz w:val="8"/>
          <w:szCs w:val="8"/>
          <w:color w:val="auto"/>
        </w:rPr>
        <w:t>“All Other” assets consist primarily of worldwide cash, cash equivalents and marketable securities, real estate, information systems, mining operations, power generation businesses, technology companies, and assets of the corporate administrative functions.</w:t>
      </w:r>
    </w:p>
    <w:p>
      <w:pPr>
        <w:spacing w:after="0" w:line="85" w:lineRule="exact"/>
        <w:rPr>
          <w:sz w:val="20"/>
          <w:szCs w:val="20"/>
          <w:color w:val="auto"/>
        </w:rPr>
      </w:pPr>
    </w:p>
    <w:p>
      <w:pPr>
        <w:ind w:left="360" w:right="100"/>
        <w:spacing w:after="0" w:line="253" w:lineRule="auto"/>
        <w:rPr>
          <w:sz w:val="20"/>
          <w:szCs w:val="20"/>
          <w:color w:val="auto"/>
        </w:rPr>
      </w:pPr>
      <w:r>
        <w:rPr>
          <w:rFonts w:ascii="Arial" w:cs="Arial" w:eastAsia="Arial" w:hAnsi="Arial"/>
          <w:sz w:val="13"/>
          <w:szCs w:val="13"/>
          <w:i w:val="1"/>
          <w:iCs w:val="1"/>
          <w:color w:val="E51837"/>
        </w:rPr>
        <w:t xml:space="preserve">Segment Sales and Other Operating Revenues </w:t>
      </w:r>
      <w:r>
        <w:rPr>
          <w:rFonts w:ascii="Arial" w:cs="Arial" w:eastAsia="Arial" w:hAnsi="Arial"/>
          <w:sz w:val="13"/>
          <w:szCs w:val="13"/>
          <w:color w:val="000000"/>
        </w:rPr>
        <w:t>Operating segment sales and other operating revenues,</w:t>
      </w:r>
      <w:r>
        <w:rPr>
          <w:rFonts w:ascii="Arial" w:cs="Arial" w:eastAsia="Arial" w:hAnsi="Arial"/>
          <w:sz w:val="13"/>
          <w:szCs w:val="13"/>
          <w:i w:val="1"/>
          <w:iCs w:val="1"/>
          <w:color w:val="E51837"/>
        </w:rPr>
        <w:t xml:space="preserve"> </w:t>
      </w:r>
      <w:r>
        <w:rPr>
          <w:rFonts w:ascii="Arial" w:cs="Arial" w:eastAsia="Arial" w:hAnsi="Arial"/>
          <w:sz w:val="13"/>
          <w:szCs w:val="13"/>
          <w:color w:val="000000"/>
        </w:rPr>
        <w:t>including internal transfers, for the years 2008, 2007 and 2006 are presented in the table on the following page. Products are transferred between operating segments at internal product values that approximate market prices.</w:t>
      </w:r>
    </w:p>
    <w:p>
      <w:pPr>
        <w:spacing w:after="0" w:line="119" w:lineRule="exact"/>
        <w:rPr>
          <w:sz w:val="20"/>
          <w:szCs w:val="20"/>
          <w:color w:val="auto"/>
        </w:rPr>
      </w:pPr>
    </w:p>
    <w:p>
      <w:pPr>
        <w:ind w:left="360" w:firstLine="160"/>
        <w:spacing w:after="0" w:line="301" w:lineRule="auto"/>
        <w:rPr>
          <w:sz w:val="20"/>
          <w:szCs w:val="20"/>
          <w:color w:val="auto"/>
        </w:rPr>
      </w:pPr>
      <w:r>
        <w:rPr>
          <w:rFonts w:ascii="Arial" w:cs="Arial" w:eastAsia="Arial" w:hAnsi="Arial"/>
          <w:sz w:val="11"/>
          <w:szCs w:val="11"/>
          <w:color w:val="auto"/>
        </w:rPr>
        <w:t>Revenues for the upstream segment are derived primarily from the production and sale of crude oil and natural gas, as well as the sale of third-party production of natural gas. Revenues for the downstream segment are derived from the refining and marketing of petroleum products, such as gasoline, jet fuel, gas oils, kerosene, lubricants, residual fuel oils and other products derived from crude oil. This segment also generates revenues from the transportation and trading of crude oil and refined products. Revenues for the chemicals segment are derived primarily from the manufacture and sale of additives for lubricants and fuel. “All Other” activities include revenues from mining operations of coal and other minerals, power generation businesses, insurance operations, real estate activities, and technology companies.</w:t>
      </w:r>
    </w:p>
    <w:p>
      <w:pPr>
        <w:spacing w:after="0" w:line="242" w:lineRule="exact"/>
        <w:rPr>
          <w:sz w:val="20"/>
          <w:szCs w:val="20"/>
          <w:color w:val="auto"/>
        </w:rPr>
      </w:pPr>
    </w:p>
    <w:p>
      <w:pPr>
        <w:spacing w:after="0"/>
        <w:rPr>
          <w:sz w:val="20"/>
          <w:szCs w:val="20"/>
          <w:color w:val="auto"/>
        </w:rPr>
      </w:pPr>
      <w:r>
        <w:rPr>
          <w:rFonts w:ascii="Arial" w:cs="Arial" w:eastAsia="Arial" w:hAnsi="Arial"/>
          <w:sz w:val="10"/>
          <w:szCs w:val="10"/>
          <w:color w:val="auto"/>
        </w:rPr>
        <w:t>FS-39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60"/>
          </w:cols>
          <w:pgMar w:left="220" w:top="338" w:right="219" w:bottom="1440" w:gutter="0" w:footer="0" w:header="0"/>
          <w:type w:val="continuous"/>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80"/>
        <w:spacing w:after="0"/>
        <w:rPr>
          <w:sz w:val="20"/>
          <w:szCs w:val="20"/>
          <w:color w:val="auto"/>
        </w:rPr>
      </w:pPr>
      <w:r>
        <w:rPr>
          <w:rFonts w:ascii="Arial" w:cs="Arial" w:eastAsia="Arial" w:hAnsi="Arial"/>
          <w:sz w:val="12"/>
          <w:szCs w:val="12"/>
          <w:color w:val="0077C0"/>
        </w:rPr>
        <w:t>Notes to the Consolidated Financial Statements</w:t>
      </w:r>
    </w:p>
    <w:p>
      <w:pPr>
        <w:ind w:left="348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9 </w:t>
      </w:r>
      <w:r>
        <w:rPr>
          <w:rFonts w:ascii="Arial" w:cs="Arial" w:eastAsia="Arial" w:hAnsi="Arial"/>
          <w:sz w:val="8"/>
          <w:szCs w:val="8"/>
          <w:color w:val="000000"/>
        </w:rPr>
        <w:t>Operating Segments and Geographic Data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3"/>
          <w:szCs w:val="13"/>
          <w:color w:val="auto"/>
        </w:rPr>
        <w:t>Other than the United States, no single country accounted for 10 percent or more of the company’s total</w:t>
      </w:r>
      <w:r>
        <w:rPr>
          <w:sz w:val="20"/>
          <w:szCs w:val="20"/>
          <w:color w:val="auto"/>
        </w:rPr>
        <w:tab/>
      </w:r>
      <w:r>
        <w:rPr>
          <w:rFonts w:ascii="Arial" w:cs="Arial" w:eastAsia="Arial" w:hAnsi="Arial"/>
          <w:sz w:val="11"/>
          <w:szCs w:val="11"/>
          <w:i w:val="1"/>
          <w:iCs w:val="1"/>
          <w:color w:val="E51837"/>
        </w:rPr>
        <w:t xml:space="preserve">Segment Income Taxes  </w:t>
      </w:r>
      <w:r>
        <w:rPr>
          <w:rFonts w:ascii="Arial" w:cs="Arial" w:eastAsia="Arial" w:hAnsi="Arial"/>
          <w:sz w:val="11"/>
          <w:szCs w:val="11"/>
          <w:color w:val="000000"/>
        </w:rPr>
        <w:t>Segment income tax expense for the years 2008, 2007 and 2006 are as follows: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sales and other operating revenues in 2008.</w:t>
      </w:r>
    </w:p>
    <w:p>
      <w:pPr>
        <w:sectPr>
          <w:pgSz w:w="11900" w:h="16838" w:orient="portrait"/>
          <w:cols w:equalWidth="0" w:num="1">
            <w:col w:w="11460"/>
          </w:cols>
          <w:pgMar w:left="220" w:top="338" w:right="21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0"/>
                <w:szCs w:val="10"/>
                <w:color w:val="auto"/>
                <w:w w:val="89"/>
              </w:rPr>
              <w:t>Year ended December 31</w:t>
            </w:r>
          </w:p>
        </w:tc>
        <w:tc>
          <w:tcPr>
            <w:tcW w:w="0" w:type="dxa"/>
            <w:vAlign w:val="bottom"/>
          </w:tcPr>
          <w:p>
            <w:pPr>
              <w:spacing w:after="0"/>
              <w:rPr>
                <w:sz w:val="1"/>
                <w:szCs w:val="1"/>
                <w:color w:val="auto"/>
              </w:rPr>
            </w:pPr>
          </w:p>
        </w:tc>
      </w:tr>
      <w:tr>
        <w:trPr>
          <w:trHeight w:val="95"/>
        </w:trPr>
        <w:tc>
          <w:tcPr>
            <w:tcW w:w="370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50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50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color w:val="auto"/>
              </w:rPr>
              <w:t>2007</w:t>
            </w:r>
          </w:p>
        </w:tc>
        <w:tc>
          <w:tcPr>
            <w:tcW w:w="20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b w:val="1"/>
                <w:bCs w:val="1"/>
                <w:color w:val="auto"/>
              </w:rPr>
              <w:t>Upstream</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23,503</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vMerge w:val="continue"/>
          </w:tcPr>
          <w:p>
            <w:pPr>
              <w:spacing w:after="0"/>
              <w:rPr>
                <w:sz w:val="9"/>
                <w:szCs w:val="9"/>
                <w:color w:val="auto"/>
              </w:rPr>
            </w:pPr>
          </w:p>
        </w:tc>
        <w:tc>
          <w:tcPr>
            <w:tcW w:w="50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18,736</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18,061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15,142</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11,625</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10,069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United States</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38,645</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30,361</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28,130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60" w:type="dxa"/>
            <w:vAlign w:val="bottom"/>
          </w:tcPr>
          <w:p>
            <w:pPr>
              <w:spacing w:after="0"/>
              <w:rPr>
                <w:sz w:val="7"/>
                <w:szCs w:val="7"/>
                <w:color w:val="auto"/>
              </w:rPr>
            </w:pPr>
          </w:p>
        </w:tc>
        <w:tc>
          <w:tcPr>
            <w:tcW w:w="50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19,469</w:t>
            </w:r>
          </w:p>
        </w:tc>
        <w:tc>
          <w:tcPr>
            <w:tcW w:w="160" w:type="dxa"/>
            <w:vAlign w:val="bottom"/>
          </w:tcPr>
          <w:p>
            <w:pPr>
              <w:spacing w:after="0"/>
              <w:rPr>
                <w:sz w:val="7"/>
                <w:szCs w:val="7"/>
                <w:color w:val="auto"/>
              </w:rPr>
            </w:pPr>
          </w:p>
        </w:tc>
        <w:tc>
          <w:tcPr>
            <w:tcW w:w="500" w:type="dxa"/>
            <w:vAlign w:val="bottom"/>
          </w:tcPr>
          <w:p>
            <w:pPr>
              <w:jc w:val="right"/>
              <w:ind w:right="109"/>
              <w:spacing w:after="0" w:line="91" w:lineRule="exact"/>
              <w:rPr>
                <w:sz w:val="20"/>
                <w:szCs w:val="20"/>
                <w:color w:val="auto"/>
              </w:rPr>
            </w:pPr>
            <w:r>
              <w:rPr>
                <w:rFonts w:ascii="Arial" w:cs="Arial" w:eastAsia="Arial" w:hAnsi="Arial"/>
                <w:sz w:val="10"/>
                <w:szCs w:val="10"/>
                <w:color w:val="auto"/>
              </w:rPr>
              <w:t>15,213</w:t>
            </w:r>
          </w:p>
        </w:tc>
        <w:tc>
          <w:tcPr>
            <w:tcW w:w="2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14,560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24,204</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19,647</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17,139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International</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43,673</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34,860</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31,699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82,318</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65,221</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59,829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60" w:type="dxa"/>
            <w:vAlign w:val="bottom"/>
          </w:tcPr>
          <w:p>
            <w:pPr>
              <w:spacing w:after="0"/>
              <w:rPr>
                <w:sz w:val="8"/>
                <w:szCs w:val="8"/>
                <w:color w:val="auto"/>
              </w:rPr>
            </w:pPr>
          </w:p>
        </w:tc>
        <w:tc>
          <w:tcPr>
            <w:tcW w:w="50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87,515</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50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70,535</w:t>
            </w:r>
          </w:p>
        </w:tc>
        <w:tc>
          <w:tcPr>
            <w:tcW w:w="2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69,367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Excise and similar taxes</w:t>
            </w:r>
          </w:p>
        </w:tc>
        <w:tc>
          <w:tcPr>
            <w:tcW w:w="60" w:type="dxa"/>
            <w:vAlign w:val="bottom"/>
          </w:tcPr>
          <w:p>
            <w:pPr>
              <w:spacing w:after="0"/>
              <w:rPr>
                <w:sz w:val="9"/>
                <w:szCs w:val="9"/>
                <w:color w:val="auto"/>
              </w:rPr>
            </w:pPr>
          </w:p>
        </w:tc>
        <w:tc>
          <w:tcPr>
            <w:tcW w:w="50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4,746</w:t>
            </w:r>
          </w:p>
        </w:tc>
        <w:tc>
          <w:tcPr>
            <w:tcW w:w="16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4,990</w:t>
            </w:r>
          </w:p>
        </w:tc>
        <w:tc>
          <w:tcPr>
            <w:tcW w:w="2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4,829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447</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491</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United States</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92,708</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76,016</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74,729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60" w:type="dxa"/>
            <w:vAlign w:val="bottom"/>
          </w:tcPr>
          <w:p>
            <w:pPr>
              <w:spacing w:after="0"/>
              <w:rPr>
                <w:sz w:val="7"/>
                <w:szCs w:val="7"/>
                <w:color w:val="auto"/>
              </w:rPr>
            </w:pPr>
          </w:p>
        </w:tc>
        <w:tc>
          <w:tcPr>
            <w:tcW w:w="50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w w:val="88"/>
              </w:rPr>
              <w:t>122,064</w:t>
            </w:r>
          </w:p>
        </w:tc>
        <w:tc>
          <w:tcPr>
            <w:tcW w:w="160" w:type="dxa"/>
            <w:vAlign w:val="bottom"/>
          </w:tcPr>
          <w:p>
            <w:pPr>
              <w:spacing w:after="0"/>
              <w:rPr>
                <w:sz w:val="7"/>
                <w:szCs w:val="7"/>
                <w:color w:val="auto"/>
              </w:rPr>
            </w:pPr>
          </w:p>
        </w:tc>
        <w:tc>
          <w:tcPr>
            <w:tcW w:w="500" w:type="dxa"/>
            <w:vAlign w:val="bottom"/>
          </w:tcPr>
          <w:p>
            <w:pPr>
              <w:jc w:val="right"/>
              <w:ind w:right="109"/>
              <w:spacing w:after="0" w:line="91" w:lineRule="exact"/>
              <w:rPr>
                <w:sz w:val="20"/>
                <w:szCs w:val="20"/>
                <w:color w:val="auto"/>
              </w:rPr>
            </w:pPr>
            <w:r>
              <w:rPr>
                <w:rFonts w:ascii="Arial" w:cs="Arial" w:eastAsia="Arial" w:hAnsi="Arial"/>
                <w:sz w:val="10"/>
                <w:szCs w:val="10"/>
                <w:color w:val="auto"/>
              </w:rPr>
              <w:t>97,178</w:t>
            </w:r>
          </w:p>
        </w:tc>
        <w:tc>
          <w:tcPr>
            <w:tcW w:w="2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91,325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Excise and similar taxes</w:t>
            </w:r>
          </w:p>
        </w:tc>
        <w:tc>
          <w:tcPr>
            <w:tcW w:w="60" w:type="dxa"/>
            <w:vAlign w:val="bottom"/>
          </w:tcPr>
          <w:p>
            <w:pPr>
              <w:spacing w:after="0"/>
              <w:rPr>
                <w:sz w:val="9"/>
                <w:szCs w:val="9"/>
                <w:color w:val="auto"/>
              </w:rPr>
            </w:pPr>
          </w:p>
        </w:tc>
        <w:tc>
          <w:tcPr>
            <w:tcW w:w="50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5,044</w:t>
            </w:r>
          </w:p>
        </w:tc>
        <w:tc>
          <w:tcPr>
            <w:tcW w:w="16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5,042</w:t>
            </w:r>
          </w:p>
        </w:tc>
        <w:tc>
          <w:tcPr>
            <w:tcW w:w="2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4,657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122</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38</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International</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88"/>
              </w:rPr>
              <w:t>127,230</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88"/>
              </w:rPr>
              <w:t>102,258</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96,019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88"/>
              </w:rPr>
              <w:t>219,938</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88"/>
              </w:rPr>
              <w:t>178,274</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170,748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60" w:type="dxa"/>
            <w:vAlign w:val="bottom"/>
          </w:tcPr>
          <w:p>
            <w:pPr>
              <w:spacing w:after="0"/>
              <w:rPr>
                <w:sz w:val="8"/>
                <w:szCs w:val="8"/>
                <w:color w:val="auto"/>
              </w:rPr>
            </w:pPr>
          </w:p>
        </w:tc>
        <w:tc>
          <w:tcPr>
            <w:tcW w:w="50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305</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50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351</w:t>
            </w:r>
          </w:p>
        </w:tc>
        <w:tc>
          <w:tcPr>
            <w:tcW w:w="2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372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Excise and similar taxes</w:t>
            </w:r>
          </w:p>
        </w:tc>
        <w:tc>
          <w:tcPr>
            <w:tcW w:w="60" w:type="dxa"/>
            <w:vAlign w:val="bottom"/>
          </w:tcPr>
          <w:p>
            <w:pPr>
              <w:spacing w:after="0"/>
              <w:rPr>
                <w:sz w:val="9"/>
                <w:szCs w:val="9"/>
                <w:color w:val="auto"/>
              </w:rPr>
            </w:pPr>
          </w:p>
        </w:tc>
        <w:tc>
          <w:tcPr>
            <w:tcW w:w="50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2</w:t>
            </w:r>
          </w:p>
        </w:tc>
        <w:tc>
          <w:tcPr>
            <w:tcW w:w="16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w:t>
            </w:r>
          </w:p>
        </w:tc>
        <w:tc>
          <w:tcPr>
            <w:tcW w:w="2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266</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235</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United States</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573</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588</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60" w:type="dxa"/>
            <w:vAlign w:val="bottom"/>
          </w:tcPr>
          <w:p>
            <w:pPr>
              <w:spacing w:after="0"/>
              <w:rPr>
                <w:sz w:val="7"/>
                <w:szCs w:val="7"/>
                <w:color w:val="auto"/>
              </w:rPr>
            </w:pPr>
          </w:p>
        </w:tc>
        <w:tc>
          <w:tcPr>
            <w:tcW w:w="50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1,388</w:t>
            </w:r>
          </w:p>
        </w:tc>
        <w:tc>
          <w:tcPr>
            <w:tcW w:w="160" w:type="dxa"/>
            <w:vAlign w:val="bottom"/>
          </w:tcPr>
          <w:p>
            <w:pPr>
              <w:spacing w:after="0"/>
              <w:rPr>
                <w:sz w:val="7"/>
                <w:szCs w:val="7"/>
                <w:color w:val="auto"/>
              </w:rPr>
            </w:pPr>
          </w:p>
        </w:tc>
        <w:tc>
          <w:tcPr>
            <w:tcW w:w="500" w:type="dxa"/>
            <w:vAlign w:val="bottom"/>
          </w:tcPr>
          <w:p>
            <w:pPr>
              <w:jc w:val="right"/>
              <w:ind w:right="109"/>
              <w:spacing w:after="0" w:line="91" w:lineRule="exact"/>
              <w:rPr>
                <w:sz w:val="20"/>
                <w:szCs w:val="20"/>
                <w:color w:val="auto"/>
              </w:rPr>
            </w:pPr>
            <w:r>
              <w:rPr>
                <w:rFonts w:ascii="Arial" w:cs="Arial" w:eastAsia="Arial" w:hAnsi="Arial"/>
                <w:sz w:val="10"/>
                <w:szCs w:val="10"/>
                <w:color w:val="auto"/>
              </w:rPr>
              <w:t>1,143</w:t>
            </w:r>
          </w:p>
        </w:tc>
        <w:tc>
          <w:tcPr>
            <w:tcW w:w="2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959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Excise and similar taxes</w:t>
            </w:r>
          </w:p>
        </w:tc>
        <w:tc>
          <w:tcPr>
            <w:tcW w:w="60" w:type="dxa"/>
            <w:vAlign w:val="bottom"/>
          </w:tcPr>
          <w:p>
            <w:pPr>
              <w:spacing w:after="0"/>
              <w:rPr>
                <w:sz w:val="9"/>
                <w:szCs w:val="9"/>
                <w:color w:val="auto"/>
              </w:rPr>
            </w:pPr>
          </w:p>
        </w:tc>
        <w:tc>
          <w:tcPr>
            <w:tcW w:w="50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55</w:t>
            </w:r>
          </w:p>
        </w:tc>
        <w:tc>
          <w:tcPr>
            <w:tcW w:w="16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86</w:t>
            </w:r>
          </w:p>
        </w:tc>
        <w:tc>
          <w:tcPr>
            <w:tcW w:w="2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154</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142</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International</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1,597</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1,371</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1,182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Chemicals</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2,170</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1,959</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60" w:type="dxa"/>
            <w:vAlign w:val="bottom"/>
          </w:tcPr>
          <w:p>
            <w:pPr>
              <w:spacing w:after="0"/>
              <w:rPr>
                <w:sz w:val="8"/>
                <w:szCs w:val="8"/>
                <w:color w:val="auto"/>
              </w:rPr>
            </w:pPr>
          </w:p>
        </w:tc>
        <w:tc>
          <w:tcPr>
            <w:tcW w:w="50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815</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50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757</w:t>
            </w:r>
          </w:p>
        </w:tc>
        <w:tc>
          <w:tcPr>
            <w:tcW w:w="2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653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917</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760</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United States</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1,732</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1,517</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1,237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60" w:type="dxa"/>
            <w:vAlign w:val="bottom"/>
          </w:tcPr>
          <w:p>
            <w:pPr>
              <w:spacing w:after="0"/>
              <w:rPr>
                <w:sz w:val="7"/>
                <w:szCs w:val="7"/>
                <w:color w:val="auto"/>
              </w:rPr>
            </w:pPr>
          </w:p>
        </w:tc>
        <w:tc>
          <w:tcPr>
            <w:tcW w:w="50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52</w:t>
            </w:r>
          </w:p>
        </w:tc>
        <w:tc>
          <w:tcPr>
            <w:tcW w:w="160" w:type="dxa"/>
            <w:vAlign w:val="bottom"/>
          </w:tcPr>
          <w:p>
            <w:pPr>
              <w:spacing w:after="0"/>
              <w:rPr>
                <w:sz w:val="7"/>
                <w:szCs w:val="7"/>
                <w:color w:val="auto"/>
              </w:rPr>
            </w:pPr>
          </w:p>
        </w:tc>
        <w:tc>
          <w:tcPr>
            <w:tcW w:w="500" w:type="dxa"/>
            <w:vAlign w:val="bottom"/>
          </w:tcPr>
          <w:p>
            <w:pPr>
              <w:jc w:val="right"/>
              <w:ind w:right="109"/>
              <w:spacing w:after="0" w:line="91" w:lineRule="exact"/>
              <w:rPr>
                <w:sz w:val="20"/>
                <w:szCs w:val="20"/>
                <w:color w:val="auto"/>
              </w:rPr>
            </w:pPr>
            <w:r>
              <w:rPr>
                <w:rFonts w:ascii="Arial" w:cs="Arial" w:eastAsia="Arial" w:hAnsi="Arial"/>
                <w:sz w:val="10"/>
                <w:szCs w:val="10"/>
                <w:color w:val="auto"/>
              </w:rPr>
              <w:t>58</w:t>
            </w:r>
          </w:p>
        </w:tc>
        <w:tc>
          <w:tcPr>
            <w:tcW w:w="2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44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Intersegment</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33</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31</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International</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85</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89</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All Other</w:t>
            </w:r>
          </w:p>
        </w:tc>
        <w:tc>
          <w:tcPr>
            <w:tcW w:w="60" w:type="dxa"/>
            <w:vAlign w:val="bottom"/>
            <w:tcBorders>
              <w:bottom w:val="single" w:sz="8" w:color="0077C0"/>
            </w:tcBorders>
          </w:tcPr>
          <w:p>
            <w:pPr>
              <w:spacing w:after="0"/>
              <w:rPr>
                <w:sz w:val="9"/>
                <w:szCs w:val="9"/>
                <w:color w:val="auto"/>
              </w:rPr>
            </w:pPr>
          </w:p>
        </w:tc>
        <w:tc>
          <w:tcPr>
            <w:tcW w:w="50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1,817</w:t>
            </w:r>
          </w:p>
        </w:tc>
        <w:tc>
          <w:tcPr>
            <w:tcW w:w="16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1,606</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b w:val="1"/>
                <w:bCs w:val="1"/>
                <w:color w:val="auto"/>
              </w:rPr>
              <w:t>Segment Sales and Other Operating Revenues</w:t>
            </w:r>
          </w:p>
        </w:tc>
        <w:tc>
          <w:tcPr>
            <w:tcW w:w="60" w:type="dxa"/>
            <w:vAlign w:val="bottom"/>
          </w:tcPr>
          <w:p>
            <w:pPr>
              <w:spacing w:after="0"/>
              <w:rPr>
                <w:sz w:val="8"/>
                <w:szCs w:val="8"/>
                <w:color w:val="auto"/>
              </w:rPr>
            </w:pPr>
          </w:p>
        </w:tc>
        <w:tc>
          <w:tcPr>
            <w:tcW w:w="50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88"/>
              </w:rPr>
              <w:t>133,658</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ind w:left="10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50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ind w:right="109"/>
              <w:spacing w:after="0" w:line="104" w:lineRule="exact"/>
              <w:rPr>
                <w:sz w:val="20"/>
                <w:szCs w:val="20"/>
                <w:color w:val="auto"/>
              </w:rPr>
            </w:pPr>
            <w:r>
              <w:rPr>
                <w:rFonts w:ascii="Arial" w:cs="Arial" w:eastAsia="Arial" w:hAnsi="Arial"/>
                <w:sz w:val="10"/>
                <w:szCs w:val="10"/>
                <w:color w:val="auto"/>
                <w:w w:val="88"/>
              </w:rPr>
              <w:t>108,482</w:t>
            </w:r>
          </w:p>
        </w:tc>
        <w:tc>
          <w:tcPr>
            <w:tcW w:w="2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w w:val="88"/>
              </w:rPr>
              <w:t>104,713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88"/>
              </w:rPr>
              <w:t>172,585</w:t>
            </w:r>
          </w:p>
        </w:tc>
        <w:tc>
          <w:tcPr>
            <w:tcW w:w="16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88"/>
              </w:rPr>
              <w:t>138,578</w:t>
            </w:r>
          </w:p>
        </w:tc>
        <w:tc>
          <w:tcPr>
            <w:tcW w:w="2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8"/>
              </w:rPr>
              <w:t>128,967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b w:val="1"/>
                <w:bCs w:val="1"/>
                <w:color w:val="auto"/>
              </w:rPr>
              <w:t>Total Segment Sales and Other Operating Revenues</w:t>
            </w:r>
          </w:p>
        </w:tc>
        <w:tc>
          <w:tcPr>
            <w:tcW w:w="60" w:type="dxa"/>
            <w:vAlign w:val="bottom"/>
          </w:tcPr>
          <w:p>
            <w:pPr>
              <w:spacing w:after="0"/>
              <w:rPr>
                <w:sz w:val="7"/>
                <w:szCs w:val="7"/>
                <w:color w:val="auto"/>
              </w:rPr>
            </w:pPr>
          </w:p>
        </w:tc>
        <w:tc>
          <w:tcPr>
            <w:tcW w:w="50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w w:val="88"/>
              </w:rPr>
              <w:t>306,243</w:t>
            </w:r>
          </w:p>
        </w:tc>
        <w:tc>
          <w:tcPr>
            <w:tcW w:w="160" w:type="dxa"/>
            <w:vAlign w:val="bottom"/>
          </w:tcPr>
          <w:p>
            <w:pPr>
              <w:spacing w:after="0"/>
              <w:rPr>
                <w:sz w:val="7"/>
                <w:szCs w:val="7"/>
                <w:color w:val="auto"/>
              </w:rPr>
            </w:pPr>
          </w:p>
        </w:tc>
        <w:tc>
          <w:tcPr>
            <w:tcW w:w="500" w:type="dxa"/>
            <w:vAlign w:val="bottom"/>
          </w:tcPr>
          <w:p>
            <w:pPr>
              <w:jc w:val="right"/>
              <w:ind w:right="109"/>
              <w:spacing w:after="0" w:line="91" w:lineRule="exact"/>
              <w:rPr>
                <w:sz w:val="20"/>
                <w:szCs w:val="20"/>
                <w:color w:val="auto"/>
              </w:rPr>
            </w:pPr>
            <w:r>
              <w:rPr>
                <w:rFonts w:ascii="Arial" w:cs="Arial" w:eastAsia="Arial" w:hAnsi="Arial"/>
                <w:sz w:val="10"/>
                <w:szCs w:val="10"/>
                <w:color w:val="auto"/>
                <w:w w:val="88"/>
              </w:rPr>
              <w:t>247,060</w:t>
            </w:r>
          </w:p>
        </w:tc>
        <w:tc>
          <w:tcPr>
            <w:tcW w:w="2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w w:val="88"/>
              </w:rPr>
              <w:t>233,680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00" w:type="dxa"/>
            <w:vAlign w:val="bottom"/>
          </w:tcPr>
          <w:p>
            <w:pPr>
              <w:spacing w:after="0"/>
              <w:rPr>
                <w:sz w:val="20"/>
                <w:szCs w:val="20"/>
                <w:color w:val="auto"/>
              </w:rPr>
            </w:pPr>
            <w:r>
              <w:rPr>
                <w:rFonts w:ascii="Arial" w:cs="Arial" w:eastAsia="Arial" w:hAnsi="Arial"/>
                <w:sz w:val="10"/>
                <w:szCs w:val="10"/>
                <w:color w:val="auto"/>
              </w:rPr>
              <w:t>Elimination of intersegment sales</w:t>
            </w:r>
          </w:p>
        </w:tc>
        <w:tc>
          <w:tcPr>
            <w:tcW w:w="60" w:type="dxa"/>
            <w:vAlign w:val="bottom"/>
          </w:tcPr>
          <w:p>
            <w:pPr>
              <w:spacing w:after="0"/>
              <w:rPr>
                <w:sz w:val="10"/>
                <w:szCs w:val="10"/>
                <w:color w:val="auto"/>
              </w:rPr>
            </w:pPr>
          </w:p>
        </w:tc>
        <w:tc>
          <w:tcPr>
            <w:tcW w:w="500" w:type="dxa"/>
            <w:vAlign w:val="bottom"/>
            <w:tcBorders>
              <w:right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w w:val="96"/>
              </w:rPr>
              <w:t>(41,285)</w:t>
            </w:r>
          </w:p>
        </w:tc>
        <w:tc>
          <w:tcPr>
            <w:tcW w:w="160" w:type="dxa"/>
            <w:vAlign w:val="bottom"/>
          </w:tcPr>
          <w:p>
            <w:pPr>
              <w:spacing w:after="0"/>
              <w:rPr>
                <w:sz w:val="10"/>
                <w:szCs w:val="10"/>
                <w:color w:val="auto"/>
              </w:rPr>
            </w:pPr>
          </w:p>
        </w:tc>
        <w:tc>
          <w:tcPr>
            <w:tcW w:w="500" w:type="dxa"/>
            <w:vAlign w:val="bottom"/>
          </w:tcPr>
          <w:p>
            <w:pPr>
              <w:jc w:val="right"/>
              <w:ind w:right="89"/>
              <w:spacing w:after="0"/>
              <w:rPr>
                <w:sz w:val="20"/>
                <w:szCs w:val="20"/>
                <w:color w:val="auto"/>
              </w:rPr>
            </w:pPr>
            <w:r>
              <w:rPr>
                <w:rFonts w:ascii="Arial" w:cs="Arial" w:eastAsia="Arial" w:hAnsi="Arial"/>
                <w:sz w:val="10"/>
                <w:szCs w:val="10"/>
                <w:color w:val="auto"/>
                <w:w w:val="91"/>
              </w:rPr>
              <w:t>(32,969)</w:t>
            </w:r>
          </w:p>
        </w:tc>
        <w:tc>
          <w:tcPr>
            <w:tcW w:w="2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w w:val="91"/>
              </w:rPr>
              <w:t>(28,788)</w:t>
            </w:r>
          </w:p>
        </w:tc>
        <w:tc>
          <w:tcPr>
            <w:tcW w:w="0" w:type="dxa"/>
            <w:vAlign w:val="bottom"/>
          </w:tcPr>
          <w:p>
            <w:pPr>
              <w:spacing w:after="0"/>
              <w:rPr>
                <w:sz w:val="1"/>
                <w:szCs w:val="1"/>
                <w:color w:val="auto"/>
              </w:rPr>
            </w:pPr>
          </w:p>
        </w:tc>
      </w:tr>
      <w:tr>
        <w:trPr>
          <w:trHeight w:val="114"/>
        </w:trPr>
        <w:tc>
          <w:tcPr>
            <w:tcW w:w="37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Sales and Other Operating Revenues*</w:t>
            </w:r>
          </w:p>
        </w:tc>
        <w:tc>
          <w:tcPr>
            <w:tcW w:w="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0077C0"/>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88"/>
              </w:rPr>
              <w:t>264,958</w:t>
            </w:r>
          </w:p>
        </w:tc>
        <w:tc>
          <w:tcPr>
            <w:tcW w:w="1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88"/>
              </w:rPr>
              <w:t>214,091</w:t>
            </w:r>
          </w:p>
        </w:tc>
        <w:tc>
          <w:tcPr>
            <w:tcW w:w="2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204,892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20" w:hanging="110"/>
        <w:spacing w:after="0" w:line="243" w:lineRule="auto"/>
        <w:tabs>
          <w:tab w:leader="none" w:pos="120" w:val="left"/>
        </w:tabs>
        <w:numPr>
          <w:ilvl w:val="0"/>
          <w:numId w:val="45"/>
        </w:numPr>
        <w:rPr>
          <w:rFonts w:ascii="Arial" w:cs="Arial" w:eastAsia="Arial" w:hAnsi="Arial"/>
          <w:sz w:val="9"/>
          <w:szCs w:val="9"/>
          <w:color w:val="auto"/>
        </w:rPr>
      </w:pPr>
      <w:r>
        <w:rPr>
          <w:rFonts w:ascii="Arial" w:cs="Arial" w:eastAsia="Arial" w:hAnsi="Arial"/>
          <w:sz w:val="9"/>
          <w:szCs w:val="9"/>
          <w:color w:val="auto"/>
        </w:rPr>
        <w:t>Includes buy/sell contracts of $6,725 in 2006. Substantially all of the amounts relate to the downstream segment. Refer to Note 14, on page FS-43, for a discussion of the company’s accounting for buy/sell contracts.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tcPr>
          <w:p>
            <w:pPr>
              <w:ind w:left="20"/>
              <w:spacing w:after="0"/>
              <w:rPr>
                <w:sz w:val="20"/>
                <w:szCs w:val="20"/>
                <w:color w:val="auto"/>
              </w:rPr>
            </w:pPr>
            <w:r>
              <w:rPr>
                <w:rFonts w:ascii="Arial" w:cs="Arial" w:eastAsia="Arial" w:hAnsi="Arial"/>
                <w:sz w:val="10"/>
                <w:szCs w:val="10"/>
                <w:color w:val="auto"/>
                <w:w w:val="85"/>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0077C0"/>
            </w:tcBorders>
          </w:tcPr>
          <w:p>
            <w:pPr>
              <w:spacing w:after="0"/>
              <w:rPr>
                <w:sz w:val="8"/>
                <w:szCs w:val="8"/>
                <w:color w:val="auto"/>
              </w:rPr>
            </w:pPr>
          </w:p>
        </w:tc>
        <w:tc>
          <w:tcPr>
            <w:tcW w:w="132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color w:val="auto"/>
              </w:rPr>
              <w:t>2007</w:t>
            </w:r>
          </w:p>
        </w:tc>
        <w:tc>
          <w:tcPr>
            <w:tcW w:w="2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line="92" w:lineRule="exact"/>
              <w:rPr>
                <w:sz w:val="20"/>
                <w:szCs w:val="20"/>
                <w:color w:val="auto"/>
              </w:rPr>
            </w:pPr>
            <w:r>
              <w:rPr>
                <w:rFonts w:ascii="Arial" w:cs="Arial" w:eastAsia="Arial" w:hAnsi="Arial"/>
                <w:sz w:val="10"/>
                <w:szCs w:val="10"/>
                <w:b w:val="1"/>
                <w:bCs w:val="1"/>
                <w:color w:val="auto"/>
              </w:rPr>
              <w:t>Upstream</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3,693</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38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2,541</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2,668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32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1"/>
              </w:rPr>
              <w:t>15,132</w:t>
            </w:r>
          </w:p>
        </w:tc>
        <w:tc>
          <w:tcPr>
            <w:tcW w:w="1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91"/>
              </w:rPr>
              <w:t>11,307</w:t>
            </w: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1"/>
              </w:rPr>
              <w:t>10,987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4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132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1"/>
              </w:rPr>
              <w:t>18,825</w:t>
            </w:r>
          </w:p>
        </w:tc>
        <w:tc>
          <w:tcPr>
            <w:tcW w:w="1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91"/>
              </w:rPr>
              <w:t>13,848</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13,655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4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815</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520</w:t>
            </w:r>
          </w:p>
        </w:tc>
        <w:tc>
          <w:tcPr>
            <w:tcW w:w="20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1,162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32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813</w:t>
            </w:r>
          </w:p>
        </w:tc>
        <w:tc>
          <w:tcPr>
            <w:tcW w:w="1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400</w:t>
            </w: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4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132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1,628</w:t>
            </w:r>
          </w:p>
        </w:tc>
        <w:tc>
          <w:tcPr>
            <w:tcW w:w="1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920</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1,748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4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22)</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6</w:t>
            </w:r>
          </w:p>
        </w:tc>
        <w:tc>
          <w:tcPr>
            <w:tcW w:w="20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213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132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47</w:t>
            </w:r>
          </w:p>
        </w:tc>
        <w:tc>
          <w:tcPr>
            <w:tcW w:w="1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36</w:t>
            </w: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4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Chemicals</w:t>
            </w:r>
          </w:p>
        </w:tc>
        <w:tc>
          <w:tcPr>
            <w:tcW w:w="132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25</w:t>
            </w:r>
          </w:p>
        </w:tc>
        <w:tc>
          <w:tcPr>
            <w:tcW w:w="1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42</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243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8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All Other</w:t>
            </w:r>
          </w:p>
        </w:tc>
        <w:tc>
          <w:tcPr>
            <w:tcW w:w="132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94"/>
              </w:rPr>
              <w:t>(1,452)</w:t>
            </w:r>
          </w:p>
        </w:tc>
        <w:tc>
          <w:tcPr>
            <w:tcW w:w="1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(1,331)</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Total Income Tax Expense</w:t>
            </w:r>
          </w:p>
        </w:tc>
        <w:tc>
          <w:tcPr>
            <w:tcW w:w="138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1"/>
              </w:rPr>
              <w:t>19,026</w:t>
            </w:r>
          </w:p>
        </w:tc>
        <w:tc>
          <w:tcPr>
            <w:tcW w:w="1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29"/>
              <w:spacing w:after="0" w:line="105" w:lineRule="exact"/>
              <w:rPr>
                <w:sz w:val="20"/>
                <w:szCs w:val="20"/>
                <w:color w:val="auto"/>
              </w:rPr>
            </w:pPr>
            <w:r>
              <w:rPr>
                <w:rFonts w:ascii="Arial" w:cs="Arial" w:eastAsia="Arial" w:hAnsi="Arial"/>
                <w:sz w:val="10"/>
                <w:szCs w:val="10"/>
                <w:color w:val="auto"/>
                <w:w w:val="91"/>
              </w:rPr>
              <w:t>13,479</w:t>
            </w: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w w:val="91"/>
              </w:rPr>
              <w:t>14,838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460" w:type="dxa"/>
            <w:vAlign w:val="bottom"/>
            <w:shd w:val="clear" w:color="auto" w:fill="0077C0"/>
          </w:tcPr>
          <w:p>
            <w:pPr>
              <w:spacing w:after="0"/>
              <w:rPr>
                <w:sz w:val="2"/>
                <w:szCs w:val="2"/>
                <w:color w:val="auto"/>
              </w:rPr>
            </w:pPr>
          </w:p>
        </w:tc>
        <w:tc>
          <w:tcPr>
            <w:tcW w:w="1320" w:type="dxa"/>
            <w:vAlign w:val="bottom"/>
            <w:shd w:val="clear" w:color="auto" w:fill="0077C0"/>
          </w:tcPr>
          <w:p>
            <w:pPr>
              <w:spacing w:after="0"/>
              <w:rPr>
                <w:sz w:val="2"/>
                <w:szCs w:val="2"/>
                <w:color w:val="auto"/>
              </w:rPr>
            </w:pPr>
          </w:p>
        </w:tc>
        <w:tc>
          <w:tcPr>
            <w:tcW w:w="60" w:type="dxa"/>
            <w:vAlign w:val="bottom"/>
            <w:shd w:val="clear" w:color="auto" w:fill="0077C0"/>
          </w:tcPr>
          <w:p>
            <w:pPr>
              <w:spacing w:after="0"/>
              <w:rPr>
                <w:sz w:val="2"/>
                <w:szCs w:val="2"/>
                <w:color w:val="auto"/>
              </w:rPr>
            </w:pPr>
          </w:p>
        </w:tc>
        <w:tc>
          <w:tcPr>
            <w:tcW w:w="460" w:type="dxa"/>
            <w:vAlign w:val="bottom"/>
            <w:tcBorders>
              <w:right w:val="single" w:sz="8" w:color="0077C0"/>
            </w:tcBorders>
            <w:shd w:val="clear" w:color="auto" w:fill="0077C0"/>
          </w:tcPr>
          <w:p>
            <w:pPr>
              <w:spacing w:after="0"/>
              <w:rPr>
                <w:sz w:val="2"/>
                <w:szCs w:val="2"/>
                <w:color w:val="auto"/>
              </w:rPr>
            </w:pPr>
          </w:p>
        </w:tc>
        <w:tc>
          <w:tcPr>
            <w:tcW w:w="16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20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60" w:right="60"/>
        <w:spacing w:after="0" w:line="256" w:lineRule="auto"/>
        <w:rPr>
          <w:sz w:val="20"/>
          <w:szCs w:val="20"/>
          <w:color w:val="auto"/>
        </w:rPr>
      </w:pPr>
      <w:r>
        <w:rPr>
          <w:rFonts w:ascii="Arial" w:cs="Arial" w:eastAsia="Arial" w:hAnsi="Arial"/>
          <w:sz w:val="13"/>
          <w:szCs w:val="13"/>
          <w:i w:val="1"/>
          <w:iCs w:val="1"/>
          <w:color w:val="E51837"/>
        </w:rPr>
        <w:t xml:space="preserve">Other Segment Information </w:t>
      </w:r>
      <w:r>
        <w:rPr>
          <w:rFonts w:ascii="Arial" w:cs="Arial" w:eastAsia="Arial" w:hAnsi="Arial"/>
          <w:sz w:val="13"/>
          <w:szCs w:val="13"/>
          <w:color w:val="000000"/>
        </w:rPr>
        <w:t>Additional information for the segmentation of major equity affiliates is</w:t>
      </w:r>
      <w:r>
        <w:rPr>
          <w:rFonts w:ascii="Arial" w:cs="Arial" w:eastAsia="Arial" w:hAnsi="Arial"/>
          <w:sz w:val="13"/>
          <w:szCs w:val="13"/>
          <w:i w:val="1"/>
          <w:iCs w:val="1"/>
          <w:color w:val="E51837"/>
        </w:rPr>
        <w:t xml:space="preserve"> </w:t>
      </w:r>
      <w:r>
        <w:rPr>
          <w:rFonts w:ascii="Arial" w:cs="Arial" w:eastAsia="Arial" w:hAnsi="Arial"/>
          <w:sz w:val="13"/>
          <w:szCs w:val="13"/>
          <w:color w:val="000000"/>
        </w:rPr>
        <w:t>contained in Note 12, beginning on page FS-41. Information related to properties, plant and equipment by segment is contained in Note 13, on page FS-43.</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Note 10</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Lease Commitments</w:t>
      </w:r>
    </w:p>
    <w:p>
      <w:pPr>
        <w:ind w:left="360" w:right="140"/>
        <w:spacing w:after="0" w:line="276" w:lineRule="auto"/>
        <w:rPr>
          <w:sz w:val="20"/>
          <w:szCs w:val="20"/>
          <w:color w:val="auto"/>
        </w:rPr>
      </w:pPr>
      <w:r>
        <w:rPr>
          <w:rFonts w:ascii="Arial" w:cs="Arial" w:eastAsia="Arial" w:hAnsi="Arial"/>
          <w:sz w:val="12"/>
          <w:szCs w:val="12"/>
          <w:color w:val="auto"/>
        </w:rPr>
        <w:t>Certain noncancelable leases are classified as capital leases, and the leased assets are included as part of “Properties, plant and equipment, at cost.” Such leasing arrangements involve tanker charters, crude oil production and processing equipment, service stations, office buildings, and other facilities. Other leases are classified as operating leases and are not capitalized. The payments on such leases are recorded as expense. Details of the capitalized leased assets are as follows:</w:t>
      </w:r>
    </w:p>
    <w:p>
      <w:pPr>
        <w:spacing w:after="0" w:line="76"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rPr>
              <w:t>At December 31</w:t>
            </w:r>
          </w:p>
        </w:tc>
      </w:tr>
      <w:tr>
        <w:trPr>
          <w:trHeight w:val="95"/>
        </w:trPr>
        <w:tc>
          <w:tcPr>
            <w:tcW w:w="20" w:type="dxa"/>
            <w:vAlign w:val="bottom"/>
          </w:tcPr>
          <w:p>
            <w:pPr>
              <w:spacing w:after="0"/>
              <w:rPr>
                <w:sz w:val="8"/>
                <w:szCs w:val="8"/>
                <w:color w:val="auto"/>
              </w:rPr>
            </w:pPr>
          </w:p>
        </w:tc>
        <w:tc>
          <w:tcPr>
            <w:tcW w:w="2920" w:type="dxa"/>
            <w:vAlign w:val="bottom"/>
            <w:tcBorders>
              <w:bottom w:val="single" w:sz="8" w:color="0077C0"/>
            </w:tcBorders>
          </w:tcPr>
          <w:p>
            <w:pPr>
              <w:spacing w:after="0"/>
              <w:rPr>
                <w:sz w:val="8"/>
                <w:szCs w:val="8"/>
                <w:color w:val="auto"/>
              </w:rPr>
            </w:pPr>
          </w:p>
        </w:tc>
        <w:tc>
          <w:tcPr>
            <w:tcW w:w="160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420" w:type="dxa"/>
            <w:vAlign w:val="bottom"/>
            <w:tcBorders>
              <w:bottom w:val="single" w:sz="8" w:color="0077C0"/>
            </w:tcBorders>
          </w:tcPr>
          <w:p>
            <w:pPr>
              <w:jc w:val="right"/>
              <w:ind w:right="110"/>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r>
      <w:tr>
        <w:trPr>
          <w:trHeight w:val="90"/>
        </w:trPr>
        <w:tc>
          <w:tcPr>
            <w:tcW w:w="20" w:type="dxa"/>
            <w:vAlign w:val="bottom"/>
          </w:tcPr>
          <w:p>
            <w:pPr>
              <w:spacing w:after="0"/>
              <w:rPr>
                <w:sz w:val="7"/>
                <w:szCs w:val="7"/>
                <w:color w:val="auto"/>
              </w:rPr>
            </w:pPr>
          </w:p>
        </w:tc>
        <w:tc>
          <w:tcPr>
            <w:tcW w:w="2920" w:type="dxa"/>
            <w:vAlign w:val="bottom"/>
          </w:tcPr>
          <w:p>
            <w:pPr>
              <w:spacing w:after="0" w:line="91" w:lineRule="exact"/>
              <w:rPr>
                <w:sz w:val="20"/>
                <w:szCs w:val="20"/>
                <w:color w:val="auto"/>
              </w:rPr>
            </w:pPr>
            <w:r>
              <w:rPr>
                <w:rFonts w:ascii="Arial" w:cs="Arial" w:eastAsia="Arial" w:hAnsi="Arial"/>
                <w:sz w:val="10"/>
                <w:szCs w:val="10"/>
                <w:color w:val="auto"/>
              </w:rPr>
              <w:t>Upstream</w:t>
            </w:r>
          </w:p>
        </w:tc>
        <w:tc>
          <w:tcPr>
            <w:tcW w:w="168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42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491</w:t>
            </w:r>
          </w:p>
        </w:tc>
        <w:tc>
          <w:tcPr>
            <w:tcW w:w="1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482</w:t>
            </w:r>
          </w:p>
        </w:tc>
      </w:tr>
      <w:tr>
        <w:trPr>
          <w:trHeight w:val="106"/>
        </w:trPr>
        <w:tc>
          <w:tcPr>
            <w:tcW w:w="2940" w:type="dxa"/>
            <w:vAlign w:val="bottom"/>
            <w:gridSpan w:val="2"/>
          </w:tcPr>
          <w:p>
            <w:pPr>
              <w:spacing w:after="0" w:line="106" w:lineRule="exact"/>
              <w:rPr>
                <w:sz w:val="20"/>
                <w:szCs w:val="20"/>
                <w:color w:val="auto"/>
              </w:rPr>
            </w:pPr>
            <w:r>
              <w:rPr>
                <w:rFonts w:ascii="Arial" w:cs="Arial" w:eastAsia="Arial" w:hAnsi="Arial"/>
                <w:sz w:val="10"/>
                <w:szCs w:val="10"/>
                <w:color w:val="auto"/>
              </w:rPr>
              <w:t>Downstream</w:t>
            </w:r>
          </w:p>
        </w:tc>
        <w:tc>
          <w:tcPr>
            <w:tcW w:w="1680" w:type="dxa"/>
            <w:vAlign w:val="bottom"/>
            <w:gridSpan w:val="2"/>
          </w:tcPr>
          <w:p>
            <w:pPr>
              <w:jc w:val="right"/>
              <w:ind w:right="40"/>
              <w:spacing w:after="0" w:line="106" w:lineRule="exact"/>
              <w:rPr>
                <w:sz w:val="20"/>
                <w:szCs w:val="20"/>
                <w:color w:val="auto"/>
              </w:rPr>
            </w:pPr>
            <w:r>
              <w:rPr>
                <w:rFonts w:ascii="Arial" w:cs="Arial" w:eastAsia="Arial" w:hAnsi="Arial"/>
                <w:sz w:val="10"/>
                <w:szCs w:val="10"/>
                <w:b w:val="1"/>
                <w:bCs w:val="1"/>
                <w:color w:val="auto"/>
              </w:rPr>
              <w:t>$</w:t>
            </w:r>
          </w:p>
        </w:tc>
        <w:tc>
          <w:tcPr>
            <w:tcW w:w="42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399</w:t>
            </w:r>
          </w:p>
        </w:tc>
        <w:tc>
          <w:tcPr>
            <w:tcW w:w="1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551</w:t>
            </w:r>
          </w:p>
        </w:tc>
      </w:tr>
      <w:tr>
        <w:trPr>
          <w:trHeight w:val="120"/>
        </w:trPr>
        <w:tc>
          <w:tcPr>
            <w:tcW w:w="2940" w:type="dxa"/>
            <w:vAlign w:val="bottom"/>
            <w:gridSpan w:val="2"/>
          </w:tcPr>
          <w:p>
            <w:pPr>
              <w:spacing w:after="0"/>
              <w:rPr>
                <w:sz w:val="20"/>
                <w:szCs w:val="20"/>
                <w:color w:val="auto"/>
              </w:rPr>
            </w:pPr>
            <w:r>
              <w:rPr>
                <w:rFonts w:ascii="Arial" w:cs="Arial" w:eastAsia="Arial" w:hAnsi="Arial"/>
                <w:sz w:val="10"/>
                <w:szCs w:val="10"/>
                <w:color w:val="auto"/>
              </w:rPr>
              <w:t>Chemical and all other</w:t>
            </w: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171</w:t>
            </w:r>
          </w:p>
        </w:tc>
        <w:tc>
          <w:tcPr>
            <w:tcW w:w="1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171</w:t>
            </w:r>
          </w:p>
        </w:tc>
      </w:tr>
      <w:tr>
        <w:trPr>
          <w:trHeight w:val="90"/>
        </w:trPr>
        <w:tc>
          <w:tcPr>
            <w:tcW w:w="20" w:type="dxa"/>
            <w:vAlign w:val="bottom"/>
          </w:tcPr>
          <w:p>
            <w:pPr>
              <w:spacing w:after="0"/>
              <w:rPr>
                <w:sz w:val="7"/>
                <w:szCs w:val="7"/>
                <w:color w:val="auto"/>
              </w:rPr>
            </w:pPr>
          </w:p>
        </w:tc>
        <w:tc>
          <w:tcPr>
            <w:tcW w:w="2920" w:type="dxa"/>
            <w:vAlign w:val="bottom"/>
            <w:tcBorders>
              <w:top w:val="single" w:sz="8" w:color="0077C0"/>
            </w:tcBorders>
          </w:tcPr>
          <w:p>
            <w:pPr>
              <w:ind w:left="80"/>
              <w:spacing w:after="0" w:line="91" w:lineRule="exact"/>
              <w:rPr>
                <w:sz w:val="20"/>
                <w:szCs w:val="20"/>
                <w:color w:val="auto"/>
              </w:rPr>
            </w:pPr>
            <w:r>
              <w:rPr>
                <w:rFonts w:ascii="Arial" w:cs="Arial" w:eastAsia="Arial" w:hAnsi="Arial"/>
                <w:sz w:val="10"/>
                <w:szCs w:val="10"/>
                <w:color w:val="auto"/>
              </w:rPr>
              <w:t>Total</w:t>
            </w:r>
          </w:p>
        </w:tc>
        <w:tc>
          <w:tcPr>
            <w:tcW w:w="160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420" w:type="dxa"/>
            <w:vAlign w:val="bottom"/>
            <w:tcBorders>
              <w:top w:val="single" w:sz="8" w:color="0077C0"/>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w w:val="95"/>
              </w:rPr>
              <w:t>1,061</w:t>
            </w:r>
          </w:p>
        </w:tc>
        <w:tc>
          <w:tcPr>
            <w:tcW w:w="16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w w:val="95"/>
              </w:rPr>
              <w:t>1,204</w:t>
            </w:r>
          </w:p>
        </w:tc>
      </w:tr>
      <w:tr>
        <w:trPr>
          <w:trHeight w:val="120"/>
        </w:trPr>
        <w:tc>
          <w:tcPr>
            <w:tcW w:w="29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Less: Accumulated amortization</w:t>
            </w:r>
          </w:p>
        </w:tc>
        <w:tc>
          <w:tcPr>
            <w:tcW w:w="16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522</w:t>
            </w:r>
          </w:p>
        </w:tc>
        <w:tc>
          <w:tcPr>
            <w:tcW w:w="1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628</w:t>
            </w:r>
          </w:p>
        </w:tc>
      </w:tr>
      <w:tr>
        <w:trPr>
          <w:trHeight w:val="105"/>
        </w:trPr>
        <w:tc>
          <w:tcPr>
            <w:tcW w:w="2940" w:type="dxa"/>
            <w:vAlign w:val="bottom"/>
            <w:gridSpan w:val="2"/>
          </w:tcPr>
          <w:p>
            <w:pPr>
              <w:spacing w:after="0" w:line="105" w:lineRule="exact"/>
              <w:rPr>
                <w:sz w:val="20"/>
                <w:szCs w:val="20"/>
                <w:color w:val="auto"/>
              </w:rPr>
            </w:pPr>
            <w:r>
              <w:rPr>
                <w:rFonts w:ascii="Arial" w:cs="Arial" w:eastAsia="Arial" w:hAnsi="Arial"/>
                <w:sz w:val="10"/>
                <w:szCs w:val="10"/>
                <w:color w:val="auto"/>
              </w:rPr>
              <w:t>Net capitalized leased assets</w:t>
            </w:r>
          </w:p>
        </w:tc>
        <w:tc>
          <w:tcPr>
            <w:tcW w:w="168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right w:val="single" w:sz="8" w:color="0077C0"/>
            </w:tcBorders>
          </w:tcPr>
          <w:p>
            <w:pPr>
              <w:jc w:val="right"/>
              <w:ind w:right="110"/>
              <w:spacing w:after="0" w:line="105" w:lineRule="exact"/>
              <w:rPr>
                <w:sz w:val="20"/>
                <w:szCs w:val="20"/>
                <w:color w:val="auto"/>
              </w:rPr>
            </w:pPr>
            <w:r>
              <w:rPr>
                <w:rFonts w:ascii="Arial" w:cs="Arial" w:eastAsia="Arial" w:hAnsi="Arial"/>
                <w:sz w:val="10"/>
                <w:szCs w:val="10"/>
                <w:b w:val="1"/>
                <w:bCs w:val="1"/>
                <w:color w:val="auto"/>
              </w:rPr>
              <w:t>539</w:t>
            </w:r>
          </w:p>
        </w:tc>
        <w:tc>
          <w:tcPr>
            <w:tcW w:w="1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5" w:lineRule="exact"/>
              <w:rPr>
                <w:sz w:val="20"/>
                <w:szCs w:val="20"/>
                <w:color w:val="auto"/>
              </w:rPr>
            </w:pPr>
            <w:r>
              <w:rPr>
                <w:rFonts w:ascii="Arial" w:cs="Arial" w:eastAsia="Arial" w:hAnsi="Arial"/>
                <w:sz w:val="10"/>
                <w:szCs w:val="10"/>
                <w:color w:val="auto"/>
              </w:rPr>
              <w:t>576</w:t>
            </w:r>
          </w:p>
        </w:tc>
      </w:tr>
      <w:tr>
        <w:trPr>
          <w:trHeight w:val="29"/>
        </w:trPr>
        <w:tc>
          <w:tcPr>
            <w:tcW w:w="20" w:type="dxa"/>
            <w:vAlign w:val="bottom"/>
          </w:tcPr>
          <w:p>
            <w:pPr>
              <w:spacing w:after="0"/>
              <w:rPr>
                <w:sz w:val="2"/>
                <w:szCs w:val="2"/>
                <w:color w:val="auto"/>
              </w:rPr>
            </w:pPr>
          </w:p>
        </w:tc>
        <w:tc>
          <w:tcPr>
            <w:tcW w:w="2920" w:type="dxa"/>
            <w:vAlign w:val="bottom"/>
            <w:shd w:val="clear" w:color="auto" w:fill="0077C0"/>
          </w:tcPr>
          <w:p>
            <w:pPr>
              <w:spacing w:after="0"/>
              <w:rPr>
                <w:sz w:val="2"/>
                <w:szCs w:val="2"/>
                <w:color w:val="auto"/>
              </w:rPr>
            </w:pPr>
          </w:p>
        </w:tc>
        <w:tc>
          <w:tcPr>
            <w:tcW w:w="1600" w:type="dxa"/>
            <w:vAlign w:val="bottom"/>
            <w:shd w:val="clear" w:color="auto" w:fill="0077C0"/>
          </w:tcPr>
          <w:p>
            <w:pPr>
              <w:spacing w:after="0"/>
              <w:rPr>
                <w:sz w:val="2"/>
                <w:szCs w:val="2"/>
                <w:color w:val="auto"/>
              </w:rPr>
            </w:pPr>
          </w:p>
        </w:tc>
        <w:tc>
          <w:tcPr>
            <w:tcW w:w="80" w:type="dxa"/>
            <w:vAlign w:val="bottom"/>
            <w:shd w:val="clear" w:color="auto" w:fill="0077C0"/>
          </w:tcPr>
          <w:p>
            <w:pPr>
              <w:spacing w:after="0"/>
              <w:rPr>
                <w:sz w:val="2"/>
                <w:szCs w:val="2"/>
                <w:color w:val="auto"/>
              </w:rPr>
            </w:pPr>
          </w:p>
        </w:tc>
        <w:tc>
          <w:tcPr>
            <w:tcW w:w="420" w:type="dxa"/>
            <w:vAlign w:val="bottom"/>
            <w:tcBorders>
              <w:right w:val="single" w:sz="8" w:color="0077C0"/>
            </w:tcBorders>
            <w:shd w:val="clear" w:color="auto" w:fill="0077C0"/>
          </w:tcPr>
          <w:p>
            <w:pPr>
              <w:spacing w:after="0"/>
              <w:rPr>
                <w:sz w:val="2"/>
                <w:szCs w:val="2"/>
                <w:color w:val="auto"/>
              </w:rPr>
            </w:pPr>
          </w:p>
        </w:tc>
        <w:tc>
          <w:tcPr>
            <w:tcW w:w="16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r>
    </w:tbl>
    <w:p>
      <w:pPr>
        <w:spacing w:after="0" w:line="135"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Rental expenses incurred for operating leases during 2008, 2007 and 2006 were as follows:</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spacing w:after="0"/>
              <w:rPr>
                <w:sz w:val="10"/>
                <w:szCs w:val="10"/>
                <w:color w:val="auto"/>
              </w:rPr>
            </w:pPr>
          </w:p>
        </w:tc>
        <w:tc>
          <w:tcPr>
            <w:tcW w:w="10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90"/>
              </w:rPr>
              <w:t>Year ended December 31</w:t>
            </w:r>
          </w:p>
        </w:tc>
      </w:tr>
      <w:tr>
        <w:trPr>
          <w:trHeight w:val="95"/>
        </w:trPr>
        <w:tc>
          <w:tcPr>
            <w:tcW w:w="20" w:type="dxa"/>
            <w:vAlign w:val="bottom"/>
          </w:tcPr>
          <w:p>
            <w:pPr>
              <w:spacing w:after="0"/>
              <w:rPr>
                <w:sz w:val="8"/>
                <w:szCs w:val="8"/>
                <w:color w:val="auto"/>
              </w:rPr>
            </w:pPr>
          </w:p>
        </w:tc>
        <w:tc>
          <w:tcPr>
            <w:tcW w:w="2520" w:type="dxa"/>
            <w:vAlign w:val="bottom"/>
            <w:tcBorders>
              <w:bottom w:val="single" w:sz="8" w:color="0077C0"/>
            </w:tcBorders>
          </w:tcPr>
          <w:p>
            <w:pPr>
              <w:spacing w:after="0"/>
              <w:rPr>
                <w:sz w:val="8"/>
                <w:szCs w:val="8"/>
                <w:color w:val="auto"/>
              </w:rPr>
            </w:pPr>
          </w:p>
        </w:tc>
        <w:tc>
          <w:tcPr>
            <w:tcW w:w="132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580" w:type="dxa"/>
            <w:vAlign w:val="bottom"/>
            <w:tcBorders>
              <w:bottom w:val="single" w:sz="8" w:color="0077C0"/>
            </w:tcBorders>
          </w:tcPr>
          <w:p>
            <w:pPr>
              <w:jc w:val="right"/>
              <w:ind w:right="110"/>
              <w:spacing w:after="0" w:line="95" w:lineRule="exact"/>
              <w:rPr>
                <w:sz w:val="20"/>
                <w:szCs w:val="20"/>
                <w:color w:val="auto"/>
              </w:rPr>
            </w:pPr>
            <w:r>
              <w:rPr>
                <w:rFonts w:ascii="Arial" w:cs="Arial" w:eastAsia="Arial" w:hAnsi="Arial"/>
                <w:sz w:val="10"/>
                <w:szCs w:val="10"/>
                <w:color w:val="auto"/>
              </w:rPr>
              <w:t>2007</w:t>
            </w:r>
          </w:p>
        </w:tc>
        <w:tc>
          <w:tcPr>
            <w:tcW w:w="48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color w:val="auto"/>
              </w:rPr>
              <w:t>Minimum rentals</w:t>
            </w:r>
          </w:p>
        </w:tc>
        <w:tc>
          <w:tcPr>
            <w:tcW w:w="142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2,984</w:t>
            </w:r>
          </w:p>
        </w:tc>
        <w:tc>
          <w:tcPr>
            <w:tcW w:w="580" w:type="dxa"/>
            <w:vAlign w:val="bottom"/>
          </w:tcPr>
          <w:p>
            <w:pPr>
              <w:jc w:val="right"/>
              <w:ind w:right="110"/>
              <w:spacing w:after="0" w:line="91" w:lineRule="exact"/>
              <w:rPr>
                <w:sz w:val="20"/>
                <w:szCs w:val="20"/>
                <w:color w:val="auto"/>
              </w:rPr>
            </w:pPr>
            <w:r>
              <w:rPr>
                <w:rFonts w:ascii="Arial" w:cs="Arial" w:eastAsia="Arial" w:hAnsi="Arial"/>
                <w:sz w:val="10"/>
                <w:szCs w:val="10"/>
                <w:color w:val="auto"/>
              </w:rPr>
              <w:t>$ 2,419</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$ 2,326</w:t>
            </w:r>
          </w:p>
        </w:tc>
      </w:tr>
      <w:tr>
        <w:trPr>
          <w:trHeight w:val="120"/>
        </w:trPr>
        <w:tc>
          <w:tcPr>
            <w:tcW w:w="2540" w:type="dxa"/>
            <w:vAlign w:val="bottom"/>
            <w:gridSpan w:val="2"/>
          </w:tcPr>
          <w:p>
            <w:pPr>
              <w:spacing w:after="0"/>
              <w:rPr>
                <w:sz w:val="20"/>
                <w:szCs w:val="20"/>
                <w:color w:val="auto"/>
              </w:rPr>
            </w:pPr>
            <w:r>
              <w:rPr>
                <w:rFonts w:ascii="Arial" w:cs="Arial" w:eastAsia="Arial" w:hAnsi="Arial"/>
                <w:sz w:val="10"/>
                <w:szCs w:val="10"/>
                <w:color w:val="auto"/>
              </w:rPr>
              <w:t>Contingent rentals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6</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6</w:t>
            </w:r>
          </w:p>
        </w:tc>
        <w:tc>
          <w:tcPr>
            <w:tcW w:w="48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90"/>
        </w:trPr>
        <w:tc>
          <w:tcPr>
            <w:tcW w:w="20" w:type="dxa"/>
            <w:vAlign w:val="bottom"/>
          </w:tcPr>
          <w:p>
            <w:pPr>
              <w:spacing w:after="0"/>
              <w:rPr>
                <w:sz w:val="7"/>
                <w:szCs w:val="7"/>
                <w:color w:val="auto"/>
              </w:rPr>
            </w:pPr>
          </w:p>
        </w:tc>
        <w:tc>
          <w:tcPr>
            <w:tcW w:w="2520" w:type="dxa"/>
            <w:vAlign w:val="bottom"/>
            <w:tcBorders>
              <w:top w:val="single" w:sz="8" w:color="0077C0"/>
            </w:tcBorders>
          </w:tcPr>
          <w:p>
            <w:pPr>
              <w:ind w:left="80"/>
              <w:spacing w:after="0" w:line="91" w:lineRule="exact"/>
              <w:rPr>
                <w:sz w:val="20"/>
                <w:szCs w:val="20"/>
                <w:color w:val="auto"/>
              </w:rPr>
            </w:pPr>
            <w:r>
              <w:rPr>
                <w:rFonts w:ascii="Arial" w:cs="Arial" w:eastAsia="Arial" w:hAnsi="Arial"/>
                <w:sz w:val="10"/>
                <w:szCs w:val="10"/>
                <w:color w:val="auto"/>
              </w:rPr>
              <w:t>Total</w:t>
            </w:r>
          </w:p>
        </w:tc>
        <w:tc>
          <w:tcPr>
            <w:tcW w:w="13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40" w:type="dxa"/>
            <w:vAlign w:val="bottom"/>
            <w:tcBorders>
              <w:top w:val="single" w:sz="8" w:color="0077C0"/>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2,990</w:t>
            </w:r>
          </w:p>
        </w:tc>
        <w:tc>
          <w:tcPr>
            <w:tcW w:w="580" w:type="dxa"/>
            <w:vAlign w:val="bottom"/>
            <w:tcBorders>
              <w:top w:val="single" w:sz="8" w:color="0077C0"/>
            </w:tcBorders>
          </w:tcPr>
          <w:p>
            <w:pPr>
              <w:jc w:val="right"/>
              <w:ind w:right="110"/>
              <w:spacing w:after="0" w:line="91" w:lineRule="exact"/>
              <w:rPr>
                <w:sz w:val="20"/>
                <w:szCs w:val="20"/>
                <w:color w:val="auto"/>
              </w:rPr>
            </w:pPr>
            <w:r>
              <w:rPr>
                <w:rFonts w:ascii="Arial" w:cs="Arial" w:eastAsia="Arial" w:hAnsi="Arial"/>
                <w:sz w:val="10"/>
                <w:szCs w:val="10"/>
                <w:color w:val="auto"/>
              </w:rPr>
              <w:t>2,425</w:t>
            </w:r>
          </w:p>
        </w:tc>
        <w:tc>
          <w:tcPr>
            <w:tcW w:w="4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2,332</w:t>
            </w:r>
          </w:p>
        </w:tc>
      </w:tr>
      <w:tr>
        <w:trPr>
          <w:trHeight w:val="120"/>
        </w:trPr>
        <w:tc>
          <w:tcPr>
            <w:tcW w:w="25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Less: Sublease rental income</w:t>
            </w:r>
          </w:p>
        </w:tc>
        <w:tc>
          <w:tcPr>
            <w:tcW w:w="132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41</w:t>
            </w:r>
          </w:p>
        </w:tc>
        <w:tc>
          <w:tcPr>
            <w:tcW w:w="58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30</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33</w:t>
            </w:r>
          </w:p>
        </w:tc>
      </w:tr>
      <w:tr>
        <w:trPr>
          <w:trHeight w:val="105"/>
        </w:trPr>
        <w:tc>
          <w:tcPr>
            <w:tcW w:w="2540" w:type="dxa"/>
            <w:vAlign w:val="bottom"/>
            <w:gridSpan w:val="2"/>
          </w:tcPr>
          <w:p>
            <w:pPr>
              <w:spacing w:after="0" w:line="105" w:lineRule="exact"/>
              <w:rPr>
                <w:sz w:val="20"/>
                <w:szCs w:val="20"/>
                <w:color w:val="auto"/>
              </w:rPr>
            </w:pPr>
            <w:r>
              <w:rPr>
                <w:rFonts w:ascii="Arial" w:cs="Arial" w:eastAsia="Arial" w:hAnsi="Arial"/>
                <w:sz w:val="10"/>
                <w:szCs w:val="10"/>
                <w:color w:val="auto"/>
              </w:rPr>
              <w:t>Net rental expense</w:t>
            </w:r>
          </w:p>
        </w:tc>
        <w:tc>
          <w:tcPr>
            <w:tcW w:w="142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2,949</w:t>
            </w:r>
          </w:p>
        </w:tc>
        <w:tc>
          <w:tcPr>
            <w:tcW w:w="580" w:type="dxa"/>
            <w:vAlign w:val="bottom"/>
          </w:tcPr>
          <w:p>
            <w:pPr>
              <w:jc w:val="right"/>
              <w:ind w:right="110"/>
              <w:spacing w:after="0" w:line="105" w:lineRule="exact"/>
              <w:rPr>
                <w:sz w:val="20"/>
                <w:szCs w:val="20"/>
                <w:color w:val="auto"/>
              </w:rPr>
            </w:pPr>
            <w:r>
              <w:rPr>
                <w:rFonts w:ascii="Arial" w:cs="Arial" w:eastAsia="Arial" w:hAnsi="Arial"/>
                <w:sz w:val="10"/>
                <w:szCs w:val="10"/>
                <w:color w:val="auto"/>
              </w:rPr>
              <w:t>$ 2,395</w:t>
            </w:r>
          </w:p>
        </w:tc>
        <w:tc>
          <w:tcPr>
            <w:tcW w:w="480" w:type="dxa"/>
            <w:vAlign w:val="bottom"/>
          </w:tcPr>
          <w:p>
            <w:pPr>
              <w:jc w:val="right"/>
              <w:spacing w:after="0" w:line="105" w:lineRule="exact"/>
              <w:rPr>
                <w:sz w:val="20"/>
                <w:szCs w:val="20"/>
                <w:color w:val="auto"/>
              </w:rPr>
            </w:pPr>
            <w:r>
              <w:rPr>
                <w:rFonts w:ascii="Arial" w:cs="Arial" w:eastAsia="Arial" w:hAnsi="Arial"/>
                <w:sz w:val="10"/>
                <w:szCs w:val="10"/>
                <w:color w:val="auto"/>
              </w:rPr>
              <w:t>$ 2,299</w:t>
            </w:r>
          </w:p>
        </w:tc>
      </w:tr>
      <w:tr>
        <w:trPr>
          <w:trHeight w:val="29"/>
        </w:trPr>
        <w:tc>
          <w:tcPr>
            <w:tcW w:w="20" w:type="dxa"/>
            <w:vAlign w:val="bottom"/>
          </w:tcPr>
          <w:p>
            <w:pPr>
              <w:spacing w:after="0"/>
              <w:rPr>
                <w:sz w:val="2"/>
                <w:szCs w:val="2"/>
                <w:color w:val="auto"/>
              </w:rPr>
            </w:pPr>
          </w:p>
        </w:tc>
        <w:tc>
          <w:tcPr>
            <w:tcW w:w="2520" w:type="dxa"/>
            <w:vAlign w:val="bottom"/>
            <w:shd w:val="clear" w:color="auto" w:fill="0077C0"/>
          </w:tcPr>
          <w:p>
            <w:pPr>
              <w:spacing w:after="0"/>
              <w:rPr>
                <w:sz w:val="2"/>
                <w:szCs w:val="2"/>
                <w:color w:val="auto"/>
              </w:rPr>
            </w:pPr>
          </w:p>
        </w:tc>
        <w:tc>
          <w:tcPr>
            <w:tcW w:w="1320" w:type="dxa"/>
            <w:vAlign w:val="bottom"/>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440" w:type="dxa"/>
            <w:vAlign w:val="bottom"/>
            <w:tcBorders>
              <w:right w:val="single" w:sz="8" w:color="0077C0"/>
            </w:tcBorders>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FS-40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60"/>
          </w:cols>
          <w:pgMar w:left="220" w:top="338" w:right="219" w:bottom="1440" w:gutter="0" w:footer="0" w:header="0"/>
          <w:type w:val="continuous"/>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9540"/>
        <w:spacing w:after="0"/>
        <w:rPr>
          <w:sz w:val="20"/>
          <w:szCs w:val="20"/>
          <w:color w:val="auto"/>
        </w:rPr>
      </w:pPr>
      <w:r>
        <w:rPr>
          <w:rFonts w:ascii="Arial" w:cs="Arial" w:eastAsia="Arial" w:hAnsi="Arial"/>
          <w:sz w:val="10"/>
          <w:szCs w:val="10"/>
          <w:b w:val="1"/>
          <w:bCs w:val="1"/>
          <w:color w:val="0077C0"/>
        </w:rPr>
        <w:t xml:space="preserve">Note 10 </w:t>
      </w:r>
      <w:r>
        <w:rPr>
          <w:rFonts w:ascii="Arial" w:cs="Arial" w:eastAsia="Arial" w:hAnsi="Arial"/>
          <w:sz w:val="8"/>
          <w:szCs w:val="8"/>
          <w:color w:val="000000"/>
        </w:rPr>
        <w:t>Lease Commitments - Continued</w:t>
      </w:r>
    </w:p>
    <w:p>
      <w:pPr>
        <w:sectPr>
          <w:pgSz w:w="11900" w:h="16838" w:orient="portrait"/>
          <w:cols w:equalWidth="0" w:num="1">
            <w:col w:w="11440"/>
          </w:cols>
          <w:pgMar w:left="220" w:top="338" w:right="239" w:bottom="1440" w:gutter="0" w:footer="0" w:header="0"/>
        </w:sectPr>
      </w:pPr>
    </w:p>
    <w:p>
      <w:pPr>
        <w:spacing w:after="0" w:line="346" w:lineRule="exact"/>
        <w:rPr>
          <w:sz w:val="20"/>
          <w:szCs w:val="20"/>
          <w:color w:val="auto"/>
        </w:rPr>
      </w:pPr>
    </w:p>
    <w:p>
      <w:pPr>
        <w:ind w:firstLine="160"/>
        <w:spacing w:after="0" w:line="249" w:lineRule="auto"/>
        <w:rPr>
          <w:sz w:val="20"/>
          <w:szCs w:val="20"/>
          <w:color w:val="auto"/>
        </w:rPr>
      </w:pPr>
      <w:r>
        <w:rPr>
          <w:rFonts w:ascii="Arial" w:cs="Arial" w:eastAsia="Arial" w:hAnsi="Arial"/>
          <w:sz w:val="13"/>
          <w:szCs w:val="13"/>
          <w:color w:val="auto"/>
        </w:rPr>
        <w:t>Contingent rentals are based on factors other than the passage of time, principally sales volumes at leased service stations. Certain leases include escalation clauses for adjusting rentals to reflect changes in price indices, renewal options ranging up to 25 years, and options to purchase the leased property during or at the end of the initial or renewal lease period for the fair market value or other specified amount at that time.</w:t>
      </w:r>
    </w:p>
    <w:p>
      <w:pPr>
        <w:spacing w:after="0" w:line="2" w:lineRule="exact"/>
        <w:rPr>
          <w:sz w:val="20"/>
          <w:szCs w:val="20"/>
          <w:color w:val="auto"/>
        </w:rPr>
      </w:pPr>
    </w:p>
    <w:p>
      <w:pPr>
        <w:ind w:right="60" w:firstLine="153"/>
        <w:spacing w:after="0" w:line="250" w:lineRule="auto"/>
        <w:rPr>
          <w:sz w:val="20"/>
          <w:szCs w:val="20"/>
          <w:color w:val="auto"/>
        </w:rPr>
      </w:pPr>
      <w:r>
        <w:rPr>
          <w:rFonts w:ascii="Arial" w:cs="Arial" w:eastAsia="Arial" w:hAnsi="Arial"/>
          <w:sz w:val="13"/>
          <w:szCs w:val="13"/>
          <w:color w:val="auto"/>
        </w:rPr>
        <w:t>At December 31, 2008, the estimated future minimum lease payments (net of noncancelable sublease rentals) under operating and capital leases, which at inception had a non-cancelable term of more than one year,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0"/>
                <w:szCs w:val="10"/>
                <w:color w:val="auto"/>
                <w:w w:val="85"/>
              </w:rPr>
              <w:t>At December 31</w:t>
            </w:r>
          </w:p>
        </w:tc>
      </w:tr>
      <w:tr>
        <w:trPr>
          <w:trHeight w:val="88"/>
        </w:trPr>
        <w:tc>
          <w:tcPr>
            <w:tcW w:w="4240" w:type="dxa"/>
            <w:vAlign w:val="bottom"/>
          </w:tcPr>
          <w:p>
            <w:pPr>
              <w:spacing w:after="0"/>
              <w:rPr>
                <w:sz w:val="7"/>
                <w:szCs w:val="7"/>
                <w:color w:val="auto"/>
              </w:rPr>
            </w:pPr>
          </w:p>
        </w:tc>
        <w:tc>
          <w:tcPr>
            <w:tcW w:w="580" w:type="dxa"/>
            <w:vAlign w:val="bottom"/>
            <w:tcBorders>
              <w:top w:val="single" w:sz="8" w:color="0077C0"/>
            </w:tcBorders>
            <w:gridSpan w:val="2"/>
          </w:tcPr>
          <w:p>
            <w:pPr>
              <w:ind w:left="20"/>
              <w:spacing w:after="0" w:line="89" w:lineRule="exact"/>
              <w:rPr>
                <w:sz w:val="20"/>
                <w:szCs w:val="20"/>
                <w:color w:val="auto"/>
              </w:rPr>
            </w:pPr>
            <w:r>
              <w:rPr>
                <w:rFonts w:ascii="Arial" w:cs="Arial" w:eastAsia="Arial" w:hAnsi="Arial"/>
                <w:sz w:val="10"/>
                <w:szCs w:val="10"/>
                <w:color w:val="auto"/>
              </w:rPr>
              <w:t>Operating</w:t>
            </w:r>
          </w:p>
        </w:tc>
        <w:tc>
          <w:tcPr>
            <w:tcW w:w="3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jc w:val="right"/>
              <w:spacing w:after="0" w:line="89" w:lineRule="exact"/>
              <w:rPr>
                <w:sz w:val="20"/>
                <w:szCs w:val="20"/>
                <w:color w:val="auto"/>
              </w:rPr>
            </w:pPr>
            <w:r>
              <w:rPr>
                <w:rFonts w:ascii="Arial" w:cs="Arial" w:eastAsia="Arial" w:hAnsi="Arial"/>
                <w:sz w:val="10"/>
                <w:szCs w:val="10"/>
                <w:color w:val="auto"/>
                <w:w w:val="83"/>
              </w:rPr>
              <w:t>Capital</w:t>
            </w:r>
          </w:p>
        </w:tc>
        <w:tc>
          <w:tcPr>
            <w:tcW w:w="40" w:type="dxa"/>
            <w:vAlign w:val="bottom"/>
          </w:tcPr>
          <w:p>
            <w:pPr>
              <w:spacing w:after="0"/>
              <w:rPr>
                <w:sz w:val="7"/>
                <w:szCs w:val="7"/>
                <w:color w:val="auto"/>
              </w:rPr>
            </w:pPr>
          </w:p>
        </w:tc>
      </w:tr>
      <w:tr>
        <w:trPr>
          <w:trHeight w:val="113"/>
        </w:trPr>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30"/>
              <w:spacing w:after="0" w:line="113" w:lineRule="exact"/>
              <w:rPr>
                <w:sz w:val="20"/>
                <w:szCs w:val="20"/>
                <w:color w:val="auto"/>
              </w:rPr>
            </w:pPr>
            <w:r>
              <w:rPr>
                <w:rFonts w:ascii="Arial" w:cs="Arial" w:eastAsia="Arial" w:hAnsi="Arial"/>
                <w:sz w:val="10"/>
                <w:szCs w:val="10"/>
                <w:color w:val="auto"/>
                <w:w w:val="86"/>
              </w:rPr>
              <w:t>Leases</w:t>
            </w:r>
          </w:p>
        </w:tc>
        <w:tc>
          <w:tcPr>
            <w:tcW w:w="340" w:type="dxa"/>
            <w:vAlign w:val="bottom"/>
          </w:tcPr>
          <w:p>
            <w:pPr>
              <w:spacing w:after="0"/>
              <w:rPr>
                <w:sz w:val="9"/>
                <w:szCs w:val="9"/>
                <w:color w:val="auto"/>
              </w:rPr>
            </w:pPr>
          </w:p>
        </w:tc>
        <w:tc>
          <w:tcPr>
            <w:tcW w:w="32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w w:val="80"/>
              </w:rPr>
              <w:t>Leases</w:t>
            </w:r>
          </w:p>
        </w:tc>
      </w:tr>
      <w:tr>
        <w:trPr>
          <w:trHeight w:val="83"/>
        </w:trPr>
        <w:tc>
          <w:tcPr>
            <w:tcW w:w="4240" w:type="dxa"/>
            <w:vAlign w:val="bottom"/>
            <w:tcBorders>
              <w:top w:val="single" w:sz="8" w:color="0077C0"/>
            </w:tcBorders>
          </w:tcPr>
          <w:p>
            <w:pPr>
              <w:spacing w:after="0" w:line="83" w:lineRule="exact"/>
              <w:rPr>
                <w:sz w:val="20"/>
                <w:szCs w:val="20"/>
                <w:color w:val="auto"/>
              </w:rPr>
            </w:pPr>
            <w:r>
              <w:rPr>
                <w:rFonts w:ascii="Arial" w:cs="Arial" w:eastAsia="Arial" w:hAnsi="Arial"/>
                <w:sz w:val="9"/>
                <w:szCs w:val="9"/>
                <w:color w:val="auto"/>
              </w:rPr>
              <w:t>Year: 2009</w:t>
            </w:r>
          </w:p>
        </w:tc>
        <w:tc>
          <w:tcPr>
            <w:tcW w:w="100" w:type="dxa"/>
            <w:vAlign w:val="bottom"/>
            <w:tcBorders>
              <w:top w:val="single" w:sz="8" w:color="0077C0"/>
            </w:tcBorders>
          </w:tcPr>
          <w:p>
            <w:pPr>
              <w:spacing w:after="0" w:line="83"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0077C0"/>
              <w:right w:val="single" w:sz="8" w:color="0077C0"/>
            </w:tcBorders>
          </w:tcPr>
          <w:p>
            <w:pPr>
              <w:jc w:val="right"/>
              <w:ind w:right="130"/>
              <w:spacing w:after="0" w:line="83" w:lineRule="exact"/>
              <w:rPr>
                <w:sz w:val="20"/>
                <w:szCs w:val="20"/>
                <w:color w:val="auto"/>
              </w:rPr>
            </w:pPr>
            <w:r>
              <w:rPr>
                <w:rFonts w:ascii="Arial" w:cs="Arial" w:eastAsia="Arial" w:hAnsi="Arial"/>
                <w:sz w:val="9"/>
                <w:szCs w:val="9"/>
                <w:color w:val="auto"/>
              </w:rPr>
              <w:t>503</w:t>
            </w:r>
          </w:p>
        </w:tc>
        <w:tc>
          <w:tcPr>
            <w:tcW w:w="340" w:type="dxa"/>
            <w:vAlign w:val="bottom"/>
            <w:tcBorders>
              <w:top w:val="single" w:sz="8" w:color="0077C0"/>
            </w:tcBorders>
          </w:tcPr>
          <w:p>
            <w:pPr>
              <w:jc w:val="center"/>
              <w:ind w:left="211"/>
              <w:spacing w:after="0" w:line="83" w:lineRule="exact"/>
              <w:rPr>
                <w:sz w:val="20"/>
                <w:szCs w:val="20"/>
                <w:color w:val="auto"/>
              </w:rPr>
            </w:pPr>
            <w:r>
              <w:rPr>
                <w:rFonts w:ascii="Arial" w:cs="Arial" w:eastAsia="Arial" w:hAnsi="Arial"/>
                <w:sz w:val="9"/>
                <w:szCs w:val="9"/>
                <w:color w:val="auto"/>
                <w:w w:val="78"/>
              </w:rPr>
              <w:t>$</w:t>
            </w:r>
          </w:p>
        </w:tc>
        <w:tc>
          <w:tcPr>
            <w:tcW w:w="280" w:type="dxa"/>
            <w:vAlign w:val="bottom"/>
            <w:tcBorders>
              <w:top w:val="single" w:sz="8" w:color="0077C0"/>
            </w:tcBorders>
          </w:tcPr>
          <w:p>
            <w:pPr>
              <w:jc w:val="right"/>
              <w:spacing w:after="0" w:line="83" w:lineRule="exact"/>
              <w:rPr>
                <w:sz w:val="20"/>
                <w:szCs w:val="20"/>
                <w:color w:val="auto"/>
              </w:rPr>
            </w:pPr>
            <w:r>
              <w:rPr>
                <w:rFonts w:ascii="Arial" w:cs="Arial" w:eastAsia="Arial" w:hAnsi="Arial"/>
                <w:sz w:val="9"/>
                <w:szCs w:val="9"/>
                <w:color w:val="auto"/>
              </w:rPr>
              <w:t>97</w:t>
            </w:r>
          </w:p>
        </w:tc>
        <w:tc>
          <w:tcPr>
            <w:tcW w:w="40" w:type="dxa"/>
            <w:vAlign w:val="bottom"/>
          </w:tcPr>
          <w:p>
            <w:pPr>
              <w:spacing w:after="0"/>
              <w:rPr>
                <w:sz w:val="7"/>
                <w:szCs w:val="7"/>
                <w:color w:val="auto"/>
              </w:rPr>
            </w:pPr>
          </w:p>
        </w:tc>
      </w:tr>
      <w:tr>
        <w:trPr>
          <w:trHeight w:val="106"/>
        </w:trPr>
        <w:tc>
          <w:tcPr>
            <w:tcW w:w="4240" w:type="dxa"/>
            <w:vAlign w:val="bottom"/>
          </w:tcPr>
          <w:p>
            <w:pPr>
              <w:ind w:left="260"/>
              <w:spacing w:after="0" w:line="106" w:lineRule="exact"/>
              <w:rPr>
                <w:sz w:val="20"/>
                <w:szCs w:val="20"/>
                <w:color w:val="auto"/>
              </w:rPr>
            </w:pPr>
            <w:r>
              <w:rPr>
                <w:rFonts w:ascii="Arial" w:cs="Arial" w:eastAsia="Arial" w:hAnsi="Arial"/>
                <w:sz w:val="10"/>
                <w:szCs w:val="10"/>
                <w:color w:val="auto"/>
              </w:rPr>
              <w:t>2010</w:t>
            </w:r>
          </w:p>
        </w:tc>
        <w:tc>
          <w:tcPr>
            <w:tcW w:w="100" w:type="dxa"/>
            <w:vAlign w:val="bottom"/>
          </w:tcPr>
          <w:p>
            <w:pPr>
              <w:spacing w:after="0"/>
              <w:rPr>
                <w:sz w:val="9"/>
                <w:szCs w:val="9"/>
                <w:color w:val="auto"/>
              </w:rPr>
            </w:pPr>
          </w:p>
        </w:tc>
        <w:tc>
          <w:tcPr>
            <w:tcW w:w="48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463</w:t>
            </w:r>
          </w:p>
        </w:tc>
        <w:tc>
          <w:tcPr>
            <w:tcW w:w="3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77</w:t>
            </w:r>
          </w:p>
        </w:tc>
        <w:tc>
          <w:tcPr>
            <w:tcW w:w="40" w:type="dxa"/>
            <w:vAlign w:val="bottom"/>
          </w:tcPr>
          <w:p>
            <w:pPr>
              <w:spacing w:after="0"/>
              <w:rPr>
                <w:sz w:val="9"/>
                <w:szCs w:val="9"/>
                <w:color w:val="auto"/>
              </w:rPr>
            </w:pPr>
          </w:p>
        </w:tc>
      </w:tr>
      <w:tr>
        <w:trPr>
          <w:trHeight w:val="106"/>
        </w:trPr>
        <w:tc>
          <w:tcPr>
            <w:tcW w:w="4240" w:type="dxa"/>
            <w:vAlign w:val="bottom"/>
          </w:tcPr>
          <w:p>
            <w:pPr>
              <w:ind w:left="260"/>
              <w:spacing w:after="0" w:line="106" w:lineRule="exact"/>
              <w:rPr>
                <w:sz w:val="20"/>
                <w:szCs w:val="20"/>
                <w:color w:val="auto"/>
              </w:rPr>
            </w:pPr>
            <w:r>
              <w:rPr>
                <w:rFonts w:ascii="Arial" w:cs="Arial" w:eastAsia="Arial" w:hAnsi="Arial"/>
                <w:sz w:val="10"/>
                <w:szCs w:val="10"/>
                <w:color w:val="auto"/>
              </w:rPr>
              <w:t>2011</w:t>
            </w:r>
          </w:p>
        </w:tc>
        <w:tc>
          <w:tcPr>
            <w:tcW w:w="100" w:type="dxa"/>
            <w:vAlign w:val="bottom"/>
          </w:tcPr>
          <w:p>
            <w:pPr>
              <w:spacing w:after="0"/>
              <w:rPr>
                <w:sz w:val="9"/>
                <w:szCs w:val="9"/>
                <w:color w:val="auto"/>
              </w:rPr>
            </w:pPr>
          </w:p>
        </w:tc>
        <w:tc>
          <w:tcPr>
            <w:tcW w:w="48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372</w:t>
            </w:r>
          </w:p>
        </w:tc>
        <w:tc>
          <w:tcPr>
            <w:tcW w:w="3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77</w:t>
            </w:r>
          </w:p>
        </w:tc>
        <w:tc>
          <w:tcPr>
            <w:tcW w:w="40" w:type="dxa"/>
            <w:vAlign w:val="bottom"/>
          </w:tcPr>
          <w:p>
            <w:pPr>
              <w:spacing w:after="0"/>
              <w:rPr>
                <w:sz w:val="9"/>
                <w:szCs w:val="9"/>
                <w:color w:val="auto"/>
              </w:rPr>
            </w:pPr>
          </w:p>
        </w:tc>
      </w:tr>
      <w:tr>
        <w:trPr>
          <w:trHeight w:val="106"/>
        </w:trPr>
        <w:tc>
          <w:tcPr>
            <w:tcW w:w="4240" w:type="dxa"/>
            <w:vAlign w:val="bottom"/>
          </w:tcPr>
          <w:p>
            <w:pPr>
              <w:ind w:left="260"/>
              <w:spacing w:after="0" w:line="106" w:lineRule="exact"/>
              <w:rPr>
                <w:sz w:val="20"/>
                <w:szCs w:val="20"/>
                <w:color w:val="auto"/>
              </w:rPr>
            </w:pPr>
            <w:r>
              <w:rPr>
                <w:rFonts w:ascii="Arial" w:cs="Arial" w:eastAsia="Arial" w:hAnsi="Arial"/>
                <w:sz w:val="10"/>
                <w:szCs w:val="10"/>
                <w:color w:val="auto"/>
              </w:rPr>
              <w:t>2012</w:t>
            </w:r>
          </w:p>
        </w:tc>
        <w:tc>
          <w:tcPr>
            <w:tcW w:w="100" w:type="dxa"/>
            <w:vAlign w:val="bottom"/>
          </w:tcPr>
          <w:p>
            <w:pPr>
              <w:spacing w:after="0"/>
              <w:rPr>
                <w:sz w:val="9"/>
                <w:szCs w:val="9"/>
                <w:color w:val="auto"/>
              </w:rPr>
            </w:pPr>
          </w:p>
        </w:tc>
        <w:tc>
          <w:tcPr>
            <w:tcW w:w="48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315</w:t>
            </w:r>
          </w:p>
        </w:tc>
        <w:tc>
          <w:tcPr>
            <w:tcW w:w="3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84</w:t>
            </w:r>
          </w:p>
        </w:tc>
        <w:tc>
          <w:tcPr>
            <w:tcW w:w="40" w:type="dxa"/>
            <w:vAlign w:val="bottom"/>
          </w:tcPr>
          <w:p>
            <w:pPr>
              <w:spacing w:after="0"/>
              <w:rPr>
                <w:sz w:val="9"/>
                <w:szCs w:val="9"/>
                <w:color w:val="auto"/>
              </w:rPr>
            </w:pPr>
          </w:p>
        </w:tc>
      </w:tr>
      <w:tr>
        <w:trPr>
          <w:trHeight w:val="106"/>
        </w:trPr>
        <w:tc>
          <w:tcPr>
            <w:tcW w:w="4240" w:type="dxa"/>
            <w:vAlign w:val="bottom"/>
          </w:tcPr>
          <w:p>
            <w:pPr>
              <w:ind w:left="260"/>
              <w:spacing w:after="0" w:line="106" w:lineRule="exact"/>
              <w:rPr>
                <w:sz w:val="20"/>
                <w:szCs w:val="20"/>
                <w:color w:val="auto"/>
              </w:rPr>
            </w:pPr>
            <w:r>
              <w:rPr>
                <w:rFonts w:ascii="Arial" w:cs="Arial" w:eastAsia="Arial" w:hAnsi="Arial"/>
                <w:sz w:val="10"/>
                <w:szCs w:val="10"/>
                <w:color w:val="auto"/>
              </w:rPr>
              <w:t>2013</w:t>
            </w:r>
          </w:p>
        </w:tc>
        <w:tc>
          <w:tcPr>
            <w:tcW w:w="100" w:type="dxa"/>
            <w:vAlign w:val="bottom"/>
          </w:tcPr>
          <w:p>
            <w:pPr>
              <w:spacing w:after="0"/>
              <w:rPr>
                <w:sz w:val="9"/>
                <w:szCs w:val="9"/>
                <w:color w:val="auto"/>
              </w:rPr>
            </w:pPr>
          </w:p>
        </w:tc>
        <w:tc>
          <w:tcPr>
            <w:tcW w:w="48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288</w:t>
            </w:r>
          </w:p>
        </w:tc>
        <w:tc>
          <w:tcPr>
            <w:tcW w:w="3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59</w:t>
            </w:r>
          </w:p>
        </w:tc>
        <w:tc>
          <w:tcPr>
            <w:tcW w:w="40" w:type="dxa"/>
            <w:vAlign w:val="bottom"/>
          </w:tcPr>
          <w:p>
            <w:pPr>
              <w:spacing w:after="0"/>
              <w:rPr>
                <w:sz w:val="9"/>
                <w:szCs w:val="9"/>
                <w:color w:val="auto"/>
              </w:rPr>
            </w:pPr>
          </w:p>
        </w:tc>
      </w:tr>
      <w:tr>
        <w:trPr>
          <w:trHeight w:val="118"/>
        </w:trPr>
        <w:tc>
          <w:tcPr>
            <w:tcW w:w="4240" w:type="dxa"/>
            <w:vAlign w:val="bottom"/>
            <w:tcBorders>
              <w:bottom w:val="single" w:sz="8" w:color="0077C0"/>
            </w:tcBorders>
          </w:tcPr>
          <w:p>
            <w:pPr>
              <w:ind w:left="260"/>
              <w:spacing w:after="0"/>
              <w:rPr>
                <w:sz w:val="20"/>
                <w:szCs w:val="20"/>
                <w:color w:val="auto"/>
              </w:rPr>
            </w:pPr>
            <w:r>
              <w:rPr>
                <w:rFonts w:ascii="Arial" w:cs="Arial" w:eastAsia="Arial" w:hAnsi="Arial"/>
                <w:sz w:val="10"/>
                <w:szCs w:val="10"/>
                <w:color w:val="auto"/>
              </w:rPr>
              <w:t>Thereafter</w:t>
            </w: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color w:val="auto"/>
              </w:rPr>
              <w:t>947</w:t>
            </w:r>
          </w:p>
        </w:tc>
        <w:tc>
          <w:tcPr>
            <w:tcW w:w="3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154</w:t>
            </w:r>
          </w:p>
        </w:tc>
        <w:tc>
          <w:tcPr>
            <w:tcW w:w="40" w:type="dxa"/>
            <w:vAlign w:val="bottom"/>
          </w:tcPr>
          <w:p>
            <w:pPr>
              <w:spacing w:after="0"/>
              <w:rPr>
                <w:sz w:val="10"/>
                <w:szCs w:val="10"/>
                <w:color w:val="auto"/>
              </w:rPr>
            </w:pPr>
          </w:p>
        </w:tc>
      </w:tr>
      <w:tr>
        <w:trPr>
          <w:trHeight w:val="114"/>
        </w:trPr>
        <w:tc>
          <w:tcPr>
            <w:tcW w:w="42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right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2,888</w:t>
            </w:r>
          </w:p>
        </w:tc>
        <w:tc>
          <w:tcPr>
            <w:tcW w:w="340" w:type="dxa"/>
            <w:vAlign w:val="bottom"/>
            <w:tcBorders>
              <w:bottom w:val="single" w:sz="8" w:color="0077C0"/>
            </w:tcBorders>
          </w:tcPr>
          <w:p>
            <w:pPr>
              <w:jc w:val="center"/>
              <w:ind w:left="211"/>
              <w:spacing w:after="0" w:line="105" w:lineRule="exact"/>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548</w:t>
            </w:r>
          </w:p>
        </w:tc>
        <w:tc>
          <w:tcPr>
            <w:tcW w:w="40" w:type="dxa"/>
            <w:vAlign w:val="bottom"/>
          </w:tcPr>
          <w:p>
            <w:pPr>
              <w:spacing w:after="0"/>
              <w:rPr>
                <w:sz w:val="9"/>
                <w:szCs w:val="9"/>
                <w:color w:val="auto"/>
              </w:rPr>
            </w:pPr>
          </w:p>
        </w:tc>
      </w:tr>
      <w:tr>
        <w:trPr>
          <w:trHeight w:val="115"/>
        </w:trPr>
        <w:tc>
          <w:tcPr>
            <w:tcW w:w="42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Less: Amounts representing interest and executory costs</w:t>
            </w: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right w:val="single" w:sz="8" w:color="0077C0"/>
            </w:tcBorders>
          </w:tcPr>
          <w:p>
            <w:pPr>
              <w:spacing w:after="0"/>
              <w:rPr>
                <w:sz w:val="10"/>
                <w:szCs w:val="10"/>
                <w:color w:val="auto"/>
              </w:rPr>
            </w:pPr>
          </w:p>
        </w:tc>
        <w:tc>
          <w:tcPr>
            <w:tcW w:w="3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(110)</w:t>
            </w:r>
          </w:p>
        </w:tc>
        <w:tc>
          <w:tcPr>
            <w:tcW w:w="40" w:type="dxa"/>
            <w:vAlign w:val="bottom"/>
          </w:tcPr>
          <w:p>
            <w:pPr>
              <w:spacing w:after="0"/>
              <w:rPr>
                <w:sz w:val="10"/>
                <w:szCs w:val="10"/>
                <w:color w:val="auto"/>
              </w:rPr>
            </w:pPr>
          </w:p>
        </w:tc>
      </w:tr>
      <w:tr>
        <w:trPr>
          <w:trHeight w:val="92"/>
        </w:trPr>
        <w:tc>
          <w:tcPr>
            <w:tcW w:w="4240" w:type="dxa"/>
            <w:vAlign w:val="bottom"/>
          </w:tcPr>
          <w:p>
            <w:pPr>
              <w:spacing w:after="0" w:line="92" w:lineRule="exact"/>
              <w:rPr>
                <w:sz w:val="20"/>
                <w:szCs w:val="20"/>
                <w:color w:val="auto"/>
              </w:rPr>
            </w:pPr>
            <w:r>
              <w:rPr>
                <w:rFonts w:ascii="Arial" w:cs="Arial" w:eastAsia="Arial" w:hAnsi="Arial"/>
                <w:sz w:val="10"/>
                <w:szCs w:val="10"/>
                <w:color w:val="auto"/>
              </w:rPr>
              <w:t>Net present values</w:t>
            </w:r>
          </w:p>
        </w:tc>
        <w:tc>
          <w:tcPr>
            <w:tcW w:w="100" w:type="dxa"/>
            <w:vAlign w:val="bottom"/>
          </w:tcPr>
          <w:p>
            <w:pPr>
              <w:spacing w:after="0"/>
              <w:rPr>
                <w:sz w:val="8"/>
                <w:szCs w:val="8"/>
                <w:color w:val="auto"/>
              </w:rPr>
            </w:pPr>
          </w:p>
        </w:tc>
        <w:tc>
          <w:tcPr>
            <w:tcW w:w="480" w:type="dxa"/>
            <w:vAlign w:val="bottom"/>
            <w:tcBorders>
              <w:right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jc w:val="right"/>
              <w:spacing w:after="0" w:line="92" w:lineRule="exact"/>
              <w:rPr>
                <w:sz w:val="20"/>
                <w:szCs w:val="20"/>
                <w:color w:val="auto"/>
              </w:rPr>
            </w:pPr>
            <w:r>
              <w:rPr>
                <w:rFonts w:ascii="Arial" w:cs="Arial" w:eastAsia="Arial" w:hAnsi="Arial"/>
                <w:sz w:val="10"/>
                <w:szCs w:val="10"/>
                <w:color w:val="auto"/>
              </w:rPr>
              <w:t>438</w:t>
            </w:r>
          </w:p>
        </w:tc>
        <w:tc>
          <w:tcPr>
            <w:tcW w:w="40" w:type="dxa"/>
            <w:vAlign w:val="bottom"/>
          </w:tcPr>
          <w:p>
            <w:pPr>
              <w:spacing w:after="0"/>
              <w:rPr>
                <w:sz w:val="8"/>
                <w:szCs w:val="8"/>
                <w:color w:val="auto"/>
              </w:rPr>
            </w:pPr>
          </w:p>
        </w:tc>
      </w:tr>
      <w:tr>
        <w:trPr>
          <w:trHeight w:val="118"/>
        </w:trPr>
        <w:tc>
          <w:tcPr>
            <w:tcW w:w="4240" w:type="dxa"/>
            <w:vAlign w:val="bottom"/>
          </w:tcPr>
          <w:p>
            <w:pPr>
              <w:spacing w:after="0"/>
              <w:rPr>
                <w:sz w:val="20"/>
                <w:szCs w:val="20"/>
                <w:color w:val="auto"/>
              </w:rPr>
            </w:pPr>
            <w:r>
              <w:rPr>
                <w:rFonts w:ascii="Arial" w:cs="Arial" w:eastAsia="Arial" w:hAnsi="Arial"/>
                <w:sz w:val="10"/>
                <w:szCs w:val="10"/>
                <w:color w:val="auto"/>
              </w:rPr>
              <w:t>Less: Capital lease obligations included in short-term debt</w:t>
            </w:r>
          </w:p>
        </w:tc>
        <w:tc>
          <w:tcPr>
            <w:tcW w:w="100" w:type="dxa"/>
            <w:vAlign w:val="bottom"/>
          </w:tcPr>
          <w:p>
            <w:pPr>
              <w:spacing w:after="0"/>
              <w:rPr>
                <w:sz w:val="10"/>
                <w:szCs w:val="10"/>
                <w:color w:val="auto"/>
              </w:rPr>
            </w:pPr>
          </w:p>
        </w:tc>
        <w:tc>
          <w:tcPr>
            <w:tcW w:w="480" w:type="dxa"/>
            <w:vAlign w:val="bottom"/>
            <w:tcBorders>
              <w:right w:val="single" w:sz="8" w:color="0077C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0"/>
                <w:szCs w:val="10"/>
                <w:color w:val="auto"/>
              </w:rPr>
              <w:t>(97)</w:t>
            </w:r>
          </w:p>
        </w:tc>
      </w:tr>
      <w:tr>
        <w:trPr>
          <w:trHeight w:val="114"/>
        </w:trPr>
        <w:tc>
          <w:tcPr>
            <w:tcW w:w="42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Long-term capital lease obligations</w:t>
            </w:r>
          </w:p>
        </w:tc>
        <w:tc>
          <w:tcPr>
            <w:tcW w:w="1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right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jc w:val="center"/>
              <w:ind w:left="211"/>
              <w:spacing w:after="0" w:line="105"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341</w:t>
            </w:r>
          </w:p>
        </w:tc>
        <w:tc>
          <w:tcPr>
            <w:tcW w:w="40" w:type="dxa"/>
            <w:vAlign w:val="bottom"/>
          </w:tcPr>
          <w:p>
            <w:pPr>
              <w:spacing w:after="0"/>
              <w:rPr>
                <w:sz w:val="9"/>
                <w:szCs w:val="9"/>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Restructuring and Reorganization Costs</w:t>
      </w:r>
    </w:p>
    <w:p>
      <w:pPr>
        <w:spacing w:after="0" w:line="149" w:lineRule="exact"/>
        <w:rPr>
          <w:sz w:val="20"/>
          <w:szCs w:val="20"/>
          <w:color w:val="auto"/>
        </w:rPr>
      </w:pPr>
    </w:p>
    <w:p>
      <w:pPr>
        <w:ind w:right="260"/>
        <w:spacing w:after="0" w:line="249" w:lineRule="auto"/>
        <w:rPr>
          <w:sz w:val="20"/>
          <w:szCs w:val="20"/>
          <w:color w:val="auto"/>
        </w:rPr>
      </w:pPr>
      <w:r>
        <w:rPr>
          <w:rFonts w:ascii="Arial" w:cs="Arial" w:eastAsia="Arial" w:hAnsi="Arial"/>
          <w:sz w:val="13"/>
          <w:szCs w:val="13"/>
          <w:color w:val="auto"/>
        </w:rPr>
        <w:t>In 2007, the company implemented a restructuring and reorganization program in its downstream operations. Approximately 900 employees were eligible for severance payments. As of December 31, 2008, approximately 700 employees have been terminated under the program. Most of the associated positions are located outside the United States. The program is expected to be completed by the end of 2009.</w:t>
      </w:r>
    </w:p>
    <w:p>
      <w:pPr>
        <w:spacing w:after="0" w:line="2" w:lineRule="exact"/>
        <w:rPr>
          <w:sz w:val="20"/>
          <w:szCs w:val="20"/>
          <w:color w:val="auto"/>
        </w:rPr>
      </w:pPr>
    </w:p>
    <w:p>
      <w:pPr>
        <w:ind w:right="380" w:firstLine="160"/>
        <w:spacing w:after="0" w:line="317" w:lineRule="auto"/>
        <w:rPr>
          <w:sz w:val="20"/>
          <w:szCs w:val="20"/>
          <w:color w:val="auto"/>
        </w:rPr>
      </w:pPr>
      <w:r>
        <w:rPr>
          <w:rFonts w:ascii="Arial" w:cs="Arial" w:eastAsia="Arial" w:hAnsi="Arial"/>
          <w:sz w:val="11"/>
          <w:szCs w:val="11"/>
          <w:color w:val="auto"/>
        </w:rPr>
        <w:t>Shown in the table below is the activity for the company’s liability related to the downstream reorganization. The associated charges against income were categorized as “Operating expenses” or “Selling, general and administrative expenses” on the Consolidated Statement of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8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Amounts before tax</w:t>
            </w:r>
          </w:p>
        </w:tc>
        <w:tc>
          <w:tcPr>
            <w:tcW w:w="178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w w:val="98"/>
              </w:rPr>
              <w:t>2008</w:t>
            </w:r>
          </w:p>
        </w:tc>
        <w:tc>
          <w:tcPr>
            <w:tcW w:w="36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8"/>
              </w:rPr>
              <w:t>2007</w:t>
            </w:r>
          </w:p>
        </w:tc>
      </w:tr>
      <w:tr>
        <w:trPr>
          <w:trHeight w:val="81"/>
        </w:trPr>
        <w:tc>
          <w:tcPr>
            <w:tcW w:w="2680" w:type="dxa"/>
            <w:vAlign w:val="bottom"/>
          </w:tcPr>
          <w:p>
            <w:pPr>
              <w:spacing w:after="0" w:line="81" w:lineRule="exact"/>
              <w:rPr>
                <w:sz w:val="20"/>
                <w:szCs w:val="20"/>
                <w:color w:val="auto"/>
              </w:rPr>
            </w:pPr>
            <w:r>
              <w:rPr>
                <w:rFonts w:ascii="Arial" w:cs="Arial" w:eastAsia="Arial" w:hAnsi="Arial"/>
                <w:sz w:val="9"/>
                <w:szCs w:val="9"/>
                <w:color w:val="auto"/>
              </w:rPr>
              <w:t>Balance at January 1</w:t>
            </w:r>
          </w:p>
        </w:tc>
        <w:tc>
          <w:tcPr>
            <w:tcW w:w="178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400" w:type="dxa"/>
            <w:vAlign w:val="bottom"/>
            <w:tcBorders>
              <w:right w:val="single" w:sz="8" w:color="0077C0"/>
            </w:tcBorders>
          </w:tcPr>
          <w:p>
            <w:pPr>
              <w:jc w:val="right"/>
              <w:ind w:right="110"/>
              <w:spacing w:after="0" w:line="81" w:lineRule="exact"/>
              <w:rPr>
                <w:sz w:val="20"/>
                <w:szCs w:val="20"/>
                <w:color w:val="auto"/>
              </w:rPr>
            </w:pPr>
            <w:r>
              <w:rPr>
                <w:rFonts w:ascii="Arial" w:cs="Arial" w:eastAsia="Arial" w:hAnsi="Arial"/>
                <w:sz w:val="9"/>
                <w:szCs w:val="9"/>
                <w:b w:val="1"/>
                <w:bCs w:val="1"/>
                <w:color w:val="auto"/>
              </w:rPr>
              <w:t>85</w:t>
            </w:r>
          </w:p>
        </w:tc>
        <w:tc>
          <w:tcPr>
            <w:tcW w:w="36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2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r>
      <w:tr>
        <w:trPr>
          <w:trHeight w:val="106"/>
        </w:trPr>
        <w:tc>
          <w:tcPr>
            <w:tcW w:w="2680" w:type="dxa"/>
            <w:vAlign w:val="bottom"/>
          </w:tcPr>
          <w:p>
            <w:pPr>
              <w:spacing w:after="0" w:line="106" w:lineRule="exact"/>
              <w:rPr>
                <w:sz w:val="20"/>
                <w:szCs w:val="20"/>
                <w:color w:val="auto"/>
              </w:rPr>
            </w:pPr>
            <w:r>
              <w:rPr>
                <w:rFonts w:ascii="Arial" w:cs="Arial" w:eastAsia="Arial" w:hAnsi="Arial"/>
                <w:sz w:val="10"/>
                <w:szCs w:val="10"/>
                <w:color w:val="auto"/>
              </w:rPr>
              <w:t>Accruals/adjustments</w:t>
            </w:r>
          </w:p>
        </w:tc>
        <w:tc>
          <w:tcPr>
            <w:tcW w:w="1780" w:type="dxa"/>
            <w:vAlign w:val="bottom"/>
          </w:tcPr>
          <w:p>
            <w:pPr>
              <w:spacing w:after="0"/>
              <w:rPr>
                <w:sz w:val="9"/>
                <w:szCs w:val="9"/>
                <w:color w:val="auto"/>
              </w:rPr>
            </w:pPr>
          </w:p>
        </w:tc>
        <w:tc>
          <w:tcPr>
            <w:tcW w:w="400" w:type="dxa"/>
            <w:vAlign w:val="bottom"/>
            <w:tcBorders>
              <w:right w:val="single" w:sz="8" w:color="0077C0"/>
            </w:tcBorders>
          </w:tcPr>
          <w:p>
            <w:pPr>
              <w:jc w:val="right"/>
              <w:ind w:right="70"/>
              <w:spacing w:after="0" w:line="106" w:lineRule="exact"/>
              <w:rPr>
                <w:sz w:val="20"/>
                <w:szCs w:val="20"/>
                <w:color w:val="auto"/>
              </w:rPr>
            </w:pPr>
            <w:r>
              <w:rPr>
                <w:rFonts w:ascii="Arial" w:cs="Arial" w:eastAsia="Arial" w:hAnsi="Arial"/>
                <w:sz w:val="10"/>
                <w:szCs w:val="10"/>
                <w:b w:val="1"/>
                <w:bCs w:val="1"/>
                <w:color w:val="auto"/>
              </w:rPr>
              <w:t>(11)</w:t>
            </w:r>
          </w:p>
        </w:tc>
        <w:tc>
          <w:tcPr>
            <w:tcW w:w="36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85</w:t>
            </w:r>
          </w:p>
        </w:tc>
      </w:tr>
      <w:tr>
        <w:trPr>
          <w:trHeight w:val="120"/>
        </w:trPr>
        <w:tc>
          <w:tcPr>
            <w:tcW w:w="26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Payments</w:t>
            </w:r>
          </w:p>
        </w:tc>
        <w:tc>
          <w:tcPr>
            <w:tcW w:w="178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right w:val="single" w:sz="8" w:color="0077C0"/>
            </w:tcBorders>
          </w:tcPr>
          <w:p>
            <w:pPr>
              <w:jc w:val="right"/>
              <w:ind w:right="70"/>
              <w:spacing w:after="0"/>
              <w:rPr>
                <w:sz w:val="20"/>
                <w:szCs w:val="20"/>
                <w:color w:val="auto"/>
              </w:rPr>
            </w:pPr>
            <w:r>
              <w:rPr>
                <w:rFonts w:ascii="Arial" w:cs="Arial" w:eastAsia="Arial" w:hAnsi="Arial"/>
                <w:sz w:val="10"/>
                <w:szCs w:val="10"/>
                <w:b w:val="1"/>
                <w:bCs w:val="1"/>
                <w:color w:val="auto"/>
              </w:rPr>
              <w:t>(52)</w:t>
            </w:r>
          </w:p>
        </w:tc>
        <w:tc>
          <w:tcPr>
            <w:tcW w:w="36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14"/>
        </w:trPr>
        <w:tc>
          <w:tcPr>
            <w:tcW w:w="26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Balance at December 31</w:t>
            </w:r>
          </w:p>
        </w:tc>
        <w:tc>
          <w:tcPr>
            <w:tcW w:w="17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right w:val="single" w:sz="8" w:color="0077C0"/>
            </w:tcBorders>
          </w:tcPr>
          <w:p>
            <w:pPr>
              <w:jc w:val="right"/>
              <w:ind w:right="110"/>
              <w:spacing w:after="0" w:line="105" w:lineRule="exact"/>
              <w:rPr>
                <w:sz w:val="20"/>
                <w:szCs w:val="20"/>
                <w:color w:val="auto"/>
              </w:rPr>
            </w:pPr>
            <w:r>
              <w:rPr>
                <w:rFonts w:ascii="Arial" w:cs="Arial" w:eastAsia="Arial" w:hAnsi="Arial"/>
                <w:sz w:val="10"/>
                <w:szCs w:val="10"/>
                <w:b w:val="1"/>
                <w:bCs w:val="1"/>
                <w:color w:val="auto"/>
              </w:rPr>
              <w:t>22</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Investments and Advances</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Equity in earnings, together with investments in and advances to companies accounted for using the equity method and other investments accounted for at or below cost, is shown in the table below. For certain equity affiliates, Chevron pays its share of some income taxes directly. For such affiliates, the equity in earnings does not include these taxes, which are reported on the Consolidated Statement of Income as “Income tax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0"/>
                <w:szCs w:val="10"/>
                <w:color w:val="auto"/>
                <w:w w:val="86"/>
              </w:rPr>
              <w:t>Investments and Advances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jc w:val="center"/>
              <w:ind w:left="229"/>
              <w:spacing w:after="0"/>
              <w:rPr>
                <w:sz w:val="20"/>
                <w:szCs w:val="20"/>
                <w:color w:val="auto"/>
              </w:rPr>
            </w:pPr>
            <w:r>
              <w:rPr>
                <w:rFonts w:ascii="Arial" w:cs="Arial" w:eastAsia="Arial" w:hAnsi="Arial"/>
                <w:sz w:val="10"/>
                <w:szCs w:val="10"/>
                <w:color w:val="auto"/>
                <w:w w:val="89"/>
              </w:rPr>
              <w:t>Equity in Earnings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gridSpan w:val="2"/>
          </w:tcPr>
          <w:p>
            <w:pPr>
              <w:jc w:val="right"/>
              <w:spacing w:after="0" w:line="113" w:lineRule="exact"/>
              <w:rPr>
                <w:sz w:val="20"/>
                <w:szCs w:val="20"/>
                <w:color w:val="auto"/>
              </w:rPr>
            </w:pPr>
            <w:r>
              <w:rPr>
                <w:rFonts w:ascii="Arial" w:cs="Arial" w:eastAsia="Arial" w:hAnsi="Arial"/>
                <w:sz w:val="10"/>
                <w:szCs w:val="10"/>
                <w:color w:val="auto"/>
                <w:w w:val="91"/>
              </w:rPr>
              <w:t>At 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spacing w:after="0"/>
              <w:rPr>
                <w:sz w:val="9"/>
                <w:szCs w:val="9"/>
                <w:color w:val="auto"/>
              </w:rPr>
            </w:pPr>
          </w:p>
        </w:tc>
        <w:tc>
          <w:tcPr>
            <w:tcW w:w="1000" w:type="dxa"/>
            <w:vAlign w:val="bottom"/>
            <w:tcBorders>
              <w:bottom w:val="single" w:sz="8" w:color="0077C0"/>
            </w:tcBorders>
            <w:gridSpan w:val="3"/>
          </w:tcPr>
          <w:p>
            <w:pPr>
              <w:jc w:val="right"/>
              <w:spacing w:after="0" w:line="113" w:lineRule="exact"/>
              <w:rPr>
                <w:sz w:val="20"/>
                <w:szCs w:val="20"/>
                <w:color w:val="auto"/>
              </w:rPr>
            </w:pPr>
            <w:r>
              <w:rPr>
                <w:rFonts w:ascii="Arial" w:cs="Arial" w:eastAsia="Arial" w:hAnsi="Arial"/>
                <w:sz w:val="10"/>
                <w:szCs w:val="10"/>
                <w:color w:val="auto"/>
                <w:w w:val="85"/>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Borders>
              <w:bottom w:val="single" w:sz="8" w:color="0077C0"/>
            </w:tcBorders>
          </w:tcPr>
          <w:p>
            <w:pPr>
              <w:spacing w:after="0"/>
              <w:rPr>
                <w:sz w:val="8"/>
                <w:szCs w:val="8"/>
                <w:color w:val="auto"/>
              </w:rPr>
            </w:pPr>
          </w:p>
        </w:tc>
        <w:tc>
          <w:tcPr>
            <w:tcW w:w="18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380" w:type="dxa"/>
            <w:vAlign w:val="bottom"/>
            <w:tcBorders>
              <w:bottom w:val="single" w:sz="8" w:color="0077C0"/>
            </w:tcBorders>
          </w:tcPr>
          <w:p>
            <w:pPr>
              <w:jc w:val="right"/>
              <w:ind w:right="9"/>
              <w:spacing w:after="0" w:line="95" w:lineRule="exact"/>
              <w:rPr>
                <w:sz w:val="20"/>
                <w:szCs w:val="20"/>
                <w:color w:val="auto"/>
              </w:rPr>
            </w:pPr>
            <w:r>
              <w:rPr>
                <w:rFonts w:ascii="Arial" w:cs="Arial" w:eastAsia="Arial" w:hAnsi="Arial"/>
                <w:sz w:val="10"/>
                <w:szCs w:val="10"/>
                <w:b w:val="1"/>
                <w:bCs w:val="1"/>
                <w:color w:val="auto"/>
              </w:rPr>
              <w:t>2008</w:t>
            </w:r>
          </w:p>
        </w:tc>
        <w:tc>
          <w:tcPr>
            <w:tcW w:w="360" w:type="dxa"/>
            <w:vAlign w:val="bottom"/>
            <w:tcBorders>
              <w:bottom w:val="single" w:sz="8" w:color="0077C0"/>
            </w:tcBorders>
          </w:tcPr>
          <w:p>
            <w:pPr>
              <w:spacing w:after="0"/>
              <w:rPr>
                <w:sz w:val="8"/>
                <w:szCs w:val="8"/>
                <w:color w:val="auto"/>
              </w:rPr>
            </w:pPr>
          </w:p>
        </w:tc>
        <w:tc>
          <w:tcPr>
            <w:tcW w:w="32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2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12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2008</w:t>
            </w:r>
          </w:p>
        </w:tc>
        <w:tc>
          <w:tcPr>
            <w:tcW w:w="240" w:type="dxa"/>
            <w:vAlign w:val="bottom"/>
            <w:tcBorders>
              <w:bottom w:val="single" w:sz="8" w:color="0077C0"/>
            </w:tcBorders>
          </w:tcPr>
          <w:p>
            <w:pPr>
              <w:spacing w:after="0"/>
              <w:rPr>
                <w:sz w:val="8"/>
                <w:szCs w:val="8"/>
                <w:color w:val="auto"/>
              </w:rPr>
            </w:pPr>
          </w:p>
        </w:tc>
        <w:tc>
          <w:tcPr>
            <w:tcW w:w="460" w:type="dxa"/>
            <w:vAlign w:val="bottom"/>
            <w:tcBorders>
              <w:bottom w:val="single" w:sz="8" w:color="0077C0"/>
            </w:tcBorders>
          </w:tcPr>
          <w:p>
            <w:pPr>
              <w:jc w:val="right"/>
              <w:ind w:right="149"/>
              <w:spacing w:after="0" w:line="95" w:lineRule="exact"/>
              <w:rPr>
                <w:sz w:val="20"/>
                <w:szCs w:val="20"/>
                <w:color w:val="auto"/>
              </w:rPr>
            </w:pPr>
            <w:r>
              <w:rPr>
                <w:rFonts w:ascii="Arial" w:cs="Arial" w:eastAsia="Arial" w:hAnsi="Arial"/>
                <w:sz w:val="10"/>
                <w:szCs w:val="10"/>
                <w:color w:val="auto"/>
              </w:rPr>
              <w:t>2007</w:t>
            </w:r>
          </w:p>
        </w:tc>
        <w:tc>
          <w:tcPr>
            <w:tcW w:w="260" w:type="dxa"/>
            <w:vAlign w:val="bottom"/>
            <w:tcBorders>
              <w:bottom w:val="single" w:sz="8" w:color="0077C0"/>
            </w:tcBorders>
          </w:tcPr>
          <w:p>
            <w:pPr>
              <w:spacing w:after="0"/>
              <w:rPr>
                <w:sz w:val="8"/>
                <w:szCs w:val="8"/>
                <w:color w:val="auto"/>
              </w:rPr>
            </w:pPr>
          </w:p>
        </w:tc>
        <w:tc>
          <w:tcPr>
            <w:tcW w:w="28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900" w:type="dxa"/>
            <w:vAlign w:val="bottom"/>
          </w:tcPr>
          <w:p>
            <w:pPr>
              <w:spacing w:after="0" w:line="83" w:lineRule="exact"/>
              <w:rPr>
                <w:sz w:val="20"/>
                <w:szCs w:val="20"/>
                <w:color w:val="auto"/>
              </w:rPr>
            </w:pPr>
            <w:r>
              <w:rPr>
                <w:rFonts w:ascii="Arial" w:cs="Arial" w:eastAsia="Arial" w:hAnsi="Arial"/>
                <w:sz w:val="9"/>
                <w:szCs w:val="9"/>
                <w:b w:val="1"/>
                <w:bCs w:val="1"/>
                <w:color w:val="auto"/>
              </w:rPr>
              <w:t>Upstream</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3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6,290</w:t>
            </w: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Borders>
              <w:right w:val="single" w:sz="8" w:color="0077C0"/>
            </w:tcBorders>
          </w:tcPr>
          <w:p>
            <w:pPr>
              <w:spacing w:after="0"/>
              <w:rPr>
                <w:sz w:val="7"/>
                <w:szCs w:val="7"/>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3,220</w:t>
            </w: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00" w:type="dxa"/>
            <w:vAlign w:val="bottom"/>
          </w:tcPr>
          <w:p>
            <w:pPr>
              <w:ind w:left="80"/>
              <w:spacing w:after="0" w:line="104" w:lineRule="exact"/>
              <w:rPr>
                <w:sz w:val="20"/>
                <w:szCs w:val="20"/>
                <w:color w:val="auto"/>
              </w:rPr>
            </w:pPr>
            <w:r>
              <w:rPr>
                <w:rFonts w:ascii="Arial" w:cs="Arial" w:eastAsia="Arial" w:hAnsi="Arial"/>
                <w:sz w:val="10"/>
                <w:szCs w:val="10"/>
                <w:color w:val="auto"/>
              </w:rPr>
              <w:t>Tengizchevroil</w:t>
            </w:r>
          </w:p>
        </w:tc>
        <w:tc>
          <w:tcPr>
            <w:tcW w:w="28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4" w:lineRule="exact"/>
              <w:rPr>
                <w:sz w:val="20"/>
                <w:szCs w:val="20"/>
                <w:color w:val="auto"/>
              </w:rPr>
            </w:pPr>
            <w:r>
              <w:rPr>
                <w:rFonts w:ascii="Arial" w:cs="Arial" w:eastAsia="Arial" w:hAnsi="Arial"/>
                <w:sz w:val="10"/>
                <w:szCs w:val="10"/>
                <w:color w:val="auto"/>
              </w:rPr>
              <w:t>6,321</w:t>
            </w:r>
          </w:p>
        </w:tc>
        <w:tc>
          <w:tcPr>
            <w:tcW w:w="220" w:type="dxa"/>
            <w:vAlign w:val="bottom"/>
            <w:tcBorders>
              <w:right w:val="single" w:sz="8" w:color="0077C0"/>
            </w:tcBorders>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49"/>
              <w:spacing w:after="0" w:line="104" w:lineRule="exact"/>
              <w:rPr>
                <w:sz w:val="20"/>
                <w:szCs w:val="20"/>
                <w:color w:val="auto"/>
              </w:rPr>
            </w:pPr>
            <w:r>
              <w:rPr>
                <w:rFonts w:ascii="Arial" w:cs="Arial" w:eastAsia="Arial" w:hAnsi="Arial"/>
                <w:sz w:val="10"/>
                <w:szCs w:val="10"/>
                <w:color w:val="auto"/>
                <w:w w:val="95"/>
              </w:rPr>
              <w:t>2,135</w:t>
            </w:r>
          </w:p>
        </w:tc>
        <w:tc>
          <w:tcPr>
            <w:tcW w:w="260" w:type="dxa"/>
            <w:vAlign w:val="bottom"/>
          </w:tcPr>
          <w:p>
            <w:pPr>
              <w:jc w:val="center"/>
              <w:ind w:left="69"/>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1,817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Petropiar/Hamaca</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1,130</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1,168</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317</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327</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319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Petroboscan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816</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762</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244</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185</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Angola LNG Limited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1,191</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574</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(8)</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21</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725</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765</w:t>
            </w:r>
          </w:p>
        </w:tc>
        <w:tc>
          <w:tcPr>
            <w:tcW w:w="22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206</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204</w:t>
            </w:r>
          </w:p>
        </w:tc>
        <w:tc>
          <w:tcPr>
            <w:tcW w:w="26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Upstream</w:t>
            </w: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w w:val="97"/>
              </w:rPr>
              <w:t>10,152</w:t>
            </w:r>
          </w:p>
        </w:tc>
        <w:tc>
          <w:tcPr>
            <w:tcW w:w="3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9,590</w:t>
            </w:r>
          </w:p>
        </w:tc>
        <w:tc>
          <w:tcPr>
            <w:tcW w:w="22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3,979</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w w:val="95"/>
              </w:rPr>
              <w:t>2,872</w:t>
            </w:r>
          </w:p>
        </w:tc>
        <w:tc>
          <w:tcPr>
            <w:tcW w:w="26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2,290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0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2,601</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444</w:t>
            </w: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00" w:type="dxa"/>
            <w:vAlign w:val="bottom"/>
          </w:tcPr>
          <w:p>
            <w:pPr>
              <w:ind w:left="80"/>
              <w:spacing w:after="0" w:line="104" w:lineRule="exact"/>
              <w:rPr>
                <w:sz w:val="20"/>
                <w:szCs w:val="20"/>
                <w:color w:val="auto"/>
              </w:rPr>
            </w:pPr>
            <w:r>
              <w:rPr>
                <w:rFonts w:ascii="Arial" w:cs="Arial" w:eastAsia="Arial" w:hAnsi="Arial"/>
                <w:sz w:val="10"/>
                <w:szCs w:val="10"/>
                <w:color w:val="auto"/>
              </w:rPr>
              <w:t>GS Caltex Corporation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jc w:val="right"/>
              <w:spacing w:after="0" w:line="104" w:lineRule="exact"/>
              <w:rPr>
                <w:sz w:val="20"/>
                <w:szCs w:val="20"/>
                <w:color w:val="auto"/>
              </w:rPr>
            </w:pPr>
            <w:r>
              <w:rPr>
                <w:rFonts w:ascii="Arial" w:cs="Arial" w:eastAsia="Arial" w:hAnsi="Arial"/>
                <w:sz w:val="10"/>
                <w:szCs w:val="10"/>
                <w:color w:val="auto"/>
              </w:rPr>
              <w:t>2,276</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217</w:t>
            </w:r>
          </w:p>
        </w:tc>
        <w:tc>
          <w:tcPr>
            <w:tcW w:w="26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316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Caspian Pipeline Consortium</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749</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951</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103</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102</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Star Petroleum Refining Company Ltd.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877</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944</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22</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157</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Escravos Gas-to-Liquids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628</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86</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103</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Caltex Australia Ltd.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723</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580</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250</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129</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186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Colonial Pipeline Company</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536</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546</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32</w:t>
            </w:r>
          </w:p>
        </w:tc>
        <w:tc>
          <w:tcPr>
            <w:tcW w:w="240" w:type="dxa"/>
            <w:vAlign w:val="bottom"/>
          </w:tcPr>
          <w:p>
            <w:pPr>
              <w:spacing w:after="0"/>
              <w:rPr>
                <w:sz w:val="9"/>
                <w:szCs w:val="9"/>
                <w:color w:val="auto"/>
              </w:rPr>
            </w:pPr>
          </w:p>
        </w:tc>
        <w:tc>
          <w:tcPr>
            <w:tcW w:w="46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39</w:t>
            </w:r>
          </w:p>
        </w:tc>
        <w:tc>
          <w:tcPr>
            <w:tcW w:w="26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1,664</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1,501</w:t>
            </w:r>
          </w:p>
        </w:tc>
        <w:tc>
          <w:tcPr>
            <w:tcW w:w="22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268</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215</w:t>
            </w:r>
          </w:p>
        </w:tc>
        <w:tc>
          <w:tcPr>
            <w:tcW w:w="26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Downstream</w:t>
            </w: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7,150</w:t>
            </w:r>
          </w:p>
        </w:tc>
        <w:tc>
          <w:tcPr>
            <w:tcW w:w="3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7,426</w:t>
            </w:r>
          </w:p>
        </w:tc>
        <w:tc>
          <w:tcPr>
            <w:tcW w:w="22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1,205</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962</w:t>
            </w:r>
          </w:p>
        </w:tc>
        <w:tc>
          <w:tcPr>
            <w:tcW w:w="26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1,127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00" w:type="dxa"/>
            <w:vAlign w:val="bottom"/>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ind w:left="80"/>
              <w:spacing w:after="0" w:line="106" w:lineRule="exact"/>
              <w:rPr>
                <w:sz w:val="20"/>
                <w:szCs w:val="20"/>
                <w:color w:val="auto"/>
              </w:rPr>
            </w:pPr>
            <w:r>
              <w:rPr>
                <w:rFonts w:ascii="Arial" w:cs="Arial" w:eastAsia="Arial" w:hAnsi="Arial"/>
                <w:sz w:val="10"/>
                <w:szCs w:val="10"/>
                <w:color w:val="auto"/>
              </w:rPr>
              <w:t>Chevron Phillips Chemical Company</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2,037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158</w:t>
            </w: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00" w:type="dxa"/>
            <w:vAlign w:val="bottom"/>
          </w:tcPr>
          <w:p>
            <w:pPr>
              <w:ind w:left="180"/>
              <w:spacing w:after="0" w:line="104" w:lineRule="exact"/>
              <w:rPr>
                <w:sz w:val="20"/>
                <w:szCs w:val="20"/>
                <w:color w:val="auto"/>
              </w:rPr>
            </w:pPr>
            <w:r>
              <w:rPr>
                <w:rFonts w:ascii="Arial" w:cs="Arial" w:eastAsia="Arial" w:hAnsi="Arial"/>
                <w:sz w:val="10"/>
                <w:szCs w:val="10"/>
                <w:color w:val="auto"/>
              </w:rPr>
              <w:t>LLC</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jc w:val="right"/>
              <w:spacing w:after="0" w:line="104" w:lineRule="exact"/>
              <w:rPr>
                <w:sz w:val="20"/>
                <w:szCs w:val="20"/>
                <w:color w:val="auto"/>
              </w:rPr>
            </w:pPr>
            <w:r>
              <w:rPr>
                <w:rFonts w:ascii="Arial" w:cs="Arial" w:eastAsia="Arial" w:hAnsi="Arial"/>
                <w:sz w:val="10"/>
                <w:szCs w:val="10"/>
                <w:color w:val="auto"/>
              </w:rPr>
              <w:t>2,024</w:t>
            </w:r>
          </w:p>
        </w:tc>
        <w:tc>
          <w:tcPr>
            <w:tcW w:w="22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380</w:t>
            </w:r>
          </w:p>
        </w:tc>
        <w:tc>
          <w:tcPr>
            <w:tcW w:w="26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697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25</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24</w:t>
            </w:r>
          </w:p>
        </w:tc>
        <w:tc>
          <w:tcPr>
            <w:tcW w:w="22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4</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6</w:t>
            </w:r>
          </w:p>
        </w:tc>
        <w:tc>
          <w:tcPr>
            <w:tcW w:w="26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Chemicals</w:t>
            </w: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2,062</w:t>
            </w:r>
          </w:p>
        </w:tc>
        <w:tc>
          <w:tcPr>
            <w:tcW w:w="3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2,048</w:t>
            </w:r>
          </w:p>
        </w:tc>
        <w:tc>
          <w:tcPr>
            <w:tcW w:w="22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162</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386</w:t>
            </w:r>
          </w:p>
        </w:tc>
        <w:tc>
          <w:tcPr>
            <w:tcW w:w="26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702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00" w:type="dxa"/>
            <w:vAlign w:val="bottom"/>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567</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20</w:t>
            </w: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vMerge w:val="continue"/>
          </w:tcPr>
          <w:p>
            <w:pPr>
              <w:spacing w:after="0"/>
              <w:rPr>
                <w:sz w:val="10"/>
                <w:szCs w:val="10"/>
                <w:color w:val="auto"/>
              </w:rPr>
            </w:pP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449</w:t>
            </w:r>
          </w:p>
        </w:tc>
        <w:tc>
          <w:tcPr>
            <w:tcW w:w="22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vMerge w:val="continue"/>
          </w:tcPr>
          <w:p>
            <w:pPr>
              <w:spacing w:after="0"/>
              <w:rPr>
                <w:sz w:val="10"/>
                <w:szCs w:val="10"/>
                <w:color w:val="auto"/>
              </w:rPr>
            </w:pP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(76)</w:t>
            </w:r>
          </w:p>
        </w:tc>
        <w:tc>
          <w:tcPr>
            <w:tcW w:w="26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900" w:type="dxa"/>
            <w:vAlign w:val="bottom"/>
          </w:tcPr>
          <w:p>
            <w:pPr>
              <w:ind w:left="80"/>
              <w:spacing w:after="0" w:line="91" w:lineRule="exact"/>
              <w:rPr>
                <w:sz w:val="20"/>
                <w:szCs w:val="20"/>
                <w:color w:val="auto"/>
              </w:rPr>
            </w:pPr>
            <w:r>
              <w:rPr>
                <w:rFonts w:ascii="Arial" w:cs="Arial" w:eastAsia="Arial" w:hAnsi="Arial"/>
                <w:sz w:val="10"/>
                <w:szCs w:val="10"/>
                <w:color w:val="auto"/>
              </w:rPr>
              <w:t>Total equity method</w:t>
            </w:r>
          </w:p>
        </w:tc>
        <w:tc>
          <w:tcPr>
            <w:tcW w:w="28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38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w w:val="97"/>
              </w:rPr>
              <w:t>19,931</w:t>
            </w:r>
          </w:p>
        </w:tc>
        <w:tc>
          <w:tcPr>
            <w:tcW w:w="3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91" w:lineRule="exact"/>
              <w:rPr>
                <w:sz w:val="20"/>
                <w:szCs w:val="20"/>
                <w:color w:val="auto"/>
              </w:rPr>
            </w:pPr>
            <w:r>
              <w:rPr>
                <w:rFonts w:ascii="Arial" w:cs="Arial" w:eastAsia="Arial" w:hAnsi="Arial"/>
                <w:sz w:val="10"/>
                <w:szCs w:val="10"/>
                <w:color w:val="auto"/>
                <w:w w:val="97"/>
              </w:rPr>
              <w:t>19,513</w:t>
            </w:r>
          </w:p>
        </w:tc>
        <w:tc>
          <w:tcPr>
            <w:tcW w:w="220" w:type="dxa"/>
            <w:vAlign w:val="bottom"/>
            <w:tcBorders>
              <w:right w:val="single" w:sz="8" w:color="0077C0"/>
            </w:tcBorders>
          </w:tcPr>
          <w:p>
            <w:pPr>
              <w:spacing w:after="0"/>
              <w:rPr>
                <w:sz w:val="7"/>
                <w:szCs w:val="7"/>
                <w:color w:val="auto"/>
              </w:rPr>
            </w:pPr>
          </w:p>
        </w:tc>
        <w:tc>
          <w:tcPr>
            <w:tcW w:w="220" w:type="dxa"/>
            <w:vAlign w:val="bottom"/>
            <w:gridSpan w:val="2"/>
          </w:tcPr>
          <w:p>
            <w:pPr>
              <w:jc w:val="right"/>
              <w:ind w:right="60"/>
              <w:spacing w:after="0" w:line="91" w:lineRule="exact"/>
              <w:rPr>
                <w:sz w:val="20"/>
                <w:szCs w:val="20"/>
                <w:color w:val="auto"/>
              </w:rPr>
            </w:pPr>
            <w:r>
              <w:rPr>
                <w:rFonts w:ascii="Arial" w:cs="Arial" w:eastAsia="Arial" w:hAnsi="Arial"/>
                <w:sz w:val="10"/>
                <w:szCs w:val="10"/>
                <w:b w:val="1"/>
                <w:bCs w:val="1"/>
                <w:color w:val="auto"/>
              </w:rPr>
              <w:t>$</w:t>
            </w: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5,366</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49"/>
              <w:spacing w:after="0" w:line="91" w:lineRule="exact"/>
              <w:rPr>
                <w:sz w:val="20"/>
                <w:szCs w:val="20"/>
                <w:color w:val="auto"/>
              </w:rPr>
            </w:pPr>
            <w:r>
              <w:rPr>
                <w:rFonts w:ascii="Arial" w:cs="Arial" w:eastAsia="Arial" w:hAnsi="Arial"/>
                <w:sz w:val="10"/>
                <w:szCs w:val="10"/>
                <w:color w:val="auto"/>
                <w:w w:val="95"/>
              </w:rPr>
              <w:t>4,144</w:t>
            </w:r>
          </w:p>
        </w:tc>
        <w:tc>
          <w:tcPr>
            <w:tcW w:w="260" w:type="dxa"/>
            <w:vAlign w:val="bottom"/>
          </w:tcPr>
          <w:p>
            <w:pPr>
              <w:jc w:val="center"/>
              <w:ind w:left="69"/>
              <w:spacing w:after="0" w:line="91"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4,255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Other at or below cost</w:t>
            </w: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989</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964</w:t>
            </w:r>
          </w:p>
        </w:tc>
        <w:tc>
          <w:tcPr>
            <w:tcW w:w="220" w:type="dxa"/>
            <w:vAlign w:val="bottom"/>
            <w:tcBorders>
              <w:bottom w:val="single" w:sz="8" w:color="0077C0"/>
              <w:right w:val="single" w:sz="8" w:color="0077C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investments and advances</w:t>
            </w:r>
          </w:p>
        </w:tc>
        <w:tc>
          <w:tcPr>
            <w:tcW w:w="28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w w:val="97"/>
              </w:rPr>
              <w:t>20,920</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20,477</w:t>
            </w:r>
          </w:p>
        </w:tc>
        <w:tc>
          <w:tcPr>
            <w:tcW w:w="22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900" w:type="dxa"/>
            <w:vAlign w:val="bottom"/>
          </w:tcPr>
          <w:p>
            <w:pPr>
              <w:spacing w:after="0" w:line="91" w:lineRule="exact"/>
              <w:rPr>
                <w:sz w:val="20"/>
                <w:szCs w:val="20"/>
                <w:color w:val="auto"/>
              </w:rPr>
            </w:pPr>
            <w:r>
              <w:rPr>
                <w:rFonts w:ascii="Arial" w:cs="Arial" w:eastAsia="Arial" w:hAnsi="Arial"/>
                <w:sz w:val="10"/>
                <w:szCs w:val="10"/>
                <w:color w:val="auto"/>
              </w:rPr>
              <w:t>Total United States</w:t>
            </w:r>
          </w:p>
        </w:tc>
        <w:tc>
          <w:tcPr>
            <w:tcW w:w="28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38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4,002</w:t>
            </w:r>
          </w:p>
        </w:tc>
        <w:tc>
          <w:tcPr>
            <w:tcW w:w="3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91" w:lineRule="exact"/>
              <w:rPr>
                <w:sz w:val="20"/>
                <w:szCs w:val="20"/>
                <w:color w:val="auto"/>
              </w:rPr>
            </w:pPr>
            <w:r>
              <w:rPr>
                <w:rFonts w:ascii="Arial" w:cs="Arial" w:eastAsia="Arial" w:hAnsi="Arial"/>
                <w:sz w:val="10"/>
                <w:szCs w:val="10"/>
                <w:color w:val="auto"/>
              </w:rPr>
              <w:t>3,889</w:t>
            </w:r>
          </w:p>
        </w:tc>
        <w:tc>
          <w:tcPr>
            <w:tcW w:w="220" w:type="dxa"/>
            <w:vAlign w:val="bottom"/>
            <w:tcBorders>
              <w:right w:val="single" w:sz="8" w:color="0077C0"/>
            </w:tcBorders>
          </w:tcPr>
          <w:p>
            <w:pPr>
              <w:spacing w:after="0"/>
              <w:rPr>
                <w:sz w:val="7"/>
                <w:szCs w:val="7"/>
                <w:color w:val="auto"/>
              </w:rPr>
            </w:pPr>
          </w:p>
        </w:tc>
        <w:tc>
          <w:tcPr>
            <w:tcW w:w="220" w:type="dxa"/>
            <w:vAlign w:val="bottom"/>
            <w:gridSpan w:val="2"/>
          </w:tcPr>
          <w:p>
            <w:pPr>
              <w:jc w:val="right"/>
              <w:ind w:right="60"/>
              <w:spacing w:after="0" w:line="91" w:lineRule="exact"/>
              <w:rPr>
                <w:sz w:val="20"/>
                <w:szCs w:val="20"/>
                <w:color w:val="auto"/>
              </w:rPr>
            </w:pPr>
            <w:r>
              <w:rPr>
                <w:rFonts w:ascii="Arial" w:cs="Arial" w:eastAsia="Arial" w:hAnsi="Arial"/>
                <w:sz w:val="10"/>
                <w:szCs w:val="10"/>
                <w:b w:val="1"/>
                <w:bCs w:val="1"/>
                <w:color w:val="auto"/>
              </w:rPr>
              <w:t>$</w:t>
            </w: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307</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49"/>
              <w:spacing w:after="0" w:line="91" w:lineRule="exact"/>
              <w:rPr>
                <w:sz w:val="20"/>
                <w:szCs w:val="20"/>
                <w:color w:val="auto"/>
              </w:rPr>
            </w:pPr>
            <w:r>
              <w:rPr>
                <w:rFonts w:ascii="Arial" w:cs="Arial" w:eastAsia="Arial" w:hAnsi="Arial"/>
                <w:sz w:val="10"/>
                <w:szCs w:val="10"/>
                <w:color w:val="auto"/>
              </w:rPr>
              <w:t>478</w:t>
            </w:r>
          </w:p>
        </w:tc>
        <w:tc>
          <w:tcPr>
            <w:tcW w:w="260" w:type="dxa"/>
            <w:vAlign w:val="bottom"/>
          </w:tcPr>
          <w:p>
            <w:pPr>
              <w:jc w:val="center"/>
              <w:ind w:left="69"/>
              <w:spacing w:after="0" w:line="91"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955</w:t>
            </w:r>
          </w:p>
        </w:tc>
        <w:tc>
          <w:tcPr>
            <w:tcW w:w="0" w:type="dxa"/>
            <w:vAlign w:val="bottom"/>
          </w:tcPr>
          <w:p>
            <w:pPr>
              <w:spacing w:after="0"/>
              <w:rPr>
                <w:sz w:val="1"/>
                <w:szCs w:val="1"/>
                <w:color w:val="auto"/>
              </w:rPr>
            </w:pPr>
          </w:p>
        </w:tc>
      </w:tr>
      <w:tr>
        <w:trPr>
          <w:trHeight w:val="120"/>
        </w:trPr>
        <w:tc>
          <w:tcPr>
            <w:tcW w:w="1920" w:type="dxa"/>
            <w:vAlign w:val="bottom"/>
            <w:gridSpan w:val="2"/>
          </w:tcPr>
          <w:p>
            <w:pPr>
              <w:spacing w:after="0"/>
              <w:rPr>
                <w:sz w:val="20"/>
                <w:szCs w:val="20"/>
                <w:color w:val="auto"/>
              </w:rPr>
            </w:pPr>
            <w:r>
              <w:rPr>
                <w:rFonts w:ascii="Arial" w:cs="Arial" w:eastAsia="Arial" w:hAnsi="Arial"/>
                <w:sz w:val="10"/>
                <w:szCs w:val="10"/>
                <w:color w:val="auto"/>
              </w:rPr>
              <w:t>Total International</w:t>
            </w:r>
          </w:p>
        </w:tc>
        <w:tc>
          <w:tcPr>
            <w:tcW w:w="2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jc w:val="right"/>
              <w:ind w:right="9"/>
              <w:spacing w:after="0"/>
              <w:rPr>
                <w:sz w:val="20"/>
                <w:szCs w:val="20"/>
                <w:color w:val="auto"/>
              </w:rPr>
            </w:pPr>
            <w:r>
              <w:rPr>
                <w:rFonts w:ascii="Arial" w:cs="Arial" w:eastAsia="Arial" w:hAnsi="Arial"/>
                <w:sz w:val="10"/>
                <w:szCs w:val="10"/>
                <w:b w:val="1"/>
                <w:bCs w:val="1"/>
                <w:color w:val="auto"/>
                <w:w w:val="97"/>
              </w:rPr>
              <w:t>16,918</w:t>
            </w: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16,588</w:t>
            </w:r>
          </w:p>
        </w:tc>
        <w:tc>
          <w:tcPr>
            <w:tcW w:w="220" w:type="dxa"/>
            <w:vAlign w:val="bottom"/>
            <w:tcBorders>
              <w:right w:val="single" w:sz="8" w:color="0077C0"/>
            </w:tcBorders>
          </w:tcPr>
          <w:p>
            <w:pPr>
              <w:spacing w:after="0"/>
              <w:rPr>
                <w:sz w:val="10"/>
                <w:szCs w:val="1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w:t>
            </w: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rPr>
              <w:t>5,059</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49"/>
              <w:spacing w:after="0"/>
              <w:rPr>
                <w:sz w:val="20"/>
                <w:szCs w:val="20"/>
                <w:color w:val="auto"/>
              </w:rPr>
            </w:pPr>
            <w:r>
              <w:rPr>
                <w:rFonts w:ascii="Arial" w:cs="Arial" w:eastAsia="Arial" w:hAnsi="Arial"/>
                <w:sz w:val="10"/>
                <w:szCs w:val="10"/>
                <w:color w:val="auto"/>
                <w:w w:val="95"/>
              </w:rPr>
              <w:t>3,666</w:t>
            </w:r>
          </w:p>
        </w:tc>
        <w:tc>
          <w:tcPr>
            <w:tcW w:w="260" w:type="dxa"/>
            <w:vAlign w:val="bottom"/>
          </w:tcPr>
          <w:p>
            <w:pPr>
              <w:jc w:val="center"/>
              <w:ind w:left="69"/>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3,300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900" w:type="dxa"/>
            <w:vAlign w:val="bottom"/>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360" w:type="dxa"/>
            <w:vAlign w:val="bottom"/>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220" w:type="dxa"/>
            <w:vAlign w:val="bottom"/>
            <w:tcBorders>
              <w:right w:val="single" w:sz="8" w:color="0077C0"/>
            </w:tcBorders>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12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280" w:type="dxa"/>
            <w:vAlign w:val="bottom"/>
            <w:shd w:val="clear" w:color="auto" w:fill="0077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firstLine="160"/>
        <w:spacing w:after="0" w:line="271" w:lineRule="auto"/>
        <w:rPr>
          <w:sz w:val="20"/>
          <w:szCs w:val="20"/>
          <w:color w:val="auto"/>
        </w:rPr>
      </w:pPr>
      <w:r>
        <w:rPr>
          <w:rFonts w:ascii="Arial" w:cs="Arial" w:eastAsia="Arial" w:hAnsi="Arial"/>
          <w:sz w:val="12"/>
          <w:szCs w:val="12"/>
          <w:color w:val="auto"/>
        </w:rPr>
        <w:t xml:space="preserve">Descriptions of major affiliates, including significant differences between the company’s carrying value of its investments and its underlying equity in the net assets of the affiliates, are as follows: </w:t>
      </w:r>
      <w:r>
        <w:rPr>
          <w:rFonts w:ascii="Arial" w:cs="Arial" w:eastAsia="Arial" w:hAnsi="Arial"/>
          <w:sz w:val="12"/>
          <w:szCs w:val="12"/>
          <w:i w:val="1"/>
          <w:iCs w:val="1"/>
          <w:color w:val="E51837"/>
        </w:rPr>
        <w:t xml:space="preserve">Tengizchevroil </w:t>
      </w:r>
      <w:r>
        <w:rPr>
          <w:rFonts w:ascii="Arial" w:cs="Arial" w:eastAsia="Arial" w:hAnsi="Arial"/>
          <w:sz w:val="12"/>
          <w:szCs w:val="12"/>
          <w:color w:val="000000"/>
        </w:rPr>
        <w:t>Chevron has a 50 percent equity ownership interest in Tengizchevroil (TCO), a joint</w:t>
      </w:r>
      <w:r>
        <w:rPr>
          <w:rFonts w:ascii="Arial" w:cs="Arial" w:eastAsia="Arial" w:hAnsi="Arial"/>
          <w:sz w:val="12"/>
          <w:szCs w:val="12"/>
          <w:i w:val="1"/>
          <w:iCs w:val="1"/>
          <w:color w:val="E51837"/>
        </w:rPr>
        <w:t xml:space="preserve"> </w:t>
      </w:r>
      <w:r>
        <w:rPr>
          <w:rFonts w:ascii="Arial" w:cs="Arial" w:eastAsia="Arial" w:hAnsi="Arial"/>
          <w:sz w:val="12"/>
          <w:szCs w:val="12"/>
          <w:color w:val="000000"/>
        </w:rPr>
        <w:t>venture formed in 1993 to develop the Tengiz and Korolev crude oil fields in Kazakhstan over a</w:t>
      </w:r>
    </w:p>
    <w:p>
      <w:pPr>
        <w:ind w:right="20"/>
        <w:spacing w:after="0" w:line="249" w:lineRule="auto"/>
        <w:rPr>
          <w:sz w:val="20"/>
          <w:szCs w:val="20"/>
          <w:color w:val="auto"/>
        </w:rPr>
      </w:pPr>
      <w:r>
        <w:rPr>
          <w:rFonts w:ascii="Arial" w:cs="Arial" w:eastAsia="Arial" w:hAnsi="Arial"/>
          <w:sz w:val="13"/>
          <w:szCs w:val="13"/>
          <w:color w:val="auto"/>
        </w:rPr>
        <w:t>40-year period. At December 31, 2008, the company’s carrying value of its investment in TCO was about $210 higher than the amount of underlying equity in TCO net assets. This difference results from Chevron acquiring a portion of its interest in TCO at a value greater than the underlying equity for that portion of TCO’s assets.</w:t>
      </w:r>
    </w:p>
    <w:p>
      <w:pPr>
        <w:spacing w:after="0" w:line="200" w:lineRule="exact"/>
        <w:rPr>
          <w:sz w:val="20"/>
          <w:szCs w:val="20"/>
          <w:color w:val="auto"/>
        </w:rPr>
      </w:pPr>
    </w:p>
    <w:p>
      <w:pPr>
        <w:sectPr>
          <w:pgSz w:w="11900" w:h="16838" w:orient="portrait"/>
          <w:cols w:equalWidth="0" w:num="2">
            <w:col w:w="5500" w:space="460"/>
            <w:col w:w="5480"/>
          </w:cols>
          <w:pgMar w:left="220" w:top="338" w:right="239" w:bottom="1440" w:gutter="0" w:footer="0" w:header="0"/>
          <w:type w:val="continuous"/>
        </w:sectPr>
      </w:pP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type w:val="continuous"/>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60"/>
        <w:spacing w:after="0"/>
        <w:rPr>
          <w:sz w:val="20"/>
          <w:szCs w:val="20"/>
          <w:color w:val="auto"/>
        </w:rPr>
      </w:pPr>
      <w:r>
        <w:rPr>
          <w:rFonts w:ascii="Arial" w:cs="Arial" w:eastAsia="Arial" w:hAnsi="Arial"/>
          <w:sz w:val="12"/>
          <w:szCs w:val="12"/>
          <w:color w:val="0077C0"/>
        </w:rPr>
        <w:t>Notes to the Consolidated Financial Statements</w:t>
      </w:r>
    </w:p>
    <w:p>
      <w:pPr>
        <w:jc w:val="right"/>
        <w:ind w:right="596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12 </w:t>
      </w:r>
      <w:r>
        <w:rPr>
          <w:rFonts w:ascii="Arial" w:cs="Arial" w:eastAsia="Arial" w:hAnsi="Arial"/>
          <w:sz w:val="8"/>
          <w:szCs w:val="8"/>
          <w:color w:val="000000"/>
        </w:rPr>
        <w:t>Investments and Advances - Continued</w:t>
      </w:r>
    </w:p>
    <w:p>
      <w:pPr>
        <w:sectPr>
          <w:pgSz w:w="11900" w:h="16838" w:orient="portrait"/>
          <w:cols w:equalWidth="0" w:num="1">
            <w:col w:w="11480"/>
          </w:cols>
          <w:pgMar w:left="220" w:top="33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i w:val="1"/>
          <w:iCs w:val="1"/>
          <w:color w:val="E51837"/>
        </w:rPr>
        <w:t xml:space="preserve">Petropiar </w:t>
      </w:r>
      <w:r>
        <w:rPr>
          <w:rFonts w:ascii="Arial" w:cs="Arial" w:eastAsia="Arial" w:hAnsi="Arial"/>
          <w:sz w:val="12"/>
          <w:szCs w:val="12"/>
          <w:color w:val="000000"/>
        </w:rPr>
        <w:t>Chevron has a 30 percent interest in Petropiar, a joint stock company formed in 2008 to operate</w:t>
      </w:r>
      <w:r>
        <w:rPr>
          <w:rFonts w:ascii="Arial" w:cs="Arial" w:eastAsia="Arial" w:hAnsi="Arial"/>
          <w:sz w:val="12"/>
          <w:szCs w:val="12"/>
          <w:i w:val="1"/>
          <w:iCs w:val="1"/>
          <w:color w:val="E51837"/>
        </w:rPr>
        <w:t xml:space="preserve"> </w:t>
      </w:r>
      <w:r>
        <w:rPr>
          <w:rFonts w:ascii="Arial" w:cs="Arial" w:eastAsia="Arial" w:hAnsi="Arial"/>
          <w:sz w:val="12"/>
          <w:szCs w:val="12"/>
          <w:color w:val="000000"/>
        </w:rPr>
        <w:t>the Hamaca heavy oil production and upgrading project. The project, located in Venezuela’s Orinoco Belt, has a 25-year contract term. Prior to the formation of Petropiar, Chevron had a 30 percent interest in the Hamaca project. At December 31, 2008, the company’s carrying value of its investment in Petropiar was approximately $250 less than the amount of underlying equity in Petropiar net assets. The difference represents the excess of Chevron’s underlying equity in Petropiar’s net assets over the net book value of the assets contributed to the venture.</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2"/>
          <w:szCs w:val="12"/>
          <w:i w:val="1"/>
          <w:iCs w:val="1"/>
          <w:color w:val="E51837"/>
        </w:rPr>
        <w:t xml:space="preserve">Petroboscan </w:t>
      </w:r>
      <w:r>
        <w:rPr>
          <w:rFonts w:ascii="Arial" w:cs="Arial" w:eastAsia="Arial" w:hAnsi="Arial"/>
          <w:sz w:val="12"/>
          <w:szCs w:val="12"/>
          <w:color w:val="000000"/>
        </w:rPr>
        <w:t>Chevron has a 39 percent interest in Petroboscan, a joint stock company formed in 2006 to</w:t>
      </w:r>
      <w:r>
        <w:rPr>
          <w:rFonts w:ascii="Arial" w:cs="Arial" w:eastAsia="Arial" w:hAnsi="Arial"/>
          <w:sz w:val="12"/>
          <w:szCs w:val="12"/>
          <w:i w:val="1"/>
          <w:iCs w:val="1"/>
          <w:color w:val="E51837"/>
        </w:rPr>
        <w:t xml:space="preserve"> </w:t>
      </w:r>
      <w:r>
        <w:rPr>
          <w:rFonts w:ascii="Arial" w:cs="Arial" w:eastAsia="Arial" w:hAnsi="Arial"/>
          <w:sz w:val="12"/>
          <w:szCs w:val="12"/>
          <w:color w:val="000000"/>
        </w:rPr>
        <w:t>operate the Boscan Field in Venezuela until 2026. Chevron previously operated the field under an operating service agreement. At December 31, 2008, the company’s carrying value of its investment in Petroboscan was approximately $290 higher than the amount of underlying equity in Petroboscan net assets. The difference reflects the excess of the net book value of the assets contributed by Chevron over its underlying equity in Petroboscan’s net assets.</w:t>
      </w:r>
    </w:p>
    <w:p>
      <w:pPr>
        <w:spacing w:after="0" w:line="99"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i w:val="1"/>
          <w:iCs w:val="1"/>
          <w:color w:val="E51837"/>
        </w:rPr>
        <w:t xml:space="preserve">Angola LNG Ltd. </w:t>
      </w:r>
      <w:r>
        <w:rPr>
          <w:rFonts w:ascii="Arial" w:cs="Arial" w:eastAsia="Arial" w:hAnsi="Arial"/>
          <w:sz w:val="13"/>
          <w:szCs w:val="13"/>
          <w:color w:val="000000"/>
        </w:rPr>
        <w:t>Chevron has a 36 percent interest in Angola LNG Ltd., which will process and liquefy</w:t>
      </w:r>
      <w:r>
        <w:rPr>
          <w:rFonts w:ascii="Arial" w:cs="Arial" w:eastAsia="Arial" w:hAnsi="Arial"/>
          <w:sz w:val="13"/>
          <w:szCs w:val="13"/>
          <w:i w:val="1"/>
          <w:iCs w:val="1"/>
          <w:color w:val="E51837"/>
        </w:rPr>
        <w:t xml:space="preserve"> </w:t>
      </w:r>
      <w:r>
        <w:rPr>
          <w:rFonts w:ascii="Arial" w:cs="Arial" w:eastAsia="Arial" w:hAnsi="Arial"/>
          <w:sz w:val="13"/>
          <w:szCs w:val="13"/>
          <w:color w:val="000000"/>
        </w:rPr>
        <w:t>natural gas produced in Angola for delivery to international markets.</w:t>
      </w:r>
    </w:p>
    <w:p>
      <w:pPr>
        <w:spacing w:after="0" w:line="109" w:lineRule="exact"/>
        <w:rPr>
          <w:sz w:val="20"/>
          <w:szCs w:val="20"/>
          <w:color w:val="auto"/>
        </w:rPr>
      </w:pPr>
    </w:p>
    <w:p>
      <w:pPr>
        <w:ind w:right="320"/>
        <w:spacing w:after="0" w:line="256" w:lineRule="auto"/>
        <w:rPr>
          <w:sz w:val="20"/>
          <w:szCs w:val="20"/>
          <w:color w:val="auto"/>
        </w:rPr>
      </w:pPr>
      <w:r>
        <w:rPr>
          <w:rFonts w:ascii="Arial" w:cs="Arial" w:eastAsia="Arial" w:hAnsi="Arial"/>
          <w:sz w:val="13"/>
          <w:szCs w:val="13"/>
          <w:i w:val="1"/>
          <w:iCs w:val="1"/>
          <w:color w:val="E51837"/>
        </w:rPr>
        <w:t xml:space="preserve">GS Caltex Corporation </w:t>
      </w:r>
      <w:r>
        <w:rPr>
          <w:rFonts w:ascii="Arial" w:cs="Arial" w:eastAsia="Arial" w:hAnsi="Arial"/>
          <w:sz w:val="13"/>
          <w:szCs w:val="13"/>
          <w:color w:val="000000"/>
        </w:rPr>
        <w:t>Chevron owns 50 percent of GS Caltex Corporation, a joint venture with GS</w:t>
      </w:r>
      <w:r>
        <w:rPr>
          <w:rFonts w:ascii="Arial" w:cs="Arial" w:eastAsia="Arial" w:hAnsi="Arial"/>
          <w:sz w:val="13"/>
          <w:szCs w:val="13"/>
          <w:i w:val="1"/>
          <w:iCs w:val="1"/>
          <w:color w:val="E51837"/>
        </w:rPr>
        <w:t xml:space="preserve"> </w:t>
      </w:r>
      <w:r>
        <w:rPr>
          <w:rFonts w:ascii="Arial" w:cs="Arial" w:eastAsia="Arial" w:hAnsi="Arial"/>
          <w:sz w:val="13"/>
          <w:szCs w:val="13"/>
          <w:color w:val="000000"/>
        </w:rPr>
        <w:t>Holdings. The joint venture imports, refines and markets petroleum products and petrochemicals, predominantly in South Korea.</w:t>
      </w:r>
    </w:p>
    <w:p>
      <w:pPr>
        <w:spacing w:after="0" w:line="108" w:lineRule="exact"/>
        <w:rPr>
          <w:sz w:val="20"/>
          <w:szCs w:val="20"/>
          <w:color w:val="auto"/>
        </w:rPr>
      </w:pPr>
    </w:p>
    <w:p>
      <w:pPr>
        <w:ind w:right="320"/>
        <w:spacing w:after="0" w:line="359" w:lineRule="auto"/>
        <w:rPr>
          <w:sz w:val="20"/>
          <w:szCs w:val="20"/>
          <w:color w:val="auto"/>
        </w:rPr>
      </w:pPr>
      <w:r>
        <w:rPr>
          <w:rFonts w:ascii="Arial" w:cs="Arial" w:eastAsia="Arial" w:hAnsi="Arial"/>
          <w:sz w:val="11"/>
          <w:szCs w:val="11"/>
          <w:i w:val="1"/>
          <w:iCs w:val="1"/>
          <w:color w:val="E51837"/>
        </w:rPr>
        <w:t xml:space="preserve">Caspian Pipeline Consortium </w:t>
      </w:r>
      <w:r>
        <w:rPr>
          <w:rFonts w:ascii="Arial" w:cs="Arial" w:eastAsia="Arial" w:hAnsi="Arial"/>
          <w:sz w:val="11"/>
          <w:szCs w:val="11"/>
          <w:color w:val="000000"/>
        </w:rPr>
        <w:t>Chevron has a 15 percent interest in the Caspian Pipeline Consortium,</w:t>
      </w:r>
      <w:r>
        <w:rPr>
          <w:rFonts w:ascii="Arial" w:cs="Arial" w:eastAsia="Arial" w:hAnsi="Arial"/>
          <w:sz w:val="11"/>
          <w:szCs w:val="11"/>
          <w:i w:val="1"/>
          <w:iCs w:val="1"/>
          <w:color w:val="E51837"/>
        </w:rPr>
        <w:t xml:space="preserve"> </w:t>
      </w:r>
      <w:r>
        <w:rPr>
          <w:rFonts w:ascii="Arial" w:cs="Arial" w:eastAsia="Arial" w:hAnsi="Arial"/>
          <w:sz w:val="11"/>
          <w:szCs w:val="11"/>
          <w:color w:val="000000"/>
        </w:rPr>
        <w:t>which provides the critical export route for crude oil from both TCO and Karachaganak.</w:t>
      </w:r>
    </w:p>
    <w:p>
      <w:pPr>
        <w:spacing w:after="0" w:line="54" w:lineRule="exact"/>
        <w:rPr>
          <w:sz w:val="20"/>
          <w:szCs w:val="20"/>
          <w:color w:val="auto"/>
        </w:rPr>
      </w:pPr>
    </w:p>
    <w:p>
      <w:pPr>
        <w:ind w:right="260"/>
        <w:spacing w:after="0" w:line="256" w:lineRule="auto"/>
        <w:rPr>
          <w:sz w:val="20"/>
          <w:szCs w:val="20"/>
          <w:color w:val="auto"/>
        </w:rPr>
      </w:pPr>
      <w:r>
        <w:rPr>
          <w:rFonts w:ascii="Arial" w:cs="Arial" w:eastAsia="Arial" w:hAnsi="Arial"/>
          <w:sz w:val="13"/>
          <w:szCs w:val="13"/>
          <w:i w:val="1"/>
          <w:iCs w:val="1"/>
          <w:color w:val="E51837"/>
        </w:rPr>
        <w:t xml:space="preserve">Star Petroleum Refining Company Ltd. </w:t>
      </w:r>
      <w:r>
        <w:rPr>
          <w:rFonts w:ascii="Arial" w:cs="Arial" w:eastAsia="Arial" w:hAnsi="Arial"/>
          <w:sz w:val="13"/>
          <w:szCs w:val="13"/>
          <w:color w:val="000000"/>
        </w:rPr>
        <w:t>Chevron has a 64 percent equity ownership interest in Star</w:t>
      </w:r>
      <w:r>
        <w:rPr>
          <w:rFonts w:ascii="Arial" w:cs="Arial" w:eastAsia="Arial" w:hAnsi="Arial"/>
          <w:sz w:val="13"/>
          <w:szCs w:val="13"/>
          <w:i w:val="1"/>
          <w:iCs w:val="1"/>
          <w:color w:val="E51837"/>
        </w:rPr>
        <w:t xml:space="preserve"> </w:t>
      </w:r>
      <w:r>
        <w:rPr>
          <w:rFonts w:ascii="Arial" w:cs="Arial" w:eastAsia="Arial" w:hAnsi="Arial"/>
          <w:sz w:val="13"/>
          <w:szCs w:val="13"/>
          <w:color w:val="000000"/>
        </w:rPr>
        <w:t>Petroleum Refining Company Ltd. (SPRC), which owns the Star Refinery in Thailand. The Petroleum Authority of Thailand owns the remaining 36 percent of SPRC.</w:t>
      </w:r>
    </w:p>
    <w:p>
      <w:pPr>
        <w:spacing w:after="0" w:line="117" w:lineRule="exact"/>
        <w:rPr>
          <w:sz w:val="20"/>
          <w:szCs w:val="20"/>
          <w:color w:val="auto"/>
        </w:rPr>
      </w:pPr>
    </w:p>
    <w:p>
      <w:pPr>
        <w:ind w:right="180"/>
        <w:spacing w:after="0" w:line="325" w:lineRule="auto"/>
        <w:rPr>
          <w:sz w:val="20"/>
          <w:szCs w:val="20"/>
          <w:color w:val="auto"/>
        </w:rPr>
      </w:pPr>
      <w:r>
        <w:rPr>
          <w:rFonts w:ascii="Arial" w:cs="Arial" w:eastAsia="Arial" w:hAnsi="Arial"/>
          <w:sz w:val="11"/>
          <w:szCs w:val="11"/>
          <w:i w:val="1"/>
          <w:iCs w:val="1"/>
          <w:color w:val="E51837"/>
        </w:rPr>
        <w:t xml:space="preserve">Escravos Gas-to-Liquids </w:t>
      </w:r>
      <w:r>
        <w:rPr>
          <w:rFonts w:ascii="Arial" w:cs="Arial" w:eastAsia="Arial" w:hAnsi="Arial"/>
          <w:sz w:val="11"/>
          <w:szCs w:val="11"/>
          <w:color w:val="000000"/>
        </w:rPr>
        <w:t>Chevron Nigeria Limited (CNL) has a 75 percent interest in Escravos Gas-to-Liquids (EGTL) with the other 25 percent of the joint venture owned by Nigeria National Petroleum Company. Until December 1, 2008, Sasol Ltd. provided 50 percent of CNL’s funding require-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ments for the venture as risk-based financing (returns are based on project performance). Effective December 1, 2008, Chevron acquired an additional 37 percent of the obligation from Sasol, with Sasol retaining 13 percent of the funding obligation. On that date, Chevron changed its method of accounting for its EGTL investment from equity to consolidated. This venture was formed to convert natural gas produced from Chevron’s Nigerian operations into liquid products for sale in international markets.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i w:val="1"/>
          <w:iCs w:val="1"/>
          <w:color w:val="E51837"/>
        </w:rPr>
        <w:t xml:space="preserve">Caltex Australia Ltd. </w:t>
      </w:r>
      <w:r>
        <w:rPr>
          <w:rFonts w:ascii="Arial" w:cs="Arial" w:eastAsia="Arial" w:hAnsi="Arial"/>
          <w:sz w:val="13"/>
          <w:szCs w:val="13"/>
          <w:color w:val="000000"/>
        </w:rPr>
        <w:t>Chevron has a 50 percent equity ownership interest in Caltex Australia Ltd. (CAL).</w:t>
      </w:r>
      <w:r>
        <w:rPr>
          <w:rFonts w:ascii="Arial" w:cs="Arial" w:eastAsia="Arial" w:hAnsi="Arial"/>
          <w:sz w:val="13"/>
          <w:szCs w:val="13"/>
          <w:i w:val="1"/>
          <w:iCs w:val="1"/>
          <w:color w:val="E51837"/>
        </w:rPr>
        <w:t xml:space="preserve"> </w:t>
      </w:r>
      <w:r>
        <w:rPr>
          <w:rFonts w:ascii="Arial" w:cs="Arial" w:eastAsia="Arial" w:hAnsi="Arial"/>
          <w:sz w:val="13"/>
          <w:szCs w:val="13"/>
          <w:color w:val="000000"/>
        </w:rPr>
        <w:t>The remaining 50 percent of CAL is publicly owned. At December 31, 2008, the fair value of Chevron’s share of CAL common stock was approximately $670. The decline in value below the company’s carrying value of $723 million at the end of 2008 was deemed temporary.</w:t>
      </w:r>
    </w:p>
    <w:p>
      <w:pPr>
        <w:spacing w:after="0" w:line="110"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i w:val="1"/>
          <w:iCs w:val="1"/>
          <w:color w:val="E51837"/>
        </w:rPr>
        <w:t xml:space="preserve">Colonial Pipeline Company </w:t>
      </w:r>
      <w:r>
        <w:rPr>
          <w:rFonts w:ascii="Arial" w:cs="Arial" w:eastAsia="Arial" w:hAnsi="Arial"/>
          <w:sz w:val="13"/>
          <w:szCs w:val="13"/>
          <w:color w:val="000000"/>
        </w:rPr>
        <w:t>Chevron owns an approximate 23 percent equity interest in the Colonial</w:t>
      </w:r>
      <w:r>
        <w:rPr>
          <w:rFonts w:ascii="Arial" w:cs="Arial" w:eastAsia="Arial" w:hAnsi="Arial"/>
          <w:sz w:val="13"/>
          <w:szCs w:val="13"/>
          <w:i w:val="1"/>
          <w:iCs w:val="1"/>
          <w:color w:val="E51837"/>
        </w:rPr>
        <w:t xml:space="preserve"> </w:t>
      </w:r>
      <w:r>
        <w:rPr>
          <w:rFonts w:ascii="Arial" w:cs="Arial" w:eastAsia="Arial" w:hAnsi="Arial"/>
          <w:sz w:val="13"/>
          <w:szCs w:val="13"/>
          <w:color w:val="000000"/>
        </w:rPr>
        <w:t>Pipeline Company. The Colonial Pipeline system runs from Texas to New Jersey and transports petroleum products in a 13-state market. At December 31, 2008, the company’s carrying value of its investment in Colonial Pipeline was approximately $560 higher than the amount of underlying equity in Colonial Pipeline net assets. This difference primarily relates to purchase price adjustments from the acquisition of Unocal Corporation.</w:t>
      </w:r>
    </w:p>
    <w:p>
      <w:pPr>
        <w:spacing w:after="0" w:line="113" w:lineRule="exact"/>
        <w:rPr>
          <w:sz w:val="20"/>
          <w:szCs w:val="20"/>
          <w:color w:val="auto"/>
        </w:rPr>
      </w:pPr>
    </w:p>
    <w:p>
      <w:pPr>
        <w:ind w:right="400"/>
        <w:spacing w:after="0" w:line="309" w:lineRule="auto"/>
        <w:rPr>
          <w:sz w:val="20"/>
          <w:szCs w:val="20"/>
          <w:color w:val="auto"/>
        </w:rPr>
      </w:pPr>
      <w:r>
        <w:rPr>
          <w:rFonts w:ascii="Arial" w:cs="Arial" w:eastAsia="Arial" w:hAnsi="Arial"/>
          <w:sz w:val="12"/>
          <w:szCs w:val="12"/>
          <w:i w:val="1"/>
          <w:iCs w:val="1"/>
          <w:color w:val="E51837"/>
        </w:rPr>
        <w:t xml:space="preserve">Chevron Phillips Chemical Company LLC </w:t>
      </w:r>
      <w:r>
        <w:rPr>
          <w:rFonts w:ascii="Arial" w:cs="Arial" w:eastAsia="Arial" w:hAnsi="Arial"/>
          <w:sz w:val="12"/>
          <w:szCs w:val="12"/>
          <w:color w:val="000000"/>
        </w:rPr>
        <w:t>Chevron owns 50 percent of Chevron Phillips Chemical</w:t>
      </w:r>
      <w:r>
        <w:rPr>
          <w:rFonts w:ascii="Arial" w:cs="Arial" w:eastAsia="Arial" w:hAnsi="Arial"/>
          <w:sz w:val="12"/>
          <w:szCs w:val="12"/>
          <w:i w:val="1"/>
          <w:iCs w:val="1"/>
          <w:color w:val="E51837"/>
        </w:rPr>
        <w:t xml:space="preserve"> </w:t>
      </w:r>
      <w:r>
        <w:rPr>
          <w:rFonts w:ascii="Arial" w:cs="Arial" w:eastAsia="Arial" w:hAnsi="Arial"/>
          <w:sz w:val="12"/>
          <w:szCs w:val="12"/>
          <w:color w:val="000000"/>
        </w:rPr>
        <w:t>Company LLC (CPChem), with the other half owned by ConocoPhillips Corporation.</w:t>
      </w:r>
    </w:p>
    <w:p>
      <w:pPr>
        <w:spacing w:after="0" w:line="87" w:lineRule="exact"/>
        <w:rPr>
          <w:sz w:val="20"/>
          <w:szCs w:val="20"/>
          <w:color w:val="auto"/>
        </w:rPr>
      </w:pPr>
    </w:p>
    <w:p>
      <w:pPr>
        <w:ind w:right="580"/>
        <w:spacing w:after="0" w:line="267" w:lineRule="auto"/>
        <w:rPr>
          <w:sz w:val="20"/>
          <w:szCs w:val="20"/>
          <w:color w:val="auto"/>
        </w:rPr>
      </w:pPr>
      <w:r>
        <w:rPr>
          <w:rFonts w:ascii="Arial" w:cs="Arial" w:eastAsia="Arial" w:hAnsi="Arial"/>
          <w:sz w:val="13"/>
          <w:szCs w:val="13"/>
          <w:i w:val="1"/>
          <w:iCs w:val="1"/>
          <w:color w:val="E51837"/>
        </w:rPr>
        <w:t xml:space="preserve">Dynegy Inc. </w:t>
      </w:r>
      <w:r>
        <w:rPr>
          <w:rFonts w:ascii="Arial" w:cs="Arial" w:eastAsia="Arial" w:hAnsi="Arial"/>
          <w:sz w:val="13"/>
          <w:szCs w:val="13"/>
          <w:color w:val="000000"/>
        </w:rPr>
        <w:t>In 2007, Chevron sold its 19 percent common stock investment in Dynegy Inc., for</w:t>
      </w:r>
      <w:r>
        <w:rPr>
          <w:rFonts w:ascii="Arial" w:cs="Arial" w:eastAsia="Arial" w:hAnsi="Arial"/>
          <w:sz w:val="13"/>
          <w:szCs w:val="13"/>
          <w:i w:val="1"/>
          <w:iCs w:val="1"/>
          <w:color w:val="E51837"/>
        </w:rPr>
        <w:t xml:space="preserve"> </w:t>
      </w:r>
      <w:r>
        <w:rPr>
          <w:rFonts w:ascii="Arial" w:cs="Arial" w:eastAsia="Arial" w:hAnsi="Arial"/>
          <w:sz w:val="13"/>
          <w:szCs w:val="13"/>
          <w:color w:val="000000"/>
        </w:rPr>
        <w:t>approximately $940, resulting in a gain of $680.</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3"/>
          <w:szCs w:val="13"/>
          <w:i w:val="1"/>
          <w:iCs w:val="1"/>
          <w:color w:val="E51837"/>
        </w:rPr>
        <w:t xml:space="preserve">Other Information </w:t>
      </w:r>
      <w:r>
        <w:rPr>
          <w:rFonts w:ascii="Arial" w:cs="Arial" w:eastAsia="Arial" w:hAnsi="Arial"/>
          <w:sz w:val="13"/>
          <w:szCs w:val="13"/>
          <w:color w:val="000000"/>
        </w:rPr>
        <w:t>“Sales and other operating revenues” on the Consolidated Statement of Income</w:t>
      </w:r>
      <w:r>
        <w:rPr>
          <w:rFonts w:ascii="Arial" w:cs="Arial" w:eastAsia="Arial" w:hAnsi="Arial"/>
          <w:sz w:val="13"/>
          <w:szCs w:val="13"/>
          <w:i w:val="1"/>
          <w:iCs w:val="1"/>
          <w:color w:val="E51837"/>
        </w:rPr>
        <w:t xml:space="preserve"> </w:t>
      </w:r>
      <w:r>
        <w:rPr>
          <w:rFonts w:ascii="Arial" w:cs="Arial" w:eastAsia="Arial" w:hAnsi="Arial"/>
          <w:sz w:val="13"/>
          <w:szCs w:val="13"/>
          <w:color w:val="000000"/>
        </w:rPr>
        <w:t>includes $15,390, $11,555 and $9,582 with affiliated companies for 2008, 2007 and 2006, respectively. “Purchased crude oil and products” includes $6,850, $5,464 and $4,222 with affiliated companies for 2008, 2007 and 2006, respectively.</w:t>
      </w:r>
    </w:p>
    <w:p>
      <w:pPr>
        <w:spacing w:after="0" w:line="110" w:lineRule="exact"/>
        <w:rPr>
          <w:sz w:val="20"/>
          <w:szCs w:val="20"/>
          <w:color w:val="auto"/>
        </w:rPr>
      </w:pPr>
    </w:p>
    <w:p>
      <w:pPr>
        <w:jc w:val="both"/>
        <w:ind w:right="20" w:firstLine="160"/>
        <w:spacing w:after="0" w:line="288" w:lineRule="auto"/>
        <w:rPr>
          <w:sz w:val="20"/>
          <w:szCs w:val="20"/>
          <w:color w:val="auto"/>
        </w:rPr>
      </w:pPr>
      <w:r>
        <w:rPr>
          <w:rFonts w:ascii="Arial" w:cs="Arial" w:eastAsia="Arial" w:hAnsi="Arial"/>
          <w:sz w:val="12"/>
          <w:szCs w:val="12"/>
          <w:color w:val="auto"/>
        </w:rPr>
        <w:t>“Accounts and notes receivable” on the Consolidated Balance Sheet includes $701 and $1,722 due from affiliated companies at December 31, 2008 and 2007, respectively. “Accounts payable” includes $289 and $374 due to affiliated companies at December 31, 2008 and 2007, respectively.</w:t>
      </w:r>
    </w:p>
    <w:p>
      <w:pPr>
        <w:spacing w:after="0" w:line="351" w:lineRule="exact"/>
        <w:rPr>
          <w:sz w:val="20"/>
          <w:szCs w:val="20"/>
          <w:color w:val="auto"/>
        </w:rPr>
      </w:pPr>
    </w:p>
    <w:p>
      <w:pPr>
        <w:sectPr>
          <w:pgSz w:w="11900" w:h="16838" w:orient="portrait"/>
          <w:cols w:equalWidth="0" w:num="2">
            <w:col w:w="5500" w:space="460"/>
            <w:col w:w="5520"/>
          </w:cols>
          <w:pgMar w:left="220" w:top="339" w:right="19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83" w:name="page84"/>
    <w:bookmarkEnd w:id="83"/>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85990" cy="664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3"/>
        <w:spacing w:after="0"/>
        <w:rPr>
          <w:sz w:val="20"/>
          <w:szCs w:val="20"/>
          <w:color w:val="auto"/>
        </w:rPr>
      </w:pPr>
      <w:r>
        <w:rPr>
          <w:rFonts w:ascii="Arial" w:cs="Arial" w:eastAsia="Arial" w:hAnsi="Arial"/>
          <w:sz w:val="10"/>
          <w:szCs w:val="10"/>
          <w:b w:val="1"/>
          <w:bCs w:val="1"/>
          <w:color w:val="0077C0"/>
        </w:rPr>
        <w:t xml:space="preserve">Note 12 </w:t>
      </w:r>
      <w:r>
        <w:rPr>
          <w:rFonts w:ascii="Arial" w:cs="Arial" w:eastAsia="Arial" w:hAnsi="Arial"/>
          <w:sz w:val="8"/>
          <w:szCs w:val="8"/>
          <w:color w:val="000000"/>
        </w:rPr>
        <w:t>Investments and Advances - Continued</w:t>
      </w:r>
    </w:p>
    <w:p>
      <w:pPr>
        <w:spacing w:after="0" w:line="192" w:lineRule="exact"/>
        <w:rPr>
          <w:sz w:val="20"/>
          <w:szCs w:val="20"/>
          <w:color w:val="auto"/>
        </w:rPr>
      </w:pPr>
    </w:p>
    <w:p>
      <w:pPr>
        <w:ind w:left="163"/>
        <w:spacing w:after="0"/>
        <w:rPr>
          <w:sz w:val="20"/>
          <w:szCs w:val="20"/>
          <w:color w:val="auto"/>
        </w:rPr>
      </w:pPr>
      <w:r>
        <w:rPr>
          <w:rFonts w:ascii="Arial" w:cs="Arial" w:eastAsia="Arial" w:hAnsi="Arial"/>
          <w:sz w:val="11"/>
          <w:szCs w:val="11"/>
          <w:color w:val="auto"/>
        </w:rPr>
        <w:t>The following table provides summarized financial information on a 100 percent basis for all equity affiliates as well as Chevron’s total share, which includes Chevron loans to affiliates of $2,820 at December 31, 2008.</w:t>
      </w:r>
    </w:p>
    <w:p>
      <w:pPr>
        <w:spacing w:after="0" w:line="13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0"/>
                <w:szCs w:val="10"/>
                <w:color w:val="auto"/>
              </w:rPr>
              <w:t>Affiliates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0"/>
                <w:szCs w:val="10"/>
                <w:color w:val="auto"/>
              </w:rPr>
              <w:t>Chevron Share</w:t>
            </w:r>
          </w:p>
        </w:tc>
        <w:tc>
          <w:tcPr>
            <w:tcW w:w="0" w:type="dxa"/>
            <w:vAlign w:val="bottom"/>
          </w:tcPr>
          <w:p>
            <w:pPr>
              <w:spacing w:after="0"/>
              <w:rPr>
                <w:sz w:val="1"/>
                <w:szCs w:val="1"/>
                <w:color w:val="auto"/>
              </w:rPr>
            </w:pPr>
          </w:p>
        </w:tc>
      </w:tr>
      <w:tr>
        <w:trPr>
          <w:trHeight w:val="95"/>
        </w:trPr>
        <w:tc>
          <w:tcPr>
            <w:tcW w:w="3000" w:type="dxa"/>
            <w:vAlign w:val="bottom"/>
            <w:gridSpan w:val="2"/>
            <w:vMerge w:val="continue"/>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Borders>
              <w:top w:val="single" w:sz="8" w:color="0077C0"/>
            </w:tcBorders>
          </w:tcPr>
          <w:p>
            <w:pPr>
              <w:spacing w:after="0"/>
              <w:rPr>
                <w:sz w:val="8"/>
                <w:szCs w:val="8"/>
                <w:color w:val="auto"/>
              </w:rPr>
            </w:pPr>
          </w:p>
        </w:tc>
        <w:tc>
          <w:tcPr>
            <w:tcW w:w="780" w:type="dxa"/>
            <w:vAlign w:val="bottom"/>
            <w:tcBorders>
              <w:top w:val="single" w:sz="8" w:color="0077C0"/>
            </w:tcBorders>
          </w:tcPr>
          <w:p>
            <w:pPr>
              <w:jc w:val="right"/>
              <w:ind w:right="309"/>
              <w:spacing w:after="0" w:line="95" w:lineRule="exact"/>
              <w:rPr>
                <w:sz w:val="20"/>
                <w:szCs w:val="20"/>
                <w:color w:val="auto"/>
              </w:rPr>
            </w:pPr>
            <w:r>
              <w:rPr>
                <w:rFonts w:ascii="Arial" w:cs="Arial" w:eastAsia="Arial" w:hAnsi="Arial"/>
                <w:sz w:val="10"/>
                <w:szCs w:val="10"/>
                <w:b w:val="1"/>
                <w:bCs w:val="1"/>
                <w:color w:val="auto"/>
              </w:rPr>
              <w:t>2008</w:t>
            </w:r>
          </w:p>
        </w:tc>
        <w:tc>
          <w:tcPr>
            <w:tcW w:w="520" w:type="dxa"/>
            <w:vAlign w:val="bottom"/>
            <w:tcBorders>
              <w:top w:val="single" w:sz="8" w:color="0077C0"/>
            </w:tcBorders>
          </w:tcPr>
          <w:p>
            <w:pPr>
              <w:spacing w:after="0"/>
              <w:rPr>
                <w:sz w:val="8"/>
                <w:szCs w:val="8"/>
                <w:color w:val="auto"/>
              </w:rPr>
            </w:pPr>
          </w:p>
        </w:tc>
        <w:tc>
          <w:tcPr>
            <w:tcW w:w="740" w:type="dxa"/>
            <w:vAlign w:val="bottom"/>
            <w:tcBorders>
              <w:top w:val="single" w:sz="8" w:color="0077C0"/>
            </w:tcBorders>
          </w:tcPr>
          <w:p>
            <w:pPr>
              <w:jc w:val="right"/>
              <w:ind w:right="289"/>
              <w:spacing w:after="0" w:line="95" w:lineRule="exact"/>
              <w:rPr>
                <w:sz w:val="20"/>
                <w:szCs w:val="20"/>
                <w:color w:val="auto"/>
              </w:rPr>
            </w:pPr>
            <w:r>
              <w:rPr>
                <w:rFonts w:ascii="Arial" w:cs="Arial" w:eastAsia="Arial" w:hAnsi="Arial"/>
                <w:sz w:val="10"/>
                <w:szCs w:val="10"/>
                <w:color w:val="auto"/>
              </w:rPr>
              <w:t>2007</w:t>
            </w:r>
          </w:p>
        </w:tc>
        <w:tc>
          <w:tcPr>
            <w:tcW w:w="4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740" w:type="dxa"/>
            <w:vAlign w:val="bottom"/>
            <w:tcBorders>
              <w:top w:val="single" w:sz="8" w:color="0077C0"/>
            </w:tcBorders>
          </w:tcPr>
          <w:p>
            <w:pPr>
              <w:jc w:val="right"/>
              <w:ind w:right="289"/>
              <w:spacing w:after="0" w:line="95" w:lineRule="exact"/>
              <w:rPr>
                <w:sz w:val="20"/>
                <w:szCs w:val="20"/>
                <w:color w:val="auto"/>
              </w:rPr>
            </w:pPr>
            <w:r>
              <w:rPr>
                <w:rFonts w:ascii="Arial" w:cs="Arial" w:eastAsia="Arial" w:hAnsi="Arial"/>
                <w:sz w:val="10"/>
                <w:szCs w:val="10"/>
                <w:b w:val="1"/>
                <w:bCs w:val="1"/>
                <w:color w:val="auto"/>
              </w:rPr>
              <w:t>2008</w:t>
            </w:r>
          </w:p>
        </w:tc>
        <w:tc>
          <w:tcPr>
            <w:tcW w:w="520" w:type="dxa"/>
            <w:vAlign w:val="bottom"/>
            <w:tcBorders>
              <w:top w:val="single" w:sz="8" w:color="0077C0"/>
            </w:tcBorders>
          </w:tcPr>
          <w:p>
            <w:pPr>
              <w:spacing w:after="0"/>
              <w:rPr>
                <w:sz w:val="8"/>
                <w:szCs w:val="8"/>
                <w:color w:val="auto"/>
              </w:rPr>
            </w:pPr>
          </w:p>
        </w:tc>
        <w:tc>
          <w:tcPr>
            <w:tcW w:w="740" w:type="dxa"/>
            <w:vAlign w:val="bottom"/>
            <w:tcBorders>
              <w:top w:val="single" w:sz="8" w:color="0077C0"/>
            </w:tcBorders>
          </w:tcPr>
          <w:p>
            <w:pPr>
              <w:jc w:val="right"/>
              <w:ind w:right="289"/>
              <w:spacing w:after="0" w:line="95" w:lineRule="exact"/>
              <w:rPr>
                <w:sz w:val="20"/>
                <w:szCs w:val="20"/>
                <w:color w:val="auto"/>
              </w:rPr>
            </w:pPr>
            <w:r>
              <w:rPr>
                <w:rFonts w:ascii="Arial" w:cs="Arial" w:eastAsia="Arial" w:hAnsi="Arial"/>
                <w:sz w:val="10"/>
                <w:szCs w:val="10"/>
                <w:color w:val="auto"/>
              </w:rPr>
              <w:t>2007</w:t>
            </w:r>
          </w:p>
        </w:tc>
        <w:tc>
          <w:tcPr>
            <w:tcW w:w="52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80" w:type="dxa"/>
            <w:vAlign w:val="bottom"/>
            <w:tcBorders>
              <w:top w:val="single" w:sz="8" w:color="0077C0"/>
            </w:tcBorders>
          </w:tcPr>
          <w:p>
            <w:pPr>
              <w:spacing w:after="0" w:line="91" w:lineRule="exact"/>
              <w:rPr>
                <w:sz w:val="20"/>
                <w:szCs w:val="20"/>
                <w:color w:val="auto"/>
              </w:rPr>
            </w:pPr>
            <w:r>
              <w:rPr>
                <w:rFonts w:ascii="Arial" w:cs="Arial" w:eastAsia="Arial" w:hAnsi="Arial"/>
                <w:sz w:val="10"/>
                <w:szCs w:val="10"/>
                <w:color w:val="auto"/>
              </w:rPr>
              <w:t>Total revenues</w:t>
            </w:r>
          </w:p>
        </w:tc>
        <w:tc>
          <w:tcPr>
            <w:tcW w:w="1740" w:type="dxa"/>
            <w:vAlign w:val="bottom"/>
            <w:tcBorders>
              <w:top w:val="single" w:sz="8" w:color="0077C0"/>
            </w:tcBorders>
            <w:gridSpan w:val="2"/>
          </w:tcPr>
          <w:p>
            <w:pPr>
              <w:jc w:val="right"/>
              <w:ind w:right="100"/>
              <w:spacing w:after="0" w:line="91" w:lineRule="exact"/>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112,707</w:t>
            </w:r>
          </w:p>
        </w:tc>
        <w:tc>
          <w:tcPr>
            <w:tcW w:w="52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740" w:type="dxa"/>
            <w:vAlign w:val="bottom"/>
            <w:tcBorders>
              <w:top w:val="single" w:sz="8" w:color="0077C0"/>
            </w:tcBorders>
          </w:tcPr>
          <w:p>
            <w:pPr>
              <w:jc w:val="right"/>
              <w:ind w:right="289"/>
              <w:spacing w:after="0" w:line="91" w:lineRule="exact"/>
              <w:rPr>
                <w:sz w:val="20"/>
                <w:szCs w:val="20"/>
                <w:color w:val="auto"/>
              </w:rPr>
            </w:pPr>
            <w:r>
              <w:rPr>
                <w:rFonts w:ascii="Arial" w:cs="Arial" w:eastAsia="Arial" w:hAnsi="Arial"/>
                <w:sz w:val="10"/>
                <w:szCs w:val="10"/>
                <w:color w:val="auto"/>
              </w:rPr>
              <w:t>94,864</w:t>
            </w:r>
          </w:p>
        </w:tc>
        <w:tc>
          <w:tcPr>
            <w:tcW w:w="480" w:type="dxa"/>
            <w:vAlign w:val="bottom"/>
            <w:tcBorders>
              <w:top w:val="single" w:sz="8" w:color="0077C0"/>
            </w:tcBorders>
          </w:tcPr>
          <w:p>
            <w:pPr>
              <w:jc w:val="right"/>
              <w:ind w:right="29"/>
              <w:spacing w:after="0" w:line="91"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0077C0"/>
              <w:right w:val="single" w:sz="8" w:color="0077C0"/>
            </w:tcBorders>
            <w:gridSpan w:val="2"/>
          </w:tcPr>
          <w:p>
            <w:pPr>
              <w:jc w:val="right"/>
              <w:ind w:right="360"/>
              <w:spacing w:after="0" w:line="91" w:lineRule="exact"/>
              <w:rPr>
                <w:sz w:val="20"/>
                <w:szCs w:val="20"/>
                <w:color w:val="auto"/>
              </w:rPr>
            </w:pPr>
            <w:r>
              <w:rPr>
                <w:rFonts w:ascii="Arial" w:cs="Arial" w:eastAsia="Arial" w:hAnsi="Arial"/>
                <w:sz w:val="10"/>
                <w:szCs w:val="10"/>
                <w:color w:val="auto"/>
              </w:rPr>
              <w:t>73,746</w:t>
            </w:r>
          </w:p>
        </w:tc>
        <w:tc>
          <w:tcPr>
            <w:tcW w:w="400" w:type="dxa"/>
            <w:vAlign w:val="bottom"/>
            <w:tcBorders>
              <w:top w:val="single" w:sz="8" w:color="0077C0"/>
            </w:tcBorders>
            <w:gridSpan w:val="2"/>
          </w:tcPr>
          <w:p>
            <w:pPr>
              <w:jc w:val="right"/>
              <w:ind w:right="120"/>
              <w:spacing w:after="0" w:line="91"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54,055</w:t>
            </w:r>
          </w:p>
        </w:tc>
        <w:tc>
          <w:tcPr>
            <w:tcW w:w="52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740" w:type="dxa"/>
            <w:vAlign w:val="bottom"/>
            <w:tcBorders>
              <w:top w:val="single" w:sz="8" w:color="0077C0"/>
            </w:tcBorders>
          </w:tcPr>
          <w:p>
            <w:pPr>
              <w:jc w:val="right"/>
              <w:ind w:right="289"/>
              <w:spacing w:after="0" w:line="91" w:lineRule="exact"/>
              <w:rPr>
                <w:sz w:val="20"/>
                <w:szCs w:val="20"/>
                <w:color w:val="auto"/>
              </w:rPr>
            </w:pPr>
            <w:r>
              <w:rPr>
                <w:rFonts w:ascii="Arial" w:cs="Arial" w:eastAsia="Arial" w:hAnsi="Arial"/>
                <w:sz w:val="10"/>
                <w:szCs w:val="10"/>
                <w:color w:val="auto"/>
              </w:rPr>
              <w:t>46,579</w:t>
            </w:r>
          </w:p>
        </w:tc>
        <w:tc>
          <w:tcPr>
            <w:tcW w:w="520" w:type="dxa"/>
            <w:vAlign w:val="bottom"/>
            <w:tcBorders>
              <w:top w:val="single" w:sz="8" w:color="0077C0"/>
            </w:tcBorders>
          </w:tcPr>
          <w:p>
            <w:pPr>
              <w:jc w:val="right"/>
              <w:ind w:right="70"/>
              <w:spacing w:after="0" w:line="91" w:lineRule="exact"/>
              <w:rPr>
                <w:sz w:val="20"/>
                <w:szCs w:val="20"/>
                <w:color w:val="auto"/>
              </w:rPr>
            </w:pPr>
            <w:r>
              <w:rPr>
                <w:rFonts w:ascii="Arial" w:cs="Arial" w:eastAsia="Arial" w:hAnsi="Arial"/>
                <w:sz w:val="10"/>
                <w:szCs w:val="10"/>
                <w:color w:val="auto"/>
              </w:rPr>
              <w:t>$</w:t>
            </w:r>
          </w:p>
        </w:tc>
        <w:tc>
          <w:tcPr>
            <w:tcW w:w="3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35,695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000" w:type="dxa"/>
            <w:vAlign w:val="bottom"/>
            <w:gridSpan w:val="2"/>
          </w:tcPr>
          <w:p>
            <w:pPr>
              <w:spacing w:after="0" w:line="106" w:lineRule="exact"/>
              <w:rPr>
                <w:sz w:val="20"/>
                <w:szCs w:val="20"/>
                <w:color w:val="auto"/>
              </w:rPr>
            </w:pPr>
            <w:r>
              <w:rPr>
                <w:rFonts w:ascii="Arial" w:cs="Arial" w:eastAsia="Arial" w:hAnsi="Arial"/>
                <w:sz w:val="10"/>
                <w:szCs w:val="10"/>
                <w:color w:val="auto"/>
              </w:rPr>
              <w:t>Income before income tax expense</w:t>
            </w: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17,500</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12,510</w:t>
            </w:r>
          </w:p>
        </w:tc>
        <w:tc>
          <w:tcPr>
            <w:tcW w:w="480" w:type="dxa"/>
            <w:vAlign w:val="bottom"/>
          </w:tcPr>
          <w:p>
            <w:pPr>
              <w:spacing w:after="0"/>
              <w:rPr>
                <w:sz w:val="9"/>
                <w:szCs w:val="9"/>
                <w:color w:val="auto"/>
              </w:rPr>
            </w:pPr>
          </w:p>
        </w:tc>
        <w:tc>
          <w:tcPr>
            <w:tcW w:w="800" w:type="dxa"/>
            <w:vAlign w:val="bottom"/>
            <w:tcBorders>
              <w:right w:val="single" w:sz="8" w:color="0077C0"/>
            </w:tcBorders>
            <w:gridSpan w:val="2"/>
          </w:tcPr>
          <w:p>
            <w:pPr>
              <w:jc w:val="right"/>
              <w:ind w:right="360"/>
              <w:spacing w:after="0" w:line="106" w:lineRule="exact"/>
              <w:rPr>
                <w:sz w:val="20"/>
                <w:szCs w:val="20"/>
                <w:color w:val="auto"/>
              </w:rPr>
            </w:pPr>
            <w:r>
              <w:rPr>
                <w:rFonts w:ascii="Arial" w:cs="Arial" w:eastAsia="Arial" w:hAnsi="Arial"/>
                <w:sz w:val="10"/>
                <w:szCs w:val="10"/>
                <w:color w:val="auto"/>
              </w:rPr>
              <w:t>10,973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7,532</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5,836</w:t>
            </w:r>
          </w:p>
        </w:tc>
        <w:tc>
          <w:tcPr>
            <w:tcW w:w="52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5,295</w:t>
            </w:r>
          </w:p>
        </w:tc>
        <w:tc>
          <w:tcPr>
            <w:tcW w:w="0" w:type="dxa"/>
            <w:vAlign w:val="bottom"/>
          </w:tcPr>
          <w:p>
            <w:pPr>
              <w:spacing w:after="0"/>
              <w:rPr>
                <w:sz w:val="1"/>
                <w:szCs w:val="1"/>
                <w:color w:val="auto"/>
              </w:rPr>
            </w:pPr>
          </w:p>
        </w:tc>
      </w:tr>
      <w:tr>
        <w:trPr>
          <w:trHeight w:val="129"/>
        </w:trPr>
        <w:tc>
          <w:tcPr>
            <w:tcW w:w="300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309"/>
              <w:spacing w:after="0"/>
              <w:rPr>
                <w:sz w:val="20"/>
                <w:szCs w:val="20"/>
                <w:color w:val="auto"/>
              </w:rPr>
            </w:pPr>
            <w:r>
              <w:rPr>
                <w:rFonts w:ascii="Arial" w:cs="Arial" w:eastAsia="Arial" w:hAnsi="Arial"/>
                <w:sz w:val="10"/>
                <w:szCs w:val="10"/>
                <w:b w:val="1"/>
                <w:bCs w:val="1"/>
                <w:color w:val="auto"/>
              </w:rPr>
              <w:t>12,705</w:t>
            </w:r>
          </w:p>
        </w:tc>
        <w:tc>
          <w:tcPr>
            <w:tcW w:w="520" w:type="dxa"/>
            <w:vAlign w:val="bottom"/>
          </w:tcPr>
          <w:p>
            <w:pPr>
              <w:spacing w:after="0"/>
              <w:rPr>
                <w:sz w:val="11"/>
                <w:szCs w:val="11"/>
                <w:color w:val="auto"/>
              </w:rPr>
            </w:pPr>
          </w:p>
        </w:tc>
        <w:tc>
          <w:tcPr>
            <w:tcW w:w="740" w:type="dxa"/>
            <w:vAlign w:val="bottom"/>
          </w:tcPr>
          <w:p>
            <w:pPr>
              <w:jc w:val="right"/>
              <w:ind w:right="289"/>
              <w:spacing w:after="0"/>
              <w:rPr>
                <w:sz w:val="20"/>
                <w:szCs w:val="20"/>
                <w:color w:val="auto"/>
              </w:rPr>
            </w:pPr>
            <w:r>
              <w:rPr>
                <w:rFonts w:ascii="Arial" w:cs="Arial" w:eastAsia="Arial" w:hAnsi="Arial"/>
                <w:sz w:val="10"/>
                <w:szCs w:val="10"/>
                <w:color w:val="auto"/>
              </w:rPr>
              <w:t>9,743</w:t>
            </w:r>
          </w:p>
        </w:tc>
        <w:tc>
          <w:tcPr>
            <w:tcW w:w="480" w:type="dxa"/>
            <w:vAlign w:val="bottom"/>
          </w:tcPr>
          <w:p>
            <w:pPr>
              <w:spacing w:after="0"/>
              <w:rPr>
                <w:sz w:val="11"/>
                <w:szCs w:val="11"/>
                <w:color w:val="auto"/>
              </w:rPr>
            </w:pPr>
          </w:p>
        </w:tc>
        <w:tc>
          <w:tcPr>
            <w:tcW w:w="800" w:type="dxa"/>
            <w:vAlign w:val="bottom"/>
            <w:tcBorders>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7,905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89"/>
              <w:spacing w:after="0"/>
              <w:rPr>
                <w:sz w:val="20"/>
                <w:szCs w:val="20"/>
                <w:color w:val="auto"/>
              </w:rPr>
            </w:pPr>
            <w:r>
              <w:rPr>
                <w:rFonts w:ascii="Arial" w:cs="Arial" w:eastAsia="Arial" w:hAnsi="Arial"/>
                <w:sz w:val="10"/>
                <w:szCs w:val="10"/>
                <w:b w:val="1"/>
                <w:bCs w:val="1"/>
                <w:color w:val="auto"/>
              </w:rPr>
              <w:t>5,524</w:t>
            </w:r>
          </w:p>
        </w:tc>
        <w:tc>
          <w:tcPr>
            <w:tcW w:w="520" w:type="dxa"/>
            <w:vAlign w:val="bottom"/>
          </w:tcPr>
          <w:p>
            <w:pPr>
              <w:spacing w:after="0"/>
              <w:rPr>
                <w:sz w:val="11"/>
                <w:szCs w:val="11"/>
                <w:color w:val="auto"/>
              </w:rPr>
            </w:pPr>
          </w:p>
        </w:tc>
        <w:tc>
          <w:tcPr>
            <w:tcW w:w="740" w:type="dxa"/>
            <w:vAlign w:val="bottom"/>
          </w:tcPr>
          <w:p>
            <w:pPr>
              <w:jc w:val="right"/>
              <w:ind w:right="289"/>
              <w:spacing w:after="0"/>
              <w:rPr>
                <w:sz w:val="20"/>
                <w:szCs w:val="20"/>
                <w:color w:val="auto"/>
              </w:rPr>
            </w:pPr>
            <w:r>
              <w:rPr>
                <w:rFonts w:ascii="Arial" w:cs="Arial" w:eastAsia="Arial" w:hAnsi="Arial"/>
                <w:sz w:val="10"/>
                <w:szCs w:val="10"/>
                <w:color w:val="auto"/>
              </w:rPr>
              <w:t>4,550</w:t>
            </w:r>
          </w:p>
        </w:tc>
        <w:tc>
          <w:tcPr>
            <w:tcW w:w="520" w:type="dxa"/>
            <w:vAlign w:val="bottom"/>
          </w:tcPr>
          <w:p>
            <w:pPr>
              <w:spacing w:after="0"/>
              <w:rPr>
                <w:sz w:val="11"/>
                <w:szCs w:val="1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0"/>
                <w:szCs w:val="10"/>
                <w:color w:val="auto"/>
              </w:rPr>
              <w:t>4,072</w:t>
            </w:r>
          </w:p>
        </w:tc>
        <w:tc>
          <w:tcPr>
            <w:tcW w:w="0" w:type="dxa"/>
            <w:vAlign w:val="bottom"/>
          </w:tcPr>
          <w:p>
            <w:pPr>
              <w:spacing w:after="0"/>
              <w:rPr>
                <w:sz w:val="1"/>
                <w:szCs w:val="1"/>
                <w:color w:val="auto"/>
              </w:rPr>
            </w:pPr>
          </w:p>
        </w:tc>
      </w:tr>
      <w:tr>
        <w:trPr>
          <w:trHeight w:val="115"/>
        </w:trPr>
        <w:tc>
          <w:tcPr>
            <w:tcW w:w="3000" w:type="dxa"/>
            <w:vAlign w:val="bottom"/>
            <w:tcBorders>
              <w:top w:val="single" w:sz="8" w:color="0077C0"/>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At December 31</w:t>
            </w:r>
          </w:p>
        </w:tc>
        <w:tc>
          <w:tcPr>
            <w:tcW w:w="1600" w:type="dxa"/>
            <w:vAlign w:val="bottom"/>
            <w:tcBorders>
              <w:top w:val="single" w:sz="8" w:color="0077C0"/>
              <w:bottom w:val="single" w:sz="8" w:color="0077C0"/>
            </w:tcBorders>
          </w:tcPr>
          <w:p>
            <w:pPr>
              <w:spacing w:after="0"/>
              <w:rPr>
                <w:sz w:val="10"/>
                <w:szCs w:val="10"/>
                <w:color w:val="auto"/>
              </w:rPr>
            </w:pPr>
          </w:p>
        </w:tc>
        <w:tc>
          <w:tcPr>
            <w:tcW w:w="140" w:type="dxa"/>
            <w:vAlign w:val="bottom"/>
            <w:tcBorders>
              <w:top w:val="single" w:sz="8" w:color="0077C0"/>
              <w:bottom w:val="single" w:sz="8" w:color="0077C0"/>
            </w:tcBorders>
          </w:tcPr>
          <w:p>
            <w:pPr>
              <w:spacing w:after="0"/>
              <w:rPr>
                <w:sz w:val="10"/>
                <w:szCs w:val="10"/>
                <w:color w:val="auto"/>
              </w:rPr>
            </w:pPr>
          </w:p>
        </w:tc>
        <w:tc>
          <w:tcPr>
            <w:tcW w:w="780" w:type="dxa"/>
            <w:vAlign w:val="bottom"/>
            <w:tcBorders>
              <w:top w:val="single" w:sz="8" w:color="0077C0"/>
              <w:bottom w:val="single" w:sz="8" w:color="0077C0"/>
            </w:tcBorders>
          </w:tcPr>
          <w:p>
            <w:pPr>
              <w:spacing w:after="0"/>
              <w:rPr>
                <w:sz w:val="10"/>
                <w:szCs w:val="10"/>
                <w:color w:val="auto"/>
              </w:rPr>
            </w:pPr>
          </w:p>
        </w:tc>
        <w:tc>
          <w:tcPr>
            <w:tcW w:w="520" w:type="dxa"/>
            <w:vAlign w:val="bottom"/>
            <w:tcBorders>
              <w:top w:val="single" w:sz="8" w:color="0077C0"/>
              <w:bottom w:val="single" w:sz="8" w:color="0077C0"/>
            </w:tcBorders>
          </w:tcPr>
          <w:p>
            <w:pPr>
              <w:spacing w:after="0"/>
              <w:rPr>
                <w:sz w:val="10"/>
                <w:szCs w:val="10"/>
                <w:color w:val="auto"/>
              </w:rPr>
            </w:pPr>
          </w:p>
        </w:tc>
        <w:tc>
          <w:tcPr>
            <w:tcW w:w="740" w:type="dxa"/>
            <w:vAlign w:val="bottom"/>
            <w:tcBorders>
              <w:top w:val="single" w:sz="8" w:color="0077C0"/>
              <w:bottom w:val="single" w:sz="8" w:color="0077C0"/>
            </w:tcBorders>
          </w:tcPr>
          <w:p>
            <w:pPr>
              <w:spacing w:after="0"/>
              <w:rPr>
                <w:sz w:val="10"/>
                <w:szCs w:val="10"/>
                <w:color w:val="auto"/>
              </w:rPr>
            </w:pPr>
          </w:p>
        </w:tc>
        <w:tc>
          <w:tcPr>
            <w:tcW w:w="480" w:type="dxa"/>
            <w:vAlign w:val="bottom"/>
            <w:tcBorders>
              <w:top w:val="single" w:sz="8" w:color="0077C0"/>
              <w:bottom w:val="single" w:sz="8" w:color="0077C0"/>
            </w:tcBorders>
          </w:tcPr>
          <w:p>
            <w:pPr>
              <w:spacing w:after="0"/>
              <w:rPr>
                <w:sz w:val="10"/>
                <w:szCs w:val="10"/>
                <w:color w:val="auto"/>
              </w:rPr>
            </w:pPr>
          </w:p>
        </w:tc>
        <w:tc>
          <w:tcPr>
            <w:tcW w:w="440" w:type="dxa"/>
            <w:vAlign w:val="bottom"/>
            <w:tcBorders>
              <w:top w:val="single" w:sz="8" w:color="0077C0"/>
              <w:bottom w:val="single" w:sz="8" w:color="0077C0"/>
            </w:tcBorders>
          </w:tcPr>
          <w:p>
            <w:pPr>
              <w:spacing w:after="0"/>
              <w:rPr>
                <w:sz w:val="10"/>
                <w:szCs w:val="10"/>
                <w:color w:val="auto"/>
              </w:rPr>
            </w:pPr>
          </w:p>
        </w:tc>
        <w:tc>
          <w:tcPr>
            <w:tcW w:w="360" w:type="dxa"/>
            <w:vAlign w:val="bottom"/>
            <w:tcBorders>
              <w:top w:val="single" w:sz="8" w:color="0077C0"/>
              <w:bottom w:val="single" w:sz="8" w:color="0077C0"/>
              <w:right w:val="single" w:sz="8" w:color="0077C0"/>
            </w:tcBorders>
          </w:tcPr>
          <w:p>
            <w:pPr>
              <w:spacing w:after="0"/>
              <w:rPr>
                <w:sz w:val="10"/>
                <w:szCs w:val="10"/>
                <w:color w:val="auto"/>
              </w:rPr>
            </w:pPr>
          </w:p>
        </w:tc>
        <w:tc>
          <w:tcPr>
            <w:tcW w:w="220" w:type="dxa"/>
            <w:vAlign w:val="bottom"/>
            <w:tcBorders>
              <w:top w:val="single" w:sz="8" w:color="0077C0"/>
              <w:bottom w:val="single" w:sz="8" w:color="0077C0"/>
            </w:tcBorders>
          </w:tcPr>
          <w:p>
            <w:pPr>
              <w:spacing w:after="0"/>
              <w:rPr>
                <w:sz w:val="10"/>
                <w:szCs w:val="10"/>
                <w:color w:val="auto"/>
              </w:rPr>
            </w:pPr>
          </w:p>
        </w:tc>
        <w:tc>
          <w:tcPr>
            <w:tcW w:w="180" w:type="dxa"/>
            <w:vAlign w:val="bottom"/>
            <w:tcBorders>
              <w:top w:val="single" w:sz="8" w:color="0077C0"/>
              <w:bottom w:val="single" w:sz="8" w:color="0077C0"/>
            </w:tcBorders>
          </w:tcPr>
          <w:p>
            <w:pPr>
              <w:spacing w:after="0"/>
              <w:rPr>
                <w:sz w:val="10"/>
                <w:szCs w:val="10"/>
                <w:color w:val="auto"/>
              </w:rPr>
            </w:pPr>
          </w:p>
        </w:tc>
        <w:tc>
          <w:tcPr>
            <w:tcW w:w="740" w:type="dxa"/>
            <w:vAlign w:val="bottom"/>
            <w:tcBorders>
              <w:top w:val="single" w:sz="8" w:color="0077C0"/>
              <w:bottom w:val="single" w:sz="8" w:color="0077C0"/>
            </w:tcBorders>
          </w:tcPr>
          <w:p>
            <w:pPr>
              <w:spacing w:after="0"/>
              <w:rPr>
                <w:sz w:val="10"/>
                <w:szCs w:val="10"/>
                <w:color w:val="auto"/>
              </w:rPr>
            </w:pPr>
          </w:p>
        </w:tc>
        <w:tc>
          <w:tcPr>
            <w:tcW w:w="520" w:type="dxa"/>
            <w:vAlign w:val="bottom"/>
            <w:tcBorders>
              <w:top w:val="single" w:sz="8" w:color="0077C0"/>
              <w:bottom w:val="single" w:sz="8" w:color="0077C0"/>
            </w:tcBorders>
          </w:tcPr>
          <w:p>
            <w:pPr>
              <w:spacing w:after="0"/>
              <w:rPr>
                <w:sz w:val="10"/>
                <w:szCs w:val="10"/>
                <w:color w:val="auto"/>
              </w:rPr>
            </w:pPr>
          </w:p>
        </w:tc>
        <w:tc>
          <w:tcPr>
            <w:tcW w:w="740" w:type="dxa"/>
            <w:vAlign w:val="bottom"/>
            <w:tcBorders>
              <w:top w:val="single" w:sz="8" w:color="0077C0"/>
              <w:bottom w:val="single" w:sz="8" w:color="0077C0"/>
            </w:tcBorders>
          </w:tcPr>
          <w:p>
            <w:pPr>
              <w:spacing w:after="0"/>
              <w:rPr>
                <w:sz w:val="10"/>
                <w:szCs w:val="10"/>
                <w:color w:val="auto"/>
              </w:rPr>
            </w:pPr>
          </w:p>
        </w:tc>
        <w:tc>
          <w:tcPr>
            <w:tcW w:w="520" w:type="dxa"/>
            <w:vAlign w:val="bottom"/>
            <w:tcBorders>
              <w:top w:val="single" w:sz="8" w:color="0077C0"/>
              <w:bottom w:val="single" w:sz="8" w:color="0077C0"/>
            </w:tcBorders>
          </w:tcPr>
          <w:p>
            <w:pPr>
              <w:spacing w:after="0"/>
              <w:rPr>
                <w:sz w:val="10"/>
                <w:szCs w:val="10"/>
                <w:color w:val="auto"/>
              </w:rPr>
            </w:pPr>
          </w:p>
        </w:tc>
        <w:tc>
          <w:tcPr>
            <w:tcW w:w="380" w:type="dxa"/>
            <w:vAlign w:val="bottom"/>
            <w:tcBorders>
              <w:top w:val="single" w:sz="8" w:color="0077C0"/>
              <w:bottom w:val="single" w:sz="8" w:color="0077C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000" w:type="dxa"/>
            <w:vAlign w:val="bottom"/>
            <w:gridSpan w:val="2"/>
          </w:tcPr>
          <w:p>
            <w:pPr>
              <w:spacing w:after="0" w:line="91" w:lineRule="exact"/>
              <w:rPr>
                <w:sz w:val="20"/>
                <w:szCs w:val="20"/>
                <w:color w:val="auto"/>
              </w:rPr>
            </w:pPr>
            <w:r>
              <w:rPr>
                <w:rFonts w:ascii="Arial" w:cs="Arial" w:eastAsia="Arial" w:hAnsi="Arial"/>
                <w:sz w:val="10"/>
                <w:szCs w:val="10"/>
                <w:color w:val="auto"/>
              </w:rPr>
              <w:t>Current assets</w:t>
            </w:r>
          </w:p>
        </w:tc>
        <w:tc>
          <w:tcPr>
            <w:tcW w:w="1740" w:type="dxa"/>
            <w:vAlign w:val="bottom"/>
            <w:gridSpan w:val="2"/>
          </w:tcPr>
          <w:p>
            <w:pPr>
              <w:jc w:val="right"/>
              <w:ind w:right="100"/>
              <w:spacing w:after="0" w:line="91" w:lineRule="exact"/>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309"/>
              <w:spacing w:after="0" w:line="91" w:lineRule="exact"/>
              <w:rPr>
                <w:sz w:val="20"/>
                <w:szCs w:val="20"/>
                <w:color w:val="auto"/>
              </w:rPr>
            </w:pPr>
            <w:r>
              <w:rPr>
                <w:rFonts w:ascii="Arial" w:cs="Arial" w:eastAsia="Arial" w:hAnsi="Arial"/>
                <w:sz w:val="10"/>
                <w:szCs w:val="10"/>
                <w:b w:val="1"/>
                <w:bCs w:val="1"/>
                <w:color w:val="auto"/>
              </w:rPr>
              <w:t>25,194</w:t>
            </w:r>
          </w:p>
        </w:tc>
        <w:tc>
          <w:tcPr>
            <w:tcW w:w="520" w:type="dxa"/>
            <w:vAlign w:val="bottom"/>
          </w:tcPr>
          <w:p>
            <w:pPr>
              <w:jc w:val="right"/>
              <w:ind w:right="69"/>
              <w:spacing w:after="0" w:line="91"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289"/>
              <w:spacing w:after="0" w:line="91" w:lineRule="exact"/>
              <w:rPr>
                <w:sz w:val="20"/>
                <w:szCs w:val="20"/>
                <w:color w:val="auto"/>
              </w:rPr>
            </w:pPr>
            <w:r>
              <w:rPr>
                <w:rFonts w:ascii="Arial" w:cs="Arial" w:eastAsia="Arial" w:hAnsi="Arial"/>
                <w:sz w:val="10"/>
                <w:szCs w:val="10"/>
                <w:color w:val="auto"/>
              </w:rPr>
              <w:t>26,360</w:t>
            </w:r>
          </w:p>
        </w:tc>
        <w:tc>
          <w:tcPr>
            <w:tcW w:w="480" w:type="dxa"/>
            <w:vAlign w:val="bottom"/>
          </w:tcPr>
          <w:p>
            <w:pPr>
              <w:jc w:val="right"/>
              <w:ind w:right="29"/>
              <w:spacing w:after="0" w:line="91" w:lineRule="exact"/>
              <w:rPr>
                <w:sz w:val="20"/>
                <w:szCs w:val="20"/>
                <w:color w:val="auto"/>
              </w:rPr>
            </w:pPr>
            <w:r>
              <w:rPr>
                <w:rFonts w:ascii="Arial" w:cs="Arial" w:eastAsia="Arial" w:hAnsi="Arial"/>
                <w:sz w:val="10"/>
                <w:szCs w:val="10"/>
                <w:color w:val="auto"/>
              </w:rPr>
              <w:t>$</w:t>
            </w:r>
          </w:p>
        </w:tc>
        <w:tc>
          <w:tcPr>
            <w:tcW w:w="800" w:type="dxa"/>
            <w:vAlign w:val="bottom"/>
            <w:tcBorders>
              <w:right w:val="single" w:sz="8" w:color="0077C0"/>
            </w:tcBorders>
            <w:gridSpan w:val="2"/>
          </w:tcPr>
          <w:p>
            <w:pPr>
              <w:jc w:val="right"/>
              <w:ind w:right="360"/>
              <w:spacing w:after="0" w:line="91" w:lineRule="exact"/>
              <w:rPr>
                <w:sz w:val="20"/>
                <w:szCs w:val="20"/>
                <w:color w:val="auto"/>
              </w:rPr>
            </w:pPr>
            <w:r>
              <w:rPr>
                <w:rFonts w:ascii="Arial" w:cs="Arial" w:eastAsia="Arial" w:hAnsi="Arial"/>
                <w:sz w:val="10"/>
                <w:szCs w:val="10"/>
                <w:color w:val="auto"/>
              </w:rPr>
              <w:t>19,769</w:t>
            </w:r>
          </w:p>
        </w:tc>
        <w:tc>
          <w:tcPr>
            <w:tcW w:w="400" w:type="dxa"/>
            <w:vAlign w:val="bottom"/>
            <w:gridSpan w:val="2"/>
          </w:tcPr>
          <w:p>
            <w:pPr>
              <w:jc w:val="right"/>
              <w:ind w:right="120"/>
              <w:spacing w:after="0" w:line="91" w:lineRule="exact"/>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89"/>
              <w:spacing w:after="0" w:line="91" w:lineRule="exact"/>
              <w:rPr>
                <w:sz w:val="20"/>
                <w:szCs w:val="20"/>
                <w:color w:val="auto"/>
              </w:rPr>
            </w:pPr>
            <w:r>
              <w:rPr>
                <w:rFonts w:ascii="Arial" w:cs="Arial" w:eastAsia="Arial" w:hAnsi="Arial"/>
                <w:sz w:val="10"/>
                <w:szCs w:val="10"/>
                <w:b w:val="1"/>
                <w:bCs w:val="1"/>
                <w:color w:val="auto"/>
              </w:rPr>
              <w:t>10,804</w:t>
            </w:r>
          </w:p>
        </w:tc>
        <w:tc>
          <w:tcPr>
            <w:tcW w:w="520" w:type="dxa"/>
            <w:vAlign w:val="bottom"/>
          </w:tcPr>
          <w:p>
            <w:pPr>
              <w:jc w:val="right"/>
              <w:ind w:right="69"/>
              <w:spacing w:after="0" w:line="91"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11,914</w:t>
            </w:r>
          </w:p>
        </w:tc>
        <w:tc>
          <w:tcPr>
            <w:tcW w:w="520" w:type="dxa"/>
            <w:vAlign w:val="bottom"/>
          </w:tcPr>
          <w:p>
            <w:pPr>
              <w:jc w:val="right"/>
              <w:ind w:right="70"/>
              <w:spacing w:after="0" w:line="91"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91" w:lineRule="exact"/>
              <w:rPr>
                <w:sz w:val="20"/>
                <w:szCs w:val="20"/>
                <w:color w:val="auto"/>
              </w:rPr>
            </w:pPr>
            <w:r>
              <w:rPr>
                <w:rFonts w:ascii="Arial" w:cs="Arial" w:eastAsia="Arial" w:hAnsi="Arial"/>
                <w:sz w:val="10"/>
                <w:szCs w:val="10"/>
                <w:color w:val="auto"/>
              </w:rPr>
              <w:t>8,944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000" w:type="dxa"/>
            <w:vAlign w:val="bottom"/>
            <w:gridSpan w:val="2"/>
          </w:tcPr>
          <w:p>
            <w:pPr>
              <w:spacing w:after="0" w:line="106" w:lineRule="exact"/>
              <w:rPr>
                <w:sz w:val="20"/>
                <w:szCs w:val="20"/>
                <w:color w:val="auto"/>
              </w:rPr>
            </w:pPr>
            <w:r>
              <w:rPr>
                <w:rFonts w:ascii="Arial" w:cs="Arial" w:eastAsia="Arial" w:hAnsi="Arial"/>
                <w:sz w:val="10"/>
                <w:szCs w:val="10"/>
                <w:color w:val="auto"/>
              </w:rPr>
              <w:t>Noncurrent assets</w:t>
            </w: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51,878</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48,440</w:t>
            </w:r>
          </w:p>
        </w:tc>
        <w:tc>
          <w:tcPr>
            <w:tcW w:w="480" w:type="dxa"/>
            <w:vAlign w:val="bottom"/>
          </w:tcPr>
          <w:p>
            <w:pPr>
              <w:spacing w:after="0"/>
              <w:rPr>
                <w:sz w:val="9"/>
                <w:szCs w:val="9"/>
                <w:color w:val="auto"/>
              </w:rPr>
            </w:pPr>
          </w:p>
        </w:tc>
        <w:tc>
          <w:tcPr>
            <w:tcW w:w="800" w:type="dxa"/>
            <w:vAlign w:val="bottom"/>
            <w:tcBorders>
              <w:right w:val="single" w:sz="8" w:color="0077C0"/>
            </w:tcBorders>
            <w:gridSpan w:val="2"/>
          </w:tcPr>
          <w:p>
            <w:pPr>
              <w:jc w:val="right"/>
              <w:ind w:right="360"/>
              <w:spacing w:after="0" w:line="106" w:lineRule="exact"/>
              <w:rPr>
                <w:sz w:val="20"/>
                <w:szCs w:val="20"/>
                <w:color w:val="auto"/>
              </w:rPr>
            </w:pPr>
            <w:r>
              <w:rPr>
                <w:rFonts w:ascii="Arial" w:cs="Arial" w:eastAsia="Arial" w:hAnsi="Arial"/>
                <w:sz w:val="10"/>
                <w:szCs w:val="10"/>
                <w:color w:val="auto"/>
              </w:rPr>
              <w:t>49,896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20,129</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19,045</w:t>
            </w:r>
          </w:p>
        </w:tc>
        <w:tc>
          <w:tcPr>
            <w:tcW w:w="52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18,575</w:t>
            </w:r>
          </w:p>
        </w:tc>
        <w:tc>
          <w:tcPr>
            <w:tcW w:w="0" w:type="dxa"/>
            <w:vAlign w:val="bottom"/>
          </w:tcPr>
          <w:p>
            <w:pPr>
              <w:spacing w:after="0"/>
              <w:rPr>
                <w:sz w:val="1"/>
                <w:szCs w:val="1"/>
                <w:color w:val="auto"/>
              </w:rPr>
            </w:pPr>
          </w:p>
        </w:tc>
      </w:tr>
      <w:tr>
        <w:trPr>
          <w:trHeight w:val="106"/>
        </w:trPr>
        <w:tc>
          <w:tcPr>
            <w:tcW w:w="3000" w:type="dxa"/>
            <w:vAlign w:val="bottom"/>
            <w:gridSpan w:val="2"/>
          </w:tcPr>
          <w:p>
            <w:pPr>
              <w:spacing w:after="0" w:line="106" w:lineRule="exact"/>
              <w:rPr>
                <w:sz w:val="20"/>
                <w:szCs w:val="20"/>
                <w:color w:val="auto"/>
              </w:rPr>
            </w:pPr>
            <w:r>
              <w:rPr>
                <w:rFonts w:ascii="Arial" w:cs="Arial" w:eastAsia="Arial" w:hAnsi="Arial"/>
                <w:sz w:val="10"/>
                <w:szCs w:val="10"/>
                <w:color w:val="auto"/>
              </w:rPr>
              <w:t>Current liabilities</w:t>
            </w: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17,727</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19,033</w:t>
            </w:r>
          </w:p>
        </w:tc>
        <w:tc>
          <w:tcPr>
            <w:tcW w:w="480" w:type="dxa"/>
            <w:vAlign w:val="bottom"/>
          </w:tcPr>
          <w:p>
            <w:pPr>
              <w:spacing w:after="0"/>
              <w:rPr>
                <w:sz w:val="9"/>
                <w:szCs w:val="9"/>
                <w:color w:val="auto"/>
              </w:rPr>
            </w:pPr>
          </w:p>
        </w:tc>
        <w:tc>
          <w:tcPr>
            <w:tcW w:w="800" w:type="dxa"/>
            <w:vAlign w:val="bottom"/>
            <w:tcBorders>
              <w:right w:val="single" w:sz="8" w:color="0077C0"/>
            </w:tcBorders>
            <w:gridSpan w:val="2"/>
          </w:tcPr>
          <w:p>
            <w:pPr>
              <w:jc w:val="right"/>
              <w:ind w:right="360"/>
              <w:spacing w:after="0" w:line="106" w:lineRule="exact"/>
              <w:rPr>
                <w:sz w:val="20"/>
                <w:szCs w:val="20"/>
                <w:color w:val="auto"/>
              </w:rPr>
            </w:pPr>
            <w:r>
              <w:rPr>
                <w:rFonts w:ascii="Arial" w:cs="Arial" w:eastAsia="Arial" w:hAnsi="Arial"/>
                <w:sz w:val="10"/>
                <w:szCs w:val="10"/>
                <w:color w:val="auto"/>
              </w:rPr>
              <w:t>15,254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7,474</w:t>
            </w:r>
          </w:p>
        </w:tc>
        <w:tc>
          <w:tcPr>
            <w:tcW w:w="520" w:type="dxa"/>
            <w:vAlign w:val="bottom"/>
          </w:tcPr>
          <w:p>
            <w:pPr>
              <w:spacing w:after="0"/>
              <w:rPr>
                <w:sz w:val="9"/>
                <w:szCs w:val="9"/>
                <w:color w:val="auto"/>
              </w:rPr>
            </w:pPr>
          </w:p>
        </w:tc>
        <w:tc>
          <w:tcPr>
            <w:tcW w:w="7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9,009</w:t>
            </w:r>
          </w:p>
        </w:tc>
        <w:tc>
          <w:tcPr>
            <w:tcW w:w="52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6,818</w:t>
            </w:r>
          </w:p>
        </w:tc>
        <w:tc>
          <w:tcPr>
            <w:tcW w:w="0" w:type="dxa"/>
            <w:vAlign w:val="bottom"/>
          </w:tcPr>
          <w:p>
            <w:pPr>
              <w:spacing w:after="0"/>
              <w:rPr>
                <w:sz w:val="1"/>
                <w:szCs w:val="1"/>
                <w:color w:val="auto"/>
              </w:rPr>
            </w:pPr>
          </w:p>
        </w:tc>
      </w:tr>
      <w:tr>
        <w:trPr>
          <w:trHeight w:val="120"/>
        </w:trPr>
        <w:tc>
          <w:tcPr>
            <w:tcW w:w="30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Noncurrent liabilities</w:t>
            </w:r>
          </w:p>
        </w:tc>
        <w:tc>
          <w:tcPr>
            <w:tcW w:w="1600" w:type="dxa"/>
            <w:vAlign w:val="bottom"/>
            <w:tcBorders>
              <w:bottom w:val="single" w:sz="8" w:color="0077C0"/>
            </w:tcBorders>
          </w:tcPr>
          <w:p>
            <w:pPr>
              <w:spacing w:after="0"/>
              <w:rPr>
                <w:sz w:val="10"/>
                <w:szCs w:val="10"/>
                <w:color w:val="auto"/>
              </w:rPr>
            </w:pPr>
          </w:p>
        </w:tc>
        <w:tc>
          <w:tcPr>
            <w:tcW w:w="140" w:type="dxa"/>
            <w:vAlign w:val="bottom"/>
            <w:tcBorders>
              <w:bottom w:val="single" w:sz="8" w:color="0077C0"/>
            </w:tcBorders>
          </w:tcPr>
          <w:p>
            <w:pPr>
              <w:spacing w:after="0"/>
              <w:rPr>
                <w:sz w:val="10"/>
                <w:szCs w:val="10"/>
                <w:color w:val="auto"/>
              </w:rPr>
            </w:pPr>
          </w:p>
        </w:tc>
        <w:tc>
          <w:tcPr>
            <w:tcW w:w="780" w:type="dxa"/>
            <w:vAlign w:val="bottom"/>
            <w:tcBorders>
              <w:bottom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21,049</w:t>
            </w:r>
          </w:p>
        </w:tc>
        <w:tc>
          <w:tcPr>
            <w:tcW w:w="520" w:type="dxa"/>
            <w:vAlign w:val="bottom"/>
            <w:tcBorders>
              <w:bottom w:val="single" w:sz="8" w:color="0077C0"/>
            </w:tcBorders>
          </w:tcPr>
          <w:p>
            <w:pPr>
              <w:spacing w:after="0"/>
              <w:rPr>
                <w:sz w:val="10"/>
                <w:szCs w:val="10"/>
                <w:color w:val="auto"/>
              </w:rPr>
            </w:pPr>
          </w:p>
        </w:tc>
        <w:tc>
          <w:tcPr>
            <w:tcW w:w="74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22,757</w:t>
            </w:r>
          </w:p>
        </w:tc>
        <w:tc>
          <w:tcPr>
            <w:tcW w:w="4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24,059</w:t>
            </w:r>
          </w:p>
        </w:tc>
        <w:tc>
          <w:tcPr>
            <w:tcW w:w="22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74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4,533</w:t>
            </w:r>
          </w:p>
        </w:tc>
        <w:tc>
          <w:tcPr>
            <w:tcW w:w="520" w:type="dxa"/>
            <w:vAlign w:val="bottom"/>
            <w:tcBorders>
              <w:bottom w:val="single" w:sz="8" w:color="0077C0"/>
            </w:tcBorders>
          </w:tcPr>
          <w:p>
            <w:pPr>
              <w:spacing w:after="0"/>
              <w:rPr>
                <w:sz w:val="10"/>
                <w:szCs w:val="10"/>
                <w:color w:val="auto"/>
              </w:rPr>
            </w:pPr>
          </w:p>
        </w:tc>
        <w:tc>
          <w:tcPr>
            <w:tcW w:w="74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3,745</w:t>
            </w:r>
          </w:p>
        </w:tc>
        <w:tc>
          <w:tcPr>
            <w:tcW w:w="5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3,902</w:t>
            </w:r>
          </w:p>
        </w:tc>
        <w:tc>
          <w:tcPr>
            <w:tcW w:w="0" w:type="dxa"/>
            <w:vAlign w:val="bottom"/>
          </w:tcPr>
          <w:p>
            <w:pPr>
              <w:spacing w:after="0"/>
              <w:rPr>
                <w:sz w:val="1"/>
                <w:szCs w:val="1"/>
                <w:color w:val="auto"/>
              </w:rPr>
            </w:pPr>
          </w:p>
        </w:tc>
      </w:tr>
      <w:tr>
        <w:trPr>
          <w:trHeight w:val="105"/>
        </w:trPr>
        <w:tc>
          <w:tcPr>
            <w:tcW w:w="3000" w:type="dxa"/>
            <w:vAlign w:val="bottom"/>
            <w:gridSpan w:val="2"/>
          </w:tcPr>
          <w:p>
            <w:pPr>
              <w:spacing w:after="0" w:line="105" w:lineRule="exact"/>
              <w:rPr>
                <w:sz w:val="20"/>
                <w:szCs w:val="20"/>
                <w:color w:val="auto"/>
              </w:rPr>
            </w:pPr>
            <w:r>
              <w:rPr>
                <w:rFonts w:ascii="Arial" w:cs="Arial" w:eastAsia="Arial" w:hAnsi="Arial"/>
                <w:sz w:val="10"/>
                <w:szCs w:val="10"/>
                <w:color w:val="auto"/>
              </w:rPr>
              <w:t>Net equity</w:t>
            </w:r>
          </w:p>
        </w:tc>
        <w:tc>
          <w:tcPr>
            <w:tcW w:w="17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309"/>
              <w:spacing w:after="0" w:line="105" w:lineRule="exact"/>
              <w:rPr>
                <w:sz w:val="20"/>
                <w:szCs w:val="20"/>
                <w:color w:val="auto"/>
              </w:rPr>
            </w:pPr>
            <w:r>
              <w:rPr>
                <w:rFonts w:ascii="Arial" w:cs="Arial" w:eastAsia="Arial" w:hAnsi="Arial"/>
                <w:sz w:val="10"/>
                <w:szCs w:val="10"/>
                <w:b w:val="1"/>
                <w:bCs w:val="1"/>
                <w:color w:val="auto"/>
              </w:rPr>
              <w:t>38,296</w:t>
            </w:r>
          </w:p>
        </w:tc>
        <w:tc>
          <w:tcPr>
            <w:tcW w:w="52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289"/>
              <w:spacing w:after="0" w:line="105" w:lineRule="exact"/>
              <w:rPr>
                <w:sz w:val="20"/>
                <w:szCs w:val="20"/>
                <w:color w:val="auto"/>
              </w:rPr>
            </w:pPr>
            <w:r>
              <w:rPr>
                <w:rFonts w:ascii="Arial" w:cs="Arial" w:eastAsia="Arial" w:hAnsi="Arial"/>
                <w:sz w:val="10"/>
                <w:szCs w:val="10"/>
                <w:color w:val="auto"/>
              </w:rPr>
              <w:t>33,010</w:t>
            </w:r>
          </w:p>
        </w:tc>
        <w:tc>
          <w:tcPr>
            <w:tcW w:w="480" w:type="dxa"/>
            <w:vAlign w:val="bottom"/>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right w:val="single" w:sz="8" w:color="0077C0"/>
            </w:tcBorders>
            <w:gridSpan w:val="2"/>
          </w:tcPr>
          <w:p>
            <w:pPr>
              <w:jc w:val="right"/>
              <w:ind w:right="360"/>
              <w:spacing w:after="0" w:line="105" w:lineRule="exact"/>
              <w:rPr>
                <w:sz w:val="20"/>
                <w:szCs w:val="20"/>
                <w:color w:val="auto"/>
              </w:rPr>
            </w:pPr>
            <w:r>
              <w:rPr>
                <w:rFonts w:ascii="Arial" w:cs="Arial" w:eastAsia="Arial" w:hAnsi="Arial"/>
                <w:sz w:val="10"/>
                <w:szCs w:val="10"/>
                <w:color w:val="auto"/>
              </w:rPr>
              <w:t>30,352</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89"/>
              <w:spacing w:after="0" w:line="105" w:lineRule="exact"/>
              <w:rPr>
                <w:sz w:val="20"/>
                <w:szCs w:val="20"/>
                <w:color w:val="auto"/>
              </w:rPr>
            </w:pPr>
            <w:r>
              <w:rPr>
                <w:rFonts w:ascii="Arial" w:cs="Arial" w:eastAsia="Arial" w:hAnsi="Arial"/>
                <w:sz w:val="10"/>
                <w:szCs w:val="10"/>
                <w:b w:val="1"/>
                <w:bCs w:val="1"/>
                <w:color w:val="auto"/>
              </w:rPr>
              <w:t>18,926</w:t>
            </w:r>
          </w:p>
        </w:tc>
        <w:tc>
          <w:tcPr>
            <w:tcW w:w="52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289"/>
              <w:spacing w:after="0" w:line="105" w:lineRule="exact"/>
              <w:rPr>
                <w:sz w:val="20"/>
                <w:szCs w:val="20"/>
                <w:color w:val="auto"/>
              </w:rPr>
            </w:pPr>
            <w:r>
              <w:rPr>
                <w:rFonts w:ascii="Arial" w:cs="Arial" w:eastAsia="Arial" w:hAnsi="Arial"/>
                <w:sz w:val="10"/>
                <w:szCs w:val="10"/>
                <w:color w:val="auto"/>
              </w:rPr>
              <w:t>18,205</w:t>
            </w:r>
          </w:p>
        </w:tc>
        <w:tc>
          <w:tcPr>
            <w:tcW w:w="520" w:type="dxa"/>
            <w:vAlign w:val="bottom"/>
          </w:tcPr>
          <w:p>
            <w:pPr>
              <w:jc w:val="right"/>
              <w:ind w:right="70"/>
              <w:spacing w:after="0" w:line="105" w:lineRule="exact"/>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16,799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80" w:type="dxa"/>
            <w:vAlign w:val="bottom"/>
            <w:shd w:val="clear" w:color="auto" w:fill="0077C0"/>
          </w:tcPr>
          <w:p>
            <w:pPr>
              <w:spacing w:after="0"/>
              <w:rPr>
                <w:sz w:val="2"/>
                <w:szCs w:val="2"/>
                <w:color w:val="auto"/>
              </w:rPr>
            </w:pPr>
          </w:p>
        </w:tc>
        <w:tc>
          <w:tcPr>
            <w:tcW w:w="1600" w:type="dxa"/>
            <w:vAlign w:val="bottom"/>
            <w:shd w:val="clear" w:color="auto" w:fill="0077C0"/>
          </w:tcPr>
          <w:p>
            <w:pPr>
              <w:spacing w:after="0"/>
              <w:rPr>
                <w:sz w:val="2"/>
                <w:szCs w:val="2"/>
                <w:color w:val="auto"/>
              </w:rPr>
            </w:pPr>
          </w:p>
        </w:tc>
        <w:tc>
          <w:tcPr>
            <w:tcW w:w="140" w:type="dxa"/>
            <w:vAlign w:val="bottom"/>
            <w:shd w:val="clear" w:color="auto" w:fill="0077C0"/>
          </w:tcPr>
          <w:p>
            <w:pPr>
              <w:spacing w:after="0"/>
              <w:rPr>
                <w:sz w:val="2"/>
                <w:szCs w:val="2"/>
                <w:color w:val="auto"/>
              </w:rPr>
            </w:pPr>
          </w:p>
        </w:tc>
        <w:tc>
          <w:tcPr>
            <w:tcW w:w="78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74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440" w:type="dxa"/>
            <w:vAlign w:val="bottom"/>
            <w:shd w:val="clear" w:color="auto" w:fill="0077C0"/>
          </w:tcPr>
          <w:p>
            <w:pPr>
              <w:spacing w:after="0"/>
              <w:rPr>
                <w:sz w:val="2"/>
                <w:szCs w:val="2"/>
                <w:color w:val="auto"/>
              </w:rPr>
            </w:pPr>
          </w:p>
        </w:tc>
        <w:tc>
          <w:tcPr>
            <w:tcW w:w="360" w:type="dxa"/>
            <w:vAlign w:val="bottom"/>
            <w:tcBorders>
              <w:right w:val="single" w:sz="8" w:color="0077C0"/>
            </w:tcBorders>
            <w:shd w:val="clear" w:color="auto" w:fill="0077C0"/>
          </w:tcPr>
          <w:p>
            <w:pPr>
              <w:spacing w:after="0"/>
              <w:rPr>
                <w:sz w:val="2"/>
                <w:szCs w:val="2"/>
                <w:color w:val="auto"/>
              </w:rPr>
            </w:pPr>
          </w:p>
        </w:tc>
        <w:tc>
          <w:tcPr>
            <w:tcW w:w="220" w:type="dxa"/>
            <w:vAlign w:val="bottom"/>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74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74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Note 13</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2"/>
          <w:szCs w:val="12"/>
          <w:color w:val="auto"/>
        </w:rPr>
        <w:t>Properties, Plant and Equipment</w:t>
      </w:r>
    </w:p>
    <w:p>
      <w:pPr>
        <w:spacing w:after="0" w:line="25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0"/>
                <w:szCs w:val="10"/>
                <w:color w:val="auto"/>
                <w:w w:val="96"/>
              </w:rPr>
              <w:t>At December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0"/>
                <w:szCs w:val="10"/>
                <w:color w:val="auto"/>
                <w:w w:val="89"/>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1660" w:type="dxa"/>
            <w:vAlign w:val="bottom"/>
            <w:tcBorders>
              <w:top w:val="single" w:sz="8" w:color="0077C0"/>
            </w:tcBorders>
            <w:gridSpan w:val="5"/>
          </w:tcPr>
          <w:p>
            <w:pPr>
              <w:ind w:left="280"/>
              <w:spacing w:after="0" w:line="95" w:lineRule="exact"/>
              <w:rPr>
                <w:sz w:val="20"/>
                <w:szCs w:val="20"/>
                <w:color w:val="auto"/>
              </w:rPr>
            </w:pPr>
            <w:r>
              <w:rPr>
                <w:rFonts w:ascii="Arial" w:cs="Arial" w:eastAsia="Arial" w:hAnsi="Arial"/>
                <w:sz w:val="10"/>
                <w:szCs w:val="10"/>
                <w:color w:val="auto"/>
              </w:rPr>
              <w:t>Gross Investment at Cost</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740" w:type="dxa"/>
            <w:vAlign w:val="bottom"/>
            <w:tcBorders>
              <w:top w:val="single" w:sz="8" w:color="0077C0"/>
            </w:tcBorders>
            <w:gridSpan w:val="3"/>
          </w:tcPr>
          <w:p>
            <w:pPr>
              <w:jc w:val="right"/>
              <w:ind w:right="20"/>
              <w:spacing w:after="0" w:line="95" w:lineRule="exact"/>
              <w:rPr>
                <w:sz w:val="20"/>
                <w:szCs w:val="20"/>
                <w:color w:val="auto"/>
              </w:rPr>
            </w:pPr>
            <w:r>
              <w:rPr>
                <w:rFonts w:ascii="Arial" w:cs="Arial" w:eastAsia="Arial" w:hAnsi="Arial"/>
                <w:sz w:val="10"/>
                <w:szCs w:val="10"/>
                <w:color w:val="auto"/>
              </w:rPr>
              <w:t>Net Investment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780" w:type="dxa"/>
            <w:vAlign w:val="bottom"/>
            <w:tcBorders>
              <w:top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w w:val="94"/>
              </w:rPr>
              <w:t>Additions at Cost</w:t>
            </w:r>
            <w:r>
              <w:rPr>
                <w:rFonts w:ascii="Arial" w:cs="Arial" w:eastAsia="Arial" w:hAnsi="Arial"/>
                <w:sz w:val="8"/>
                <w:szCs w:val="8"/>
                <w:color w:val="auto"/>
                <w:w w:val="94"/>
              </w:rPr>
              <w:t>1</w:t>
            </w:r>
          </w:p>
        </w:tc>
        <w:tc>
          <w:tcPr>
            <w:tcW w:w="22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1040" w:type="dxa"/>
            <w:vAlign w:val="bottom"/>
            <w:tcBorders>
              <w:top w:val="single" w:sz="8" w:color="0077C0"/>
            </w:tcBorders>
            <w:gridSpan w:val="3"/>
          </w:tcPr>
          <w:p>
            <w:pPr>
              <w:jc w:val="right"/>
              <w:spacing w:after="0" w:line="95" w:lineRule="exact"/>
              <w:rPr>
                <w:sz w:val="20"/>
                <w:szCs w:val="20"/>
                <w:color w:val="auto"/>
              </w:rPr>
            </w:pPr>
            <w:r>
              <w:rPr>
                <w:rFonts w:ascii="Arial" w:cs="Arial" w:eastAsia="Arial" w:hAnsi="Arial"/>
                <w:sz w:val="10"/>
                <w:szCs w:val="10"/>
                <w:color w:val="auto"/>
                <w:w w:val="99"/>
              </w:rPr>
              <w:t>Depreciation Expense</w:t>
            </w:r>
            <w:r>
              <w:rPr>
                <w:rFonts w:ascii="Arial" w:cs="Arial" w:eastAsia="Arial" w:hAnsi="Arial"/>
                <w:sz w:val="8"/>
                <w:szCs w:val="8"/>
                <w:color w:val="auto"/>
                <w:w w:val="99"/>
              </w:rPr>
              <w:t>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0077C0"/>
            </w:tcBorders>
          </w:tcPr>
          <w:p>
            <w:pPr>
              <w:spacing w:after="0"/>
              <w:rPr>
                <w:sz w:val="8"/>
                <w:szCs w:val="8"/>
                <w:color w:val="auto"/>
              </w:rPr>
            </w:pPr>
          </w:p>
        </w:tc>
        <w:tc>
          <w:tcPr>
            <w:tcW w:w="560" w:type="dxa"/>
            <w:vAlign w:val="bottom"/>
            <w:tcBorders>
              <w:bottom w:val="single" w:sz="8" w:color="0077C0"/>
            </w:tcBorders>
          </w:tcPr>
          <w:p>
            <w:pPr>
              <w:spacing w:after="0"/>
              <w:rPr>
                <w:sz w:val="8"/>
                <w:szCs w:val="8"/>
                <w:color w:val="auto"/>
              </w:rPr>
            </w:pPr>
          </w:p>
        </w:tc>
        <w:tc>
          <w:tcPr>
            <w:tcW w:w="100" w:type="dxa"/>
            <w:vAlign w:val="bottom"/>
            <w:tcBorders>
              <w:top w:val="single" w:sz="8" w:color="0077C0"/>
              <w:bottom w:val="single" w:sz="8" w:color="0077C0"/>
            </w:tcBorders>
          </w:tcPr>
          <w:p>
            <w:pPr>
              <w:spacing w:after="0"/>
              <w:rPr>
                <w:sz w:val="8"/>
                <w:szCs w:val="8"/>
                <w:color w:val="auto"/>
              </w:rPr>
            </w:pPr>
          </w:p>
        </w:tc>
        <w:tc>
          <w:tcPr>
            <w:tcW w:w="580" w:type="dxa"/>
            <w:vAlign w:val="bottom"/>
            <w:tcBorders>
              <w:top w:val="single" w:sz="8" w:color="0077C0"/>
              <w:bottom w:val="single" w:sz="8" w:color="0077C0"/>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top w:val="single" w:sz="8" w:color="0077C0"/>
              <w:bottom w:val="single" w:sz="8" w:color="0077C0"/>
            </w:tcBorders>
          </w:tcPr>
          <w:p>
            <w:pPr>
              <w:spacing w:after="0"/>
              <w:rPr>
                <w:sz w:val="8"/>
                <w:szCs w:val="8"/>
                <w:color w:val="auto"/>
              </w:rPr>
            </w:pPr>
          </w:p>
        </w:tc>
        <w:tc>
          <w:tcPr>
            <w:tcW w:w="580" w:type="dxa"/>
            <w:vAlign w:val="bottom"/>
            <w:tcBorders>
              <w:top w:val="single" w:sz="8" w:color="0077C0"/>
              <w:bottom w:val="single" w:sz="8" w:color="0077C0"/>
            </w:tcBorders>
          </w:tcPr>
          <w:p>
            <w:pPr>
              <w:jc w:val="right"/>
              <w:ind w:right="149"/>
              <w:spacing w:after="0" w:line="95" w:lineRule="exact"/>
              <w:rPr>
                <w:sz w:val="20"/>
                <w:szCs w:val="20"/>
                <w:color w:val="auto"/>
              </w:rPr>
            </w:pPr>
            <w:r>
              <w:rPr>
                <w:rFonts w:ascii="Arial" w:cs="Arial" w:eastAsia="Arial" w:hAnsi="Arial"/>
                <w:sz w:val="10"/>
                <w:szCs w:val="10"/>
                <w:color w:val="auto"/>
              </w:rPr>
              <w:t>2007</w:t>
            </w:r>
          </w:p>
        </w:tc>
        <w:tc>
          <w:tcPr>
            <w:tcW w:w="300" w:type="dxa"/>
            <w:vAlign w:val="bottom"/>
            <w:tcBorders>
              <w:top w:val="single" w:sz="8" w:color="0077C0"/>
              <w:bottom w:val="single" w:sz="8" w:color="0077C0"/>
            </w:tcBorders>
          </w:tcPr>
          <w:p>
            <w:pPr>
              <w:spacing w:after="0"/>
              <w:rPr>
                <w:sz w:val="8"/>
                <w:szCs w:val="8"/>
                <w:color w:val="auto"/>
              </w:rPr>
            </w:pPr>
          </w:p>
        </w:tc>
        <w:tc>
          <w:tcPr>
            <w:tcW w:w="3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20" w:type="dxa"/>
            <w:vAlign w:val="bottom"/>
            <w:tcBorders>
              <w:bottom w:val="single" w:sz="8" w:color="0077C0"/>
            </w:tcBorders>
          </w:tcPr>
          <w:p>
            <w:pPr>
              <w:spacing w:after="0"/>
              <w:rPr>
                <w:sz w:val="8"/>
                <w:szCs w:val="8"/>
                <w:color w:val="auto"/>
              </w:rPr>
            </w:pPr>
          </w:p>
        </w:tc>
        <w:tc>
          <w:tcPr>
            <w:tcW w:w="20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400" w:type="dxa"/>
            <w:vAlign w:val="bottom"/>
            <w:tcBorders>
              <w:top w:val="single" w:sz="8" w:color="0077C0"/>
              <w:bottom w:val="single" w:sz="8" w:color="0077C0"/>
            </w:tcBorders>
          </w:tcPr>
          <w:p>
            <w:pPr>
              <w:jc w:val="right"/>
              <w:ind w:right="29"/>
              <w:spacing w:after="0" w:line="95" w:lineRule="exact"/>
              <w:rPr>
                <w:sz w:val="20"/>
                <w:szCs w:val="20"/>
                <w:color w:val="auto"/>
              </w:rPr>
            </w:pPr>
            <w:r>
              <w:rPr>
                <w:rFonts w:ascii="Arial" w:cs="Arial" w:eastAsia="Arial" w:hAnsi="Arial"/>
                <w:sz w:val="10"/>
                <w:szCs w:val="10"/>
                <w:color w:val="auto"/>
              </w:rPr>
              <w:t>2007</w:t>
            </w:r>
          </w:p>
        </w:tc>
        <w:tc>
          <w:tcPr>
            <w:tcW w:w="400" w:type="dxa"/>
            <w:vAlign w:val="bottom"/>
            <w:tcBorders>
              <w:top w:val="single" w:sz="8" w:color="0077C0"/>
              <w:bottom w:val="single" w:sz="8" w:color="0077C0"/>
            </w:tcBorders>
          </w:tcPr>
          <w:p>
            <w:pPr>
              <w:spacing w:after="0"/>
              <w:rPr>
                <w:sz w:val="8"/>
                <w:szCs w:val="8"/>
                <w:color w:val="auto"/>
              </w:rPr>
            </w:pPr>
          </w:p>
        </w:tc>
        <w:tc>
          <w:tcPr>
            <w:tcW w:w="32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Borders>
              <w:bottom w:val="single" w:sz="8" w:color="0077C0"/>
            </w:tcBorders>
          </w:tcPr>
          <w:p>
            <w:pPr>
              <w:spacing w:after="0"/>
              <w:rPr>
                <w:sz w:val="8"/>
                <w:szCs w:val="8"/>
                <w:color w:val="auto"/>
              </w:rPr>
            </w:pPr>
          </w:p>
        </w:tc>
        <w:tc>
          <w:tcPr>
            <w:tcW w:w="200" w:type="dxa"/>
            <w:vAlign w:val="bottom"/>
            <w:tcBorders>
              <w:bottom w:val="single" w:sz="8" w:color="0077C0"/>
            </w:tcBorders>
          </w:tcPr>
          <w:p>
            <w:pPr>
              <w:spacing w:after="0"/>
              <w:rPr>
                <w:sz w:val="8"/>
                <w:szCs w:val="8"/>
                <w:color w:val="auto"/>
              </w:rPr>
            </w:pPr>
          </w:p>
        </w:tc>
        <w:tc>
          <w:tcPr>
            <w:tcW w:w="180" w:type="dxa"/>
            <w:vAlign w:val="bottom"/>
            <w:tcBorders>
              <w:bottom w:val="single" w:sz="8" w:color="0077C0"/>
            </w:tcBorders>
          </w:tcPr>
          <w:p>
            <w:pPr>
              <w:spacing w:after="0"/>
              <w:rPr>
                <w:sz w:val="8"/>
                <w:szCs w:val="8"/>
                <w:color w:val="auto"/>
              </w:rPr>
            </w:pPr>
          </w:p>
        </w:tc>
        <w:tc>
          <w:tcPr>
            <w:tcW w:w="10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380" w:type="dxa"/>
            <w:vAlign w:val="bottom"/>
            <w:tcBorders>
              <w:top w:val="single" w:sz="8" w:color="0077C0"/>
              <w:bottom w:val="single" w:sz="8" w:color="0077C0"/>
            </w:tcBorders>
          </w:tcPr>
          <w:p>
            <w:pPr>
              <w:jc w:val="right"/>
              <w:ind w:right="9"/>
              <w:spacing w:after="0" w:line="95" w:lineRule="exact"/>
              <w:rPr>
                <w:sz w:val="20"/>
                <w:szCs w:val="20"/>
                <w:color w:val="auto"/>
              </w:rPr>
            </w:pPr>
            <w:r>
              <w:rPr>
                <w:rFonts w:ascii="Arial" w:cs="Arial" w:eastAsia="Arial" w:hAnsi="Arial"/>
                <w:sz w:val="10"/>
                <w:szCs w:val="10"/>
                <w:color w:val="auto"/>
              </w:rPr>
              <w:t>2007</w:t>
            </w:r>
          </w:p>
        </w:tc>
        <w:tc>
          <w:tcPr>
            <w:tcW w:w="44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20" w:type="dxa"/>
            <w:vAlign w:val="bottom"/>
            <w:tcBorders>
              <w:bottom w:val="single" w:sz="8" w:color="0077C0"/>
            </w:tcBorders>
          </w:tcPr>
          <w:p>
            <w:pPr>
              <w:spacing w:after="0"/>
              <w:rPr>
                <w:sz w:val="8"/>
                <w:szCs w:val="8"/>
                <w:color w:val="auto"/>
              </w:rPr>
            </w:pPr>
          </w:p>
        </w:tc>
        <w:tc>
          <w:tcPr>
            <w:tcW w:w="180" w:type="dxa"/>
            <w:vAlign w:val="bottom"/>
            <w:tcBorders>
              <w:bottom w:val="single" w:sz="8" w:color="0077C0"/>
            </w:tcBorders>
          </w:tcPr>
          <w:p>
            <w:pPr>
              <w:spacing w:after="0"/>
              <w:rPr>
                <w:sz w:val="8"/>
                <w:szCs w:val="8"/>
                <w:color w:val="auto"/>
              </w:rPr>
            </w:pPr>
          </w:p>
        </w:tc>
        <w:tc>
          <w:tcPr>
            <w:tcW w:w="10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2007</w:t>
            </w:r>
          </w:p>
        </w:tc>
        <w:tc>
          <w:tcPr>
            <w:tcW w:w="30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340" w:type="dxa"/>
            <w:vAlign w:val="bottom"/>
          </w:tcPr>
          <w:p>
            <w:pPr>
              <w:spacing w:after="0" w:line="92" w:lineRule="exact"/>
              <w:rPr>
                <w:sz w:val="20"/>
                <w:szCs w:val="20"/>
                <w:color w:val="auto"/>
              </w:rPr>
            </w:pPr>
            <w:r>
              <w:rPr>
                <w:rFonts w:ascii="Arial" w:cs="Arial" w:eastAsia="Arial" w:hAnsi="Arial"/>
                <w:sz w:val="10"/>
                <w:szCs w:val="10"/>
                <w:b w:val="1"/>
                <w:bCs w:val="1"/>
                <w:color w:val="auto"/>
              </w:rPr>
              <w:t>Upstream</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5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54,156</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vMerge w:val="restart"/>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w w:val="97"/>
              </w:rPr>
              <w:t>22,294</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right w:val="single" w:sz="8" w:color="0077C0"/>
            </w:tcBorders>
          </w:tcPr>
          <w:p>
            <w:pPr>
              <w:spacing w:after="0"/>
              <w:rPr>
                <w:sz w:val="8"/>
                <w:szCs w:val="8"/>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5,374</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5"/>
              </w:rPr>
              <w:t>2,683</w:t>
            </w: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4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6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50,991</w:t>
            </w:r>
          </w:p>
        </w:tc>
        <w:tc>
          <w:tcPr>
            <w:tcW w:w="300" w:type="dxa"/>
            <w:vAlign w:val="bottom"/>
          </w:tcPr>
          <w:p>
            <w:pPr>
              <w:jc w:val="right"/>
              <w:ind w:right="9"/>
              <w:spacing w:after="0" w:line="104"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46,191</w:t>
            </w:r>
          </w:p>
        </w:tc>
        <w:tc>
          <w:tcPr>
            <w:tcW w:w="22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29"/>
              <w:spacing w:after="0" w:line="104" w:lineRule="exact"/>
              <w:rPr>
                <w:sz w:val="20"/>
                <w:szCs w:val="20"/>
                <w:color w:val="auto"/>
              </w:rPr>
            </w:pPr>
            <w:r>
              <w:rPr>
                <w:rFonts w:ascii="Arial" w:cs="Arial" w:eastAsia="Arial" w:hAnsi="Arial"/>
                <w:sz w:val="10"/>
                <w:szCs w:val="10"/>
                <w:color w:val="auto"/>
                <w:w w:val="97"/>
              </w:rPr>
              <w:t>19,850</w:t>
            </w:r>
          </w:p>
        </w:tc>
        <w:tc>
          <w:tcPr>
            <w:tcW w:w="4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w w:val="97"/>
              </w:rPr>
              <w:t>16,706</w:t>
            </w:r>
          </w:p>
        </w:tc>
        <w:tc>
          <w:tcPr>
            <w:tcW w:w="200" w:type="dxa"/>
            <w:vAlign w:val="bottom"/>
            <w:tcBorders>
              <w:right w:val="single" w:sz="8" w:color="0077C0"/>
            </w:tcBorders>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9"/>
              <w:spacing w:after="0" w:line="104" w:lineRule="exact"/>
              <w:rPr>
                <w:sz w:val="20"/>
                <w:szCs w:val="20"/>
                <w:color w:val="auto"/>
              </w:rPr>
            </w:pPr>
            <w:r>
              <w:rPr>
                <w:rFonts w:ascii="Arial" w:cs="Arial" w:eastAsia="Arial" w:hAnsi="Arial"/>
                <w:sz w:val="10"/>
                <w:szCs w:val="10"/>
                <w:color w:val="auto"/>
              </w:rPr>
              <w:t>5,725</w:t>
            </w: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3,739</w:t>
            </w:r>
          </w:p>
        </w:tc>
        <w:tc>
          <w:tcPr>
            <w:tcW w:w="220" w:type="dxa"/>
            <w:vAlign w:val="bottom"/>
            <w:tcBorders>
              <w:right w:val="single" w:sz="8" w:color="0077C0"/>
            </w:tcBorders>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w w:val="95"/>
              </w:rPr>
              <w:t>2,700</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w w:val="95"/>
              </w:rPr>
              <w:t>2,374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84,282</w:t>
            </w: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71,408</w:t>
            </w:r>
          </w:p>
        </w:tc>
        <w:tc>
          <w:tcPr>
            <w:tcW w:w="30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61,281</w:t>
            </w:r>
          </w:p>
        </w:tc>
        <w:tc>
          <w:tcPr>
            <w:tcW w:w="22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7"/>
              </w:rPr>
              <w:t>51,140</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w w:val="97"/>
              </w:rPr>
              <w:t>43,431</w:t>
            </w:r>
          </w:p>
        </w:tc>
        <w:tc>
          <w:tcPr>
            <w:tcW w:w="4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w w:val="97"/>
              </w:rPr>
              <w:t>37,730</w:t>
            </w:r>
          </w:p>
        </w:tc>
        <w:tc>
          <w:tcPr>
            <w:tcW w:w="20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7"/>
              </w:rPr>
              <w:t>13,177</w:t>
            </w:r>
          </w:p>
        </w:tc>
        <w:tc>
          <w:tcPr>
            <w:tcW w:w="3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w w:val="97"/>
              </w:rPr>
              <w:t>10,512</w:t>
            </w:r>
          </w:p>
        </w:tc>
        <w:tc>
          <w:tcPr>
            <w:tcW w:w="4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7,290</w:t>
            </w:r>
          </w:p>
        </w:tc>
        <w:tc>
          <w:tcPr>
            <w:tcW w:w="22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w w:val="95"/>
              </w:rPr>
              <w:t>5,441</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w w:val="95"/>
              </w:rPr>
              <w:t>4,605</w:t>
            </w:r>
          </w:p>
        </w:tc>
        <w:tc>
          <w:tcPr>
            <w:tcW w:w="30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w w:val="95"/>
              </w:rPr>
              <w:t>3,888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line="105" w:lineRule="exact"/>
              <w:rPr>
                <w:sz w:val="20"/>
                <w:szCs w:val="20"/>
                <w:color w:val="auto"/>
              </w:rPr>
            </w:pPr>
            <w:r>
              <w:rPr>
                <w:rFonts w:ascii="Arial" w:cs="Arial" w:eastAsia="Arial" w:hAnsi="Arial"/>
                <w:sz w:val="10"/>
                <w:szCs w:val="10"/>
                <w:color w:val="auto"/>
              </w:rPr>
              <w:t>Total Upstream</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9"/>
              </w:rPr>
              <w:t>138,438</w:t>
            </w:r>
          </w:p>
        </w:tc>
        <w:tc>
          <w:tcPr>
            <w:tcW w:w="280" w:type="dxa"/>
            <w:vAlign w:val="bottom"/>
          </w:tcPr>
          <w:p>
            <w:pPr>
              <w:spacing w:after="0"/>
              <w:rPr>
                <w:sz w:val="9"/>
                <w:szCs w:val="9"/>
                <w:color w:val="auto"/>
              </w:rPr>
            </w:pPr>
          </w:p>
        </w:tc>
        <w:tc>
          <w:tcPr>
            <w:tcW w:w="580" w:type="dxa"/>
            <w:vAlign w:val="bottom"/>
          </w:tcPr>
          <w:p>
            <w:pPr>
              <w:jc w:val="right"/>
              <w:ind w:right="149"/>
              <w:spacing w:after="0" w:line="105" w:lineRule="exact"/>
              <w:rPr>
                <w:sz w:val="20"/>
                <w:szCs w:val="20"/>
                <w:color w:val="auto"/>
              </w:rPr>
            </w:pPr>
            <w:r>
              <w:rPr>
                <w:rFonts w:ascii="Arial" w:cs="Arial" w:eastAsia="Arial" w:hAnsi="Arial"/>
                <w:sz w:val="10"/>
                <w:szCs w:val="10"/>
                <w:color w:val="auto"/>
                <w:w w:val="99"/>
              </w:rPr>
              <w:t>122,399</w:t>
            </w:r>
          </w:p>
        </w:tc>
        <w:tc>
          <w:tcPr>
            <w:tcW w:w="300" w:type="dxa"/>
            <w:vAlign w:val="bottom"/>
          </w:tcPr>
          <w:p>
            <w:pPr>
              <w:spacing w:after="0"/>
              <w:rPr>
                <w:sz w:val="9"/>
                <w:szCs w:val="9"/>
                <w:color w:val="auto"/>
              </w:rPr>
            </w:pP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w w:val="93"/>
              </w:rPr>
              <w:t>107,472</w:t>
            </w:r>
          </w:p>
        </w:tc>
        <w:tc>
          <w:tcPr>
            <w:tcW w:w="22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73,434</w:t>
            </w:r>
          </w:p>
        </w:tc>
        <w:tc>
          <w:tcPr>
            <w:tcW w:w="300" w:type="dxa"/>
            <w:vAlign w:val="bottom"/>
          </w:tcPr>
          <w:p>
            <w:pPr>
              <w:spacing w:after="0"/>
              <w:rPr>
                <w:sz w:val="9"/>
                <w:szCs w:val="9"/>
                <w:color w:val="auto"/>
              </w:rPr>
            </w:pPr>
          </w:p>
        </w:tc>
        <w:tc>
          <w:tcPr>
            <w:tcW w:w="400" w:type="dxa"/>
            <w:vAlign w:val="bottom"/>
          </w:tcPr>
          <w:p>
            <w:pPr>
              <w:jc w:val="right"/>
              <w:ind w:right="29"/>
              <w:spacing w:after="0" w:line="105" w:lineRule="exact"/>
              <w:rPr>
                <w:sz w:val="20"/>
                <w:szCs w:val="20"/>
                <w:color w:val="auto"/>
              </w:rPr>
            </w:pPr>
            <w:r>
              <w:rPr>
                <w:rFonts w:ascii="Arial" w:cs="Arial" w:eastAsia="Arial" w:hAnsi="Arial"/>
                <w:sz w:val="10"/>
                <w:szCs w:val="10"/>
                <w:color w:val="auto"/>
                <w:w w:val="97"/>
              </w:rPr>
              <w:t>63,281</w:t>
            </w:r>
          </w:p>
        </w:tc>
        <w:tc>
          <w:tcPr>
            <w:tcW w:w="400" w:type="dxa"/>
            <w:vAlign w:val="bottom"/>
          </w:tcPr>
          <w:p>
            <w:pPr>
              <w:spacing w:after="0"/>
              <w:rPr>
                <w:sz w:val="9"/>
                <w:szCs w:val="9"/>
                <w:color w:val="auto"/>
              </w:rPr>
            </w:pPr>
          </w:p>
        </w:tc>
        <w:tc>
          <w:tcPr>
            <w:tcW w:w="34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w w:val="97"/>
              </w:rPr>
              <w:t>54,436</w:t>
            </w:r>
          </w:p>
        </w:tc>
        <w:tc>
          <w:tcPr>
            <w:tcW w:w="20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18,551</w:t>
            </w:r>
          </w:p>
        </w:tc>
        <w:tc>
          <w:tcPr>
            <w:tcW w:w="300" w:type="dxa"/>
            <w:vAlign w:val="bottom"/>
          </w:tcPr>
          <w:p>
            <w:pPr>
              <w:spacing w:after="0"/>
              <w:rPr>
                <w:sz w:val="9"/>
                <w:szCs w:val="9"/>
                <w:color w:val="auto"/>
              </w:rPr>
            </w:pPr>
          </w:p>
        </w:tc>
        <w:tc>
          <w:tcPr>
            <w:tcW w:w="380" w:type="dxa"/>
            <w:vAlign w:val="bottom"/>
          </w:tcPr>
          <w:p>
            <w:pPr>
              <w:jc w:val="right"/>
              <w:ind w:right="9"/>
              <w:spacing w:after="0" w:line="105" w:lineRule="exact"/>
              <w:rPr>
                <w:sz w:val="20"/>
                <w:szCs w:val="20"/>
                <w:color w:val="auto"/>
              </w:rPr>
            </w:pPr>
            <w:r>
              <w:rPr>
                <w:rFonts w:ascii="Arial" w:cs="Arial" w:eastAsia="Arial" w:hAnsi="Arial"/>
                <w:sz w:val="10"/>
                <w:szCs w:val="10"/>
                <w:color w:val="auto"/>
                <w:w w:val="97"/>
              </w:rPr>
              <w:t>16,237</w:t>
            </w:r>
          </w:p>
        </w:tc>
        <w:tc>
          <w:tcPr>
            <w:tcW w:w="4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11,029</w:t>
            </w:r>
          </w:p>
        </w:tc>
        <w:tc>
          <w:tcPr>
            <w:tcW w:w="22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8,124</w:t>
            </w:r>
          </w:p>
        </w:tc>
        <w:tc>
          <w:tcPr>
            <w:tcW w:w="300" w:type="dxa"/>
            <w:vAlign w:val="bottom"/>
          </w:tcPr>
          <w:p>
            <w:pPr>
              <w:spacing w:after="0"/>
              <w:rPr>
                <w:sz w:val="9"/>
                <w:szCs w:val="9"/>
                <w:color w:val="auto"/>
              </w:rPr>
            </w:pPr>
          </w:p>
        </w:tc>
        <w:tc>
          <w:tcPr>
            <w:tcW w:w="480" w:type="dxa"/>
            <w:vAlign w:val="bottom"/>
          </w:tcPr>
          <w:p>
            <w:pPr>
              <w:jc w:val="right"/>
              <w:ind w:right="169"/>
              <w:spacing w:after="0" w:line="105" w:lineRule="exact"/>
              <w:rPr>
                <w:sz w:val="20"/>
                <w:szCs w:val="20"/>
                <w:color w:val="auto"/>
              </w:rPr>
            </w:pPr>
            <w:r>
              <w:rPr>
                <w:rFonts w:ascii="Arial" w:cs="Arial" w:eastAsia="Arial" w:hAnsi="Arial"/>
                <w:sz w:val="10"/>
                <w:szCs w:val="10"/>
                <w:color w:val="auto"/>
                <w:w w:val="95"/>
              </w:rPr>
              <w:t>7,305</w:t>
            </w:r>
          </w:p>
        </w:tc>
        <w:tc>
          <w:tcPr>
            <w:tcW w:w="300" w:type="dxa"/>
            <w:vAlign w:val="bottom"/>
          </w:tcPr>
          <w:p>
            <w:pPr>
              <w:spacing w:after="0"/>
              <w:rPr>
                <w:sz w:val="9"/>
                <w:szCs w:val="9"/>
                <w:color w:val="auto"/>
              </w:rPr>
            </w:pPr>
          </w:p>
        </w:tc>
        <w:tc>
          <w:tcPr>
            <w:tcW w:w="28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w w:val="95"/>
              </w:rPr>
              <w:t>6,262</w:t>
            </w:r>
          </w:p>
        </w:tc>
        <w:tc>
          <w:tcPr>
            <w:tcW w:w="0" w:type="dxa"/>
            <w:vAlign w:val="bottom"/>
          </w:tcPr>
          <w:p>
            <w:pPr>
              <w:spacing w:after="0"/>
              <w:rPr>
                <w:sz w:val="1"/>
                <w:szCs w:val="1"/>
                <w:color w:val="auto"/>
              </w:rPr>
            </w:pPr>
          </w:p>
        </w:tc>
      </w:tr>
      <w:tr>
        <w:trPr>
          <w:trHeight w:val="92"/>
        </w:trPr>
        <w:tc>
          <w:tcPr>
            <w:tcW w:w="1360" w:type="dxa"/>
            <w:vAlign w:val="bottom"/>
            <w:tcBorders>
              <w:top w:val="single" w:sz="8" w:color="0077C0"/>
            </w:tcBorders>
            <w:gridSpan w:val="2"/>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56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17,394</w:t>
            </w:r>
          </w:p>
        </w:tc>
        <w:tc>
          <w:tcPr>
            <w:tcW w:w="28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220" w:type="dxa"/>
            <w:vAlign w:val="bottom"/>
            <w:tcBorders>
              <w:top w:val="single" w:sz="8" w:color="0077C0"/>
              <w:right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8,977</w:t>
            </w:r>
          </w:p>
        </w:tc>
        <w:tc>
          <w:tcPr>
            <w:tcW w:w="3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20" w:type="dxa"/>
            <w:vAlign w:val="bottom"/>
            <w:tcBorders>
              <w:top w:val="single" w:sz="8" w:color="0077C0"/>
            </w:tcBorders>
          </w:tcPr>
          <w:p>
            <w:pPr>
              <w:spacing w:after="0"/>
              <w:rPr>
                <w:sz w:val="8"/>
                <w:szCs w:val="8"/>
                <w:color w:val="auto"/>
              </w:rPr>
            </w:pPr>
          </w:p>
        </w:tc>
        <w:tc>
          <w:tcPr>
            <w:tcW w:w="200" w:type="dxa"/>
            <w:vAlign w:val="bottom"/>
            <w:tcBorders>
              <w:top w:val="single" w:sz="8" w:color="0077C0"/>
              <w:right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2,032</w:t>
            </w:r>
          </w:p>
        </w:tc>
        <w:tc>
          <w:tcPr>
            <w:tcW w:w="30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220" w:type="dxa"/>
            <w:vAlign w:val="bottom"/>
            <w:tcBorders>
              <w:top w:val="single" w:sz="8" w:color="0077C0"/>
              <w:right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629</w:t>
            </w:r>
          </w:p>
        </w:tc>
        <w:tc>
          <w:tcPr>
            <w:tcW w:w="3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4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15,807</w:t>
            </w:r>
          </w:p>
        </w:tc>
        <w:tc>
          <w:tcPr>
            <w:tcW w:w="300" w:type="dxa"/>
            <w:vAlign w:val="bottom"/>
          </w:tcPr>
          <w:p>
            <w:pPr>
              <w:spacing w:after="0"/>
              <w:rPr>
                <w:sz w:val="9"/>
                <w:szCs w:val="9"/>
                <w:color w:val="auto"/>
              </w:rPr>
            </w:pP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14,553</w:t>
            </w:r>
          </w:p>
        </w:tc>
        <w:tc>
          <w:tcPr>
            <w:tcW w:w="22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jc w:val="right"/>
              <w:ind w:right="29"/>
              <w:spacing w:after="0" w:line="104" w:lineRule="exact"/>
              <w:rPr>
                <w:sz w:val="20"/>
                <w:szCs w:val="20"/>
                <w:color w:val="auto"/>
              </w:rPr>
            </w:pPr>
            <w:r>
              <w:rPr>
                <w:rFonts w:ascii="Arial" w:cs="Arial" w:eastAsia="Arial" w:hAnsi="Arial"/>
                <w:sz w:val="10"/>
                <w:szCs w:val="10"/>
                <w:color w:val="auto"/>
              </w:rPr>
              <w:t>7,685</w:t>
            </w:r>
          </w:p>
        </w:tc>
        <w:tc>
          <w:tcPr>
            <w:tcW w:w="400" w:type="dxa"/>
            <w:vAlign w:val="bottom"/>
          </w:tcPr>
          <w:p>
            <w:pPr>
              <w:spacing w:after="0"/>
              <w:rPr>
                <w:sz w:val="9"/>
                <w:szCs w:val="9"/>
                <w:color w:val="auto"/>
              </w:rPr>
            </w:pPr>
          </w:p>
        </w:tc>
        <w:tc>
          <w:tcPr>
            <w:tcW w:w="3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6,741</w:t>
            </w:r>
          </w:p>
        </w:tc>
        <w:tc>
          <w:tcPr>
            <w:tcW w:w="20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jc w:val="right"/>
              <w:ind w:right="9"/>
              <w:spacing w:after="0" w:line="104" w:lineRule="exact"/>
              <w:rPr>
                <w:sz w:val="20"/>
                <w:szCs w:val="20"/>
                <w:color w:val="auto"/>
              </w:rPr>
            </w:pPr>
            <w:r>
              <w:rPr>
                <w:rFonts w:ascii="Arial" w:cs="Arial" w:eastAsia="Arial" w:hAnsi="Arial"/>
                <w:sz w:val="10"/>
                <w:szCs w:val="10"/>
                <w:color w:val="auto"/>
              </w:rPr>
              <w:t>1,514</w:t>
            </w:r>
          </w:p>
        </w:tc>
        <w:tc>
          <w:tcPr>
            <w:tcW w:w="44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1,109</w:t>
            </w:r>
          </w:p>
        </w:tc>
        <w:tc>
          <w:tcPr>
            <w:tcW w:w="22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509</w:t>
            </w:r>
          </w:p>
        </w:tc>
        <w:tc>
          <w:tcPr>
            <w:tcW w:w="30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474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11,587</w:t>
            </w: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10,471</w:t>
            </w:r>
          </w:p>
        </w:tc>
        <w:tc>
          <w:tcPr>
            <w:tcW w:w="30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11,036</w:t>
            </w:r>
          </w:p>
        </w:tc>
        <w:tc>
          <w:tcPr>
            <w:tcW w:w="22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6,001</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4,690</w:t>
            </w:r>
          </w:p>
        </w:tc>
        <w:tc>
          <w:tcPr>
            <w:tcW w:w="4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5,233</w:t>
            </w:r>
          </w:p>
        </w:tc>
        <w:tc>
          <w:tcPr>
            <w:tcW w:w="20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2,285</w:t>
            </w:r>
          </w:p>
        </w:tc>
        <w:tc>
          <w:tcPr>
            <w:tcW w:w="3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519</w:t>
            </w:r>
          </w:p>
        </w:tc>
        <w:tc>
          <w:tcPr>
            <w:tcW w:w="4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532</w:t>
            </w:r>
          </w:p>
        </w:tc>
        <w:tc>
          <w:tcPr>
            <w:tcW w:w="22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469</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633</w:t>
            </w:r>
          </w:p>
        </w:tc>
        <w:tc>
          <w:tcPr>
            <w:tcW w:w="30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Downstream</w:t>
            </w:r>
          </w:p>
        </w:tc>
        <w:tc>
          <w:tcPr>
            <w:tcW w:w="56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28,981</w:t>
            </w:r>
          </w:p>
        </w:tc>
        <w:tc>
          <w:tcPr>
            <w:tcW w:w="28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26,278</w:t>
            </w:r>
          </w:p>
        </w:tc>
        <w:tc>
          <w:tcPr>
            <w:tcW w:w="30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25,589</w:t>
            </w:r>
          </w:p>
        </w:tc>
        <w:tc>
          <w:tcPr>
            <w:tcW w:w="22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14,978</w:t>
            </w:r>
          </w:p>
        </w:tc>
        <w:tc>
          <w:tcPr>
            <w:tcW w:w="3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w w:val="97"/>
              </w:rPr>
              <w:t>12,375</w:t>
            </w:r>
          </w:p>
        </w:tc>
        <w:tc>
          <w:tcPr>
            <w:tcW w:w="4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11,974</w:t>
            </w:r>
          </w:p>
        </w:tc>
        <w:tc>
          <w:tcPr>
            <w:tcW w:w="20" w:type="dxa"/>
            <w:vAlign w:val="bottom"/>
            <w:tcBorders>
              <w:bottom w:val="single" w:sz="8" w:color="0077C0"/>
            </w:tcBorders>
          </w:tcPr>
          <w:p>
            <w:pPr>
              <w:spacing w:after="0"/>
              <w:rPr>
                <w:sz w:val="9"/>
                <w:szCs w:val="9"/>
                <w:color w:val="auto"/>
              </w:rPr>
            </w:pPr>
          </w:p>
        </w:tc>
        <w:tc>
          <w:tcPr>
            <w:tcW w:w="20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4,317</w:t>
            </w:r>
          </w:p>
        </w:tc>
        <w:tc>
          <w:tcPr>
            <w:tcW w:w="3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2,033</w:t>
            </w:r>
          </w:p>
        </w:tc>
        <w:tc>
          <w:tcPr>
            <w:tcW w:w="4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1,641</w:t>
            </w:r>
          </w:p>
        </w:tc>
        <w:tc>
          <w:tcPr>
            <w:tcW w:w="22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1,098</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1,142</w:t>
            </w:r>
          </w:p>
        </w:tc>
        <w:tc>
          <w:tcPr>
            <w:tcW w:w="30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1,025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36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Chemicals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725</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338</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50</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19</w:t>
            </w: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4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678</w:t>
            </w:r>
          </w:p>
        </w:tc>
        <w:tc>
          <w:tcPr>
            <w:tcW w:w="300" w:type="dxa"/>
            <w:vAlign w:val="bottom"/>
          </w:tcPr>
          <w:p>
            <w:pPr>
              <w:spacing w:after="0"/>
              <w:rPr>
                <w:sz w:val="9"/>
                <w:szCs w:val="9"/>
                <w:color w:val="auto"/>
              </w:rPr>
            </w:pP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645</w:t>
            </w:r>
          </w:p>
        </w:tc>
        <w:tc>
          <w:tcPr>
            <w:tcW w:w="22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jc w:val="right"/>
              <w:ind w:right="29"/>
              <w:spacing w:after="0" w:line="104" w:lineRule="exact"/>
              <w:rPr>
                <w:sz w:val="20"/>
                <w:szCs w:val="20"/>
                <w:color w:val="auto"/>
              </w:rPr>
            </w:pPr>
            <w:r>
              <w:rPr>
                <w:rFonts w:ascii="Arial" w:cs="Arial" w:eastAsia="Arial" w:hAnsi="Arial"/>
                <w:sz w:val="10"/>
                <w:szCs w:val="10"/>
                <w:color w:val="auto"/>
              </w:rPr>
              <w:t>308</w:t>
            </w:r>
          </w:p>
        </w:tc>
        <w:tc>
          <w:tcPr>
            <w:tcW w:w="400" w:type="dxa"/>
            <w:vAlign w:val="bottom"/>
          </w:tcPr>
          <w:p>
            <w:pPr>
              <w:spacing w:after="0"/>
              <w:rPr>
                <w:sz w:val="9"/>
                <w:szCs w:val="9"/>
                <w:color w:val="auto"/>
              </w:rPr>
            </w:pPr>
          </w:p>
        </w:tc>
        <w:tc>
          <w:tcPr>
            <w:tcW w:w="320" w:type="dxa"/>
            <w:vAlign w:val="bottom"/>
          </w:tcPr>
          <w:p>
            <w:pPr>
              <w:jc w:val="right"/>
              <w:spacing w:after="0" w:line="104" w:lineRule="exact"/>
              <w:rPr>
                <w:sz w:val="20"/>
                <w:szCs w:val="20"/>
                <w:color w:val="auto"/>
              </w:rPr>
            </w:pPr>
            <w:r>
              <w:rPr>
                <w:rFonts w:ascii="Arial" w:cs="Arial" w:eastAsia="Arial" w:hAnsi="Arial"/>
                <w:sz w:val="10"/>
                <w:szCs w:val="10"/>
                <w:color w:val="auto"/>
              </w:rPr>
              <w:t>289</w:t>
            </w:r>
          </w:p>
        </w:tc>
        <w:tc>
          <w:tcPr>
            <w:tcW w:w="20" w:type="dxa"/>
            <w:vAlign w:val="bottom"/>
          </w:tcPr>
          <w:p>
            <w:pPr>
              <w:spacing w:after="0"/>
              <w:rPr>
                <w:sz w:val="9"/>
                <w:szCs w:val="9"/>
                <w:color w:val="auto"/>
              </w:rPr>
            </w:pPr>
          </w:p>
        </w:tc>
        <w:tc>
          <w:tcPr>
            <w:tcW w:w="20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jc w:val="right"/>
              <w:ind w:right="9"/>
              <w:spacing w:after="0" w:line="104" w:lineRule="exact"/>
              <w:rPr>
                <w:sz w:val="20"/>
                <w:szCs w:val="20"/>
                <w:color w:val="auto"/>
              </w:rPr>
            </w:pPr>
            <w:r>
              <w:rPr>
                <w:rFonts w:ascii="Arial" w:cs="Arial" w:eastAsia="Arial" w:hAnsi="Arial"/>
                <w:sz w:val="10"/>
                <w:szCs w:val="10"/>
                <w:color w:val="auto"/>
              </w:rPr>
              <w:t>40</w:t>
            </w:r>
          </w:p>
        </w:tc>
        <w:tc>
          <w:tcPr>
            <w:tcW w:w="44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25</w:t>
            </w:r>
          </w:p>
        </w:tc>
        <w:tc>
          <w:tcPr>
            <w:tcW w:w="22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19</w:t>
            </w:r>
          </w:p>
        </w:tc>
        <w:tc>
          <w:tcPr>
            <w:tcW w:w="30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828</w:t>
            </w: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815</w:t>
            </w:r>
          </w:p>
        </w:tc>
        <w:tc>
          <w:tcPr>
            <w:tcW w:w="30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771</w:t>
            </w:r>
          </w:p>
        </w:tc>
        <w:tc>
          <w:tcPr>
            <w:tcW w:w="22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496</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453</w:t>
            </w:r>
          </w:p>
        </w:tc>
        <w:tc>
          <w:tcPr>
            <w:tcW w:w="4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431</w:t>
            </w:r>
          </w:p>
        </w:tc>
        <w:tc>
          <w:tcPr>
            <w:tcW w:w="2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72</w:t>
            </w:r>
          </w:p>
        </w:tc>
        <w:tc>
          <w:tcPr>
            <w:tcW w:w="3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53</w:t>
            </w:r>
          </w:p>
        </w:tc>
        <w:tc>
          <w:tcPr>
            <w:tcW w:w="4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33</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26</w:t>
            </w:r>
          </w:p>
        </w:tc>
        <w:tc>
          <w:tcPr>
            <w:tcW w:w="30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Chemicals</w:t>
            </w:r>
          </w:p>
        </w:tc>
        <w:tc>
          <w:tcPr>
            <w:tcW w:w="56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1,553</w:t>
            </w:r>
          </w:p>
        </w:tc>
        <w:tc>
          <w:tcPr>
            <w:tcW w:w="28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1,493</w:t>
            </w:r>
          </w:p>
        </w:tc>
        <w:tc>
          <w:tcPr>
            <w:tcW w:w="30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1,416</w:t>
            </w:r>
          </w:p>
        </w:tc>
        <w:tc>
          <w:tcPr>
            <w:tcW w:w="22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834</w:t>
            </w:r>
          </w:p>
        </w:tc>
        <w:tc>
          <w:tcPr>
            <w:tcW w:w="3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761</w:t>
            </w:r>
          </w:p>
        </w:tc>
        <w:tc>
          <w:tcPr>
            <w:tcW w:w="4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720</w:t>
            </w:r>
          </w:p>
        </w:tc>
        <w:tc>
          <w:tcPr>
            <w:tcW w:w="20" w:type="dxa"/>
            <w:vAlign w:val="bottom"/>
            <w:tcBorders>
              <w:bottom w:val="single" w:sz="8" w:color="0077C0"/>
            </w:tcBorders>
          </w:tcPr>
          <w:p>
            <w:pPr>
              <w:spacing w:after="0"/>
              <w:rPr>
                <w:sz w:val="9"/>
                <w:szCs w:val="9"/>
                <w:color w:val="auto"/>
              </w:rPr>
            </w:pPr>
          </w:p>
        </w:tc>
        <w:tc>
          <w:tcPr>
            <w:tcW w:w="20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122</w:t>
            </w:r>
          </w:p>
        </w:tc>
        <w:tc>
          <w:tcPr>
            <w:tcW w:w="3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93</w:t>
            </w:r>
          </w:p>
        </w:tc>
        <w:tc>
          <w:tcPr>
            <w:tcW w:w="4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79</w:t>
            </w:r>
          </w:p>
        </w:tc>
        <w:tc>
          <w:tcPr>
            <w:tcW w:w="22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52</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45</w:t>
            </w:r>
          </w:p>
        </w:tc>
        <w:tc>
          <w:tcPr>
            <w:tcW w:w="30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36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All Other</w:t>
            </w:r>
            <w:r>
              <w:rPr>
                <w:rFonts w:ascii="Arial" w:cs="Arial" w:eastAsia="Arial" w:hAnsi="Arial"/>
                <w:sz w:val="8"/>
                <w:szCs w:val="8"/>
                <w:b w:val="1"/>
                <w:bCs w:val="1"/>
                <w:color w:val="auto"/>
              </w:rPr>
              <w:t>3</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4,310</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2,523</w:t>
            </w: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598</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250</w:t>
            </w: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340" w:type="dxa"/>
            <w:vAlign w:val="bottom"/>
          </w:tcPr>
          <w:p>
            <w:pPr>
              <w:ind w:left="80"/>
              <w:spacing w:after="0" w:line="104" w:lineRule="exact"/>
              <w:rPr>
                <w:sz w:val="20"/>
                <w:szCs w:val="20"/>
                <w:color w:val="auto"/>
              </w:rPr>
            </w:pPr>
            <w:r>
              <w:rPr>
                <w:rFonts w:ascii="Arial" w:cs="Arial" w:eastAsia="Arial" w:hAnsi="Arial"/>
                <w:sz w:val="10"/>
                <w:szCs w:val="10"/>
                <w:color w:val="auto"/>
              </w:rPr>
              <w:t>United States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3,873</w:t>
            </w:r>
          </w:p>
        </w:tc>
        <w:tc>
          <w:tcPr>
            <w:tcW w:w="300" w:type="dxa"/>
            <w:vAlign w:val="bottom"/>
          </w:tcPr>
          <w:p>
            <w:pPr>
              <w:spacing w:after="0"/>
              <w:rPr>
                <w:sz w:val="9"/>
                <w:szCs w:val="9"/>
                <w:color w:val="auto"/>
              </w:rPr>
            </w:pP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3,243</w:t>
            </w:r>
          </w:p>
        </w:tc>
        <w:tc>
          <w:tcPr>
            <w:tcW w:w="22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jc w:val="right"/>
              <w:ind w:right="29"/>
              <w:spacing w:after="0" w:line="104" w:lineRule="exact"/>
              <w:rPr>
                <w:sz w:val="20"/>
                <w:szCs w:val="20"/>
                <w:color w:val="auto"/>
              </w:rPr>
            </w:pPr>
            <w:r>
              <w:rPr>
                <w:rFonts w:ascii="Arial" w:cs="Arial" w:eastAsia="Arial" w:hAnsi="Arial"/>
                <w:sz w:val="10"/>
                <w:szCs w:val="10"/>
                <w:color w:val="auto"/>
              </w:rPr>
              <w:t>2,179</w:t>
            </w:r>
          </w:p>
        </w:tc>
        <w:tc>
          <w:tcPr>
            <w:tcW w:w="400" w:type="dxa"/>
            <w:vAlign w:val="bottom"/>
          </w:tcPr>
          <w:p>
            <w:pPr>
              <w:spacing w:after="0"/>
              <w:rPr>
                <w:sz w:val="9"/>
                <w:szCs w:val="9"/>
                <w:color w:val="auto"/>
              </w:rPr>
            </w:pPr>
          </w:p>
        </w:tc>
        <w:tc>
          <w:tcPr>
            <w:tcW w:w="3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1,709</w:t>
            </w:r>
          </w:p>
        </w:tc>
        <w:tc>
          <w:tcPr>
            <w:tcW w:w="20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jc w:val="right"/>
              <w:ind w:right="9"/>
              <w:spacing w:after="0" w:line="104" w:lineRule="exact"/>
              <w:rPr>
                <w:sz w:val="20"/>
                <w:szCs w:val="20"/>
                <w:color w:val="auto"/>
              </w:rPr>
            </w:pPr>
            <w:r>
              <w:rPr>
                <w:rFonts w:ascii="Arial" w:cs="Arial" w:eastAsia="Arial" w:hAnsi="Arial"/>
                <w:sz w:val="10"/>
                <w:szCs w:val="10"/>
                <w:color w:val="auto"/>
              </w:rPr>
              <w:t>680</w:t>
            </w:r>
          </w:p>
        </w:tc>
        <w:tc>
          <w:tcPr>
            <w:tcW w:w="44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270</w:t>
            </w:r>
          </w:p>
        </w:tc>
        <w:tc>
          <w:tcPr>
            <w:tcW w:w="220" w:type="dxa"/>
            <w:vAlign w:val="bottom"/>
            <w:tcBorders>
              <w:right w:val="single" w:sz="8" w:color="0077C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215</w:t>
            </w:r>
          </w:p>
        </w:tc>
        <w:tc>
          <w:tcPr>
            <w:tcW w:w="30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171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International</w:t>
            </w:r>
          </w:p>
        </w:tc>
        <w:tc>
          <w:tcPr>
            <w:tcW w:w="56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17</w:t>
            </w:r>
          </w:p>
        </w:tc>
        <w:tc>
          <w:tcPr>
            <w:tcW w:w="28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41</w:t>
            </w:r>
          </w:p>
        </w:tc>
        <w:tc>
          <w:tcPr>
            <w:tcW w:w="30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27</w:t>
            </w:r>
          </w:p>
        </w:tc>
        <w:tc>
          <w:tcPr>
            <w:tcW w:w="22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11</w:t>
            </w:r>
          </w:p>
        </w:tc>
        <w:tc>
          <w:tcPr>
            <w:tcW w:w="3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14</w:t>
            </w:r>
          </w:p>
        </w:tc>
        <w:tc>
          <w:tcPr>
            <w:tcW w:w="4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w:t>
            </w:r>
          </w:p>
        </w:tc>
        <w:tc>
          <w:tcPr>
            <w:tcW w:w="2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5</w:t>
            </w:r>
          </w:p>
        </w:tc>
        <w:tc>
          <w:tcPr>
            <w:tcW w:w="3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5</w:t>
            </w:r>
          </w:p>
        </w:tc>
        <w:tc>
          <w:tcPr>
            <w:tcW w:w="4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0077C0"/>
              <w:right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w:t>
            </w:r>
          </w:p>
        </w:tc>
        <w:tc>
          <w:tcPr>
            <w:tcW w:w="30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All Other</w:t>
            </w:r>
          </w:p>
        </w:tc>
        <w:tc>
          <w:tcPr>
            <w:tcW w:w="56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4,327</w:t>
            </w:r>
          </w:p>
        </w:tc>
        <w:tc>
          <w:tcPr>
            <w:tcW w:w="28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3,914</w:t>
            </w:r>
          </w:p>
        </w:tc>
        <w:tc>
          <w:tcPr>
            <w:tcW w:w="30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3,270</w:t>
            </w:r>
          </w:p>
        </w:tc>
        <w:tc>
          <w:tcPr>
            <w:tcW w:w="22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2,534</w:t>
            </w:r>
          </w:p>
        </w:tc>
        <w:tc>
          <w:tcPr>
            <w:tcW w:w="3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2,193</w:t>
            </w:r>
          </w:p>
        </w:tc>
        <w:tc>
          <w:tcPr>
            <w:tcW w:w="4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1,728</w:t>
            </w:r>
          </w:p>
        </w:tc>
        <w:tc>
          <w:tcPr>
            <w:tcW w:w="20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603</w:t>
            </w:r>
          </w:p>
        </w:tc>
        <w:tc>
          <w:tcPr>
            <w:tcW w:w="3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685</w:t>
            </w:r>
          </w:p>
        </w:tc>
        <w:tc>
          <w:tcPr>
            <w:tcW w:w="4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278</w:t>
            </w:r>
          </w:p>
        </w:tc>
        <w:tc>
          <w:tcPr>
            <w:tcW w:w="220" w:type="dxa"/>
            <w:vAlign w:val="bottom"/>
            <w:tcBorders>
              <w:bottom w:val="single" w:sz="8" w:color="0077C0"/>
              <w:right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254</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216</w:t>
            </w:r>
          </w:p>
        </w:tc>
        <w:tc>
          <w:tcPr>
            <w:tcW w:w="30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360" w:type="dxa"/>
            <w:vAlign w:val="bottom"/>
            <w:gridSpan w:val="2"/>
          </w:tcPr>
          <w:p>
            <w:pPr>
              <w:spacing w:after="0" w:line="91" w:lineRule="exact"/>
              <w:rPr>
                <w:sz w:val="20"/>
                <w:szCs w:val="20"/>
                <w:color w:val="auto"/>
              </w:rPr>
            </w:pPr>
            <w:r>
              <w:rPr>
                <w:rFonts w:ascii="Arial" w:cs="Arial" w:eastAsia="Arial" w:hAnsi="Arial"/>
                <w:sz w:val="10"/>
                <w:szCs w:val="10"/>
                <w:color w:val="auto"/>
              </w:rPr>
              <w:t>Total United States</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76,585</w:t>
            </w:r>
          </w:p>
        </w:tc>
        <w:tc>
          <w:tcPr>
            <w:tcW w:w="280" w:type="dxa"/>
            <w:vAlign w:val="bottom"/>
          </w:tcPr>
          <w:p>
            <w:pPr>
              <w:spacing w:after="0"/>
              <w:rPr>
                <w:sz w:val="7"/>
                <w:szCs w:val="7"/>
                <w:color w:val="auto"/>
              </w:rPr>
            </w:pPr>
          </w:p>
        </w:tc>
        <w:tc>
          <w:tcPr>
            <w:tcW w:w="580" w:type="dxa"/>
            <w:vAlign w:val="bottom"/>
          </w:tcPr>
          <w:p>
            <w:pPr>
              <w:jc w:val="right"/>
              <w:ind w:right="149"/>
              <w:spacing w:after="0" w:line="91" w:lineRule="exact"/>
              <w:rPr>
                <w:sz w:val="20"/>
                <w:szCs w:val="20"/>
                <w:color w:val="auto"/>
              </w:rPr>
            </w:pPr>
            <w:r>
              <w:rPr>
                <w:rFonts w:ascii="Arial" w:cs="Arial" w:eastAsia="Arial" w:hAnsi="Arial"/>
                <w:sz w:val="10"/>
                <w:szCs w:val="10"/>
                <w:color w:val="auto"/>
              </w:rPr>
              <w:t>71,349</w:t>
            </w:r>
          </w:p>
        </w:tc>
        <w:tc>
          <w:tcPr>
            <w:tcW w:w="300" w:type="dxa"/>
            <w:vAlign w:val="bottom"/>
          </w:tcPr>
          <w:p>
            <w:pPr>
              <w:spacing w:after="0"/>
              <w:rPr>
                <w:sz w:val="7"/>
                <w:szCs w:val="7"/>
                <w:color w:val="auto"/>
              </w:rPr>
            </w:pPr>
          </w:p>
        </w:tc>
        <w:tc>
          <w:tcPr>
            <w:tcW w:w="360" w:type="dxa"/>
            <w:vAlign w:val="bottom"/>
          </w:tcPr>
          <w:p>
            <w:pPr>
              <w:jc w:val="right"/>
              <w:spacing w:after="0" w:line="91" w:lineRule="exact"/>
              <w:rPr>
                <w:sz w:val="20"/>
                <w:szCs w:val="20"/>
                <w:color w:val="auto"/>
              </w:rPr>
            </w:pPr>
            <w:r>
              <w:rPr>
                <w:rFonts w:ascii="Arial" w:cs="Arial" w:eastAsia="Arial" w:hAnsi="Arial"/>
                <w:sz w:val="10"/>
                <w:szCs w:val="10"/>
                <w:color w:val="auto"/>
              </w:rPr>
              <w:t>64,632</w:t>
            </w:r>
          </w:p>
        </w:tc>
        <w:tc>
          <w:tcPr>
            <w:tcW w:w="220" w:type="dxa"/>
            <w:vAlign w:val="bottom"/>
            <w:tcBorders>
              <w:right w:val="single" w:sz="8" w:color="0077C0"/>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w w:val="97"/>
              </w:rPr>
              <w:t>34,132</w:t>
            </w:r>
          </w:p>
        </w:tc>
        <w:tc>
          <w:tcPr>
            <w:tcW w:w="300" w:type="dxa"/>
            <w:vAlign w:val="bottom"/>
          </w:tcPr>
          <w:p>
            <w:pPr>
              <w:spacing w:after="0"/>
              <w:rPr>
                <w:sz w:val="7"/>
                <w:szCs w:val="7"/>
                <w:color w:val="auto"/>
              </w:rPr>
            </w:pPr>
          </w:p>
        </w:tc>
        <w:tc>
          <w:tcPr>
            <w:tcW w:w="400" w:type="dxa"/>
            <w:vAlign w:val="bottom"/>
          </w:tcPr>
          <w:p>
            <w:pPr>
              <w:jc w:val="right"/>
              <w:ind w:right="29"/>
              <w:spacing w:after="0" w:line="91" w:lineRule="exact"/>
              <w:rPr>
                <w:sz w:val="20"/>
                <w:szCs w:val="20"/>
                <w:color w:val="auto"/>
              </w:rPr>
            </w:pPr>
            <w:r>
              <w:rPr>
                <w:rFonts w:ascii="Arial" w:cs="Arial" w:eastAsia="Arial" w:hAnsi="Arial"/>
                <w:sz w:val="10"/>
                <w:szCs w:val="10"/>
                <w:color w:val="auto"/>
                <w:w w:val="97"/>
              </w:rPr>
              <w:t>30,022</w:t>
            </w:r>
          </w:p>
        </w:tc>
        <w:tc>
          <w:tcPr>
            <w:tcW w:w="400" w:type="dxa"/>
            <w:vAlign w:val="bottom"/>
          </w:tcPr>
          <w:p>
            <w:pPr>
              <w:spacing w:after="0"/>
              <w:rPr>
                <w:sz w:val="7"/>
                <w:szCs w:val="7"/>
                <w:color w:val="auto"/>
              </w:rPr>
            </w:pPr>
          </w:p>
        </w:tc>
        <w:tc>
          <w:tcPr>
            <w:tcW w:w="3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w w:val="97"/>
              </w:rPr>
              <w:t>25,445</w:t>
            </w:r>
          </w:p>
        </w:tc>
        <w:tc>
          <w:tcPr>
            <w:tcW w:w="200" w:type="dxa"/>
            <w:vAlign w:val="bottom"/>
            <w:tcBorders>
              <w:right w:val="single" w:sz="8" w:color="0077C0"/>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8,054</w:t>
            </w:r>
          </w:p>
        </w:tc>
        <w:tc>
          <w:tcPr>
            <w:tcW w:w="300" w:type="dxa"/>
            <w:vAlign w:val="bottom"/>
          </w:tcPr>
          <w:p>
            <w:pPr>
              <w:spacing w:after="0"/>
              <w:rPr>
                <w:sz w:val="7"/>
                <w:szCs w:val="7"/>
                <w:color w:val="auto"/>
              </w:rPr>
            </w:pPr>
          </w:p>
        </w:tc>
        <w:tc>
          <w:tcPr>
            <w:tcW w:w="380" w:type="dxa"/>
            <w:vAlign w:val="bottom"/>
          </w:tcPr>
          <w:p>
            <w:pPr>
              <w:jc w:val="right"/>
              <w:ind w:right="9"/>
              <w:spacing w:after="0" w:line="91" w:lineRule="exact"/>
              <w:rPr>
                <w:sz w:val="20"/>
                <w:szCs w:val="20"/>
                <w:color w:val="auto"/>
              </w:rPr>
            </w:pPr>
            <w:r>
              <w:rPr>
                <w:rFonts w:ascii="Arial" w:cs="Arial" w:eastAsia="Arial" w:hAnsi="Arial"/>
                <w:sz w:val="10"/>
                <w:szCs w:val="10"/>
                <w:color w:val="auto"/>
              </w:rPr>
              <w:t>7,959</w:t>
            </w:r>
          </w:p>
        </w:tc>
        <w:tc>
          <w:tcPr>
            <w:tcW w:w="44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5,143</w:t>
            </w:r>
          </w:p>
        </w:tc>
        <w:tc>
          <w:tcPr>
            <w:tcW w:w="220" w:type="dxa"/>
            <w:vAlign w:val="bottom"/>
            <w:tcBorders>
              <w:right w:val="single" w:sz="8" w:color="0077C0"/>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ind w:right="169"/>
              <w:spacing w:after="0" w:line="91" w:lineRule="exact"/>
              <w:rPr>
                <w:sz w:val="20"/>
                <w:szCs w:val="20"/>
                <w:color w:val="auto"/>
              </w:rPr>
            </w:pPr>
            <w:r>
              <w:rPr>
                <w:rFonts w:ascii="Arial" w:cs="Arial" w:eastAsia="Arial" w:hAnsi="Arial"/>
                <w:sz w:val="10"/>
                <w:szCs w:val="10"/>
                <w:b w:val="1"/>
                <w:bCs w:val="1"/>
                <w:color w:val="auto"/>
                <w:w w:val="95"/>
              </w:rPr>
              <w:t>3,581</w:t>
            </w:r>
          </w:p>
        </w:tc>
        <w:tc>
          <w:tcPr>
            <w:tcW w:w="300" w:type="dxa"/>
            <w:vAlign w:val="bottom"/>
          </w:tcPr>
          <w:p>
            <w:pPr>
              <w:spacing w:after="0"/>
              <w:rPr>
                <w:sz w:val="7"/>
                <w:szCs w:val="7"/>
                <w:color w:val="auto"/>
              </w:rPr>
            </w:pPr>
          </w:p>
        </w:tc>
        <w:tc>
          <w:tcPr>
            <w:tcW w:w="480" w:type="dxa"/>
            <w:vAlign w:val="bottom"/>
          </w:tcPr>
          <w:p>
            <w:pPr>
              <w:jc w:val="right"/>
              <w:ind w:right="169"/>
              <w:spacing w:after="0" w:line="91" w:lineRule="exact"/>
              <w:rPr>
                <w:sz w:val="20"/>
                <w:szCs w:val="20"/>
                <w:color w:val="auto"/>
              </w:rPr>
            </w:pPr>
            <w:r>
              <w:rPr>
                <w:rFonts w:ascii="Arial" w:cs="Arial" w:eastAsia="Arial" w:hAnsi="Arial"/>
                <w:sz w:val="10"/>
                <w:szCs w:val="10"/>
                <w:color w:val="auto"/>
                <w:w w:val="95"/>
              </w:rPr>
              <w:t>3,443</w:t>
            </w:r>
          </w:p>
        </w:tc>
        <w:tc>
          <w:tcPr>
            <w:tcW w:w="30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w w:val="95"/>
              </w:rPr>
              <w:t>3,038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360" w:type="dxa"/>
            <w:vAlign w:val="bottom"/>
            <w:gridSpan w:val="2"/>
          </w:tcPr>
          <w:p>
            <w:pPr>
              <w:spacing w:after="0"/>
              <w:rPr>
                <w:sz w:val="20"/>
                <w:szCs w:val="20"/>
                <w:color w:val="auto"/>
              </w:rPr>
            </w:pPr>
            <w:r>
              <w:rPr>
                <w:rFonts w:ascii="Arial" w:cs="Arial" w:eastAsia="Arial" w:hAnsi="Arial"/>
                <w:sz w:val="10"/>
                <w:szCs w:val="10"/>
                <w:color w:val="auto"/>
              </w:rPr>
              <w:t>Total International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49"/>
              <w:spacing w:after="0"/>
              <w:rPr>
                <w:sz w:val="20"/>
                <w:szCs w:val="20"/>
                <w:color w:val="auto"/>
              </w:rPr>
            </w:pPr>
            <w:r>
              <w:rPr>
                <w:rFonts w:ascii="Arial" w:cs="Arial" w:eastAsia="Arial" w:hAnsi="Arial"/>
                <w:sz w:val="10"/>
                <w:szCs w:val="10"/>
                <w:b w:val="1"/>
                <w:bCs w:val="1"/>
                <w:color w:val="auto"/>
              </w:rPr>
              <w:t>96,714</w:t>
            </w:r>
          </w:p>
        </w:tc>
        <w:tc>
          <w:tcPr>
            <w:tcW w:w="280" w:type="dxa"/>
            <w:vAlign w:val="bottom"/>
          </w:tcPr>
          <w:p>
            <w:pPr>
              <w:spacing w:after="0"/>
              <w:rPr>
                <w:sz w:val="10"/>
                <w:szCs w:val="10"/>
                <w:color w:val="auto"/>
              </w:rPr>
            </w:pPr>
          </w:p>
        </w:tc>
        <w:tc>
          <w:tcPr>
            <w:tcW w:w="580" w:type="dxa"/>
            <w:vAlign w:val="bottom"/>
          </w:tcPr>
          <w:p>
            <w:pPr>
              <w:jc w:val="right"/>
              <w:ind w:right="149"/>
              <w:spacing w:after="0"/>
              <w:rPr>
                <w:sz w:val="20"/>
                <w:szCs w:val="20"/>
                <w:color w:val="auto"/>
              </w:rPr>
            </w:pPr>
            <w:r>
              <w:rPr>
                <w:rFonts w:ascii="Arial" w:cs="Arial" w:eastAsia="Arial" w:hAnsi="Arial"/>
                <w:sz w:val="10"/>
                <w:szCs w:val="10"/>
                <w:color w:val="auto"/>
              </w:rPr>
              <w:t>82,735</w:t>
            </w:r>
          </w:p>
        </w:tc>
        <w:tc>
          <w:tcPr>
            <w:tcW w:w="3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73,115</w:t>
            </w:r>
          </w:p>
        </w:tc>
        <w:tc>
          <w:tcPr>
            <w:tcW w:w="220" w:type="dxa"/>
            <w:vAlign w:val="bottom"/>
            <w:tcBorders>
              <w:right w:val="single" w:sz="8" w:color="0077C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w w:val="97"/>
              </w:rPr>
              <w:t>57,648</w:t>
            </w:r>
          </w:p>
        </w:tc>
        <w:tc>
          <w:tcPr>
            <w:tcW w:w="300" w:type="dxa"/>
            <w:vAlign w:val="bottom"/>
          </w:tcPr>
          <w:p>
            <w:pPr>
              <w:spacing w:after="0"/>
              <w:rPr>
                <w:sz w:val="10"/>
                <w:szCs w:val="10"/>
                <w:color w:val="auto"/>
              </w:rPr>
            </w:pPr>
          </w:p>
        </w:tc>
        <w:tc>
          <w:tcPr>
            <w:tcW w:w="400" w:type="dxa"/>
            <w:vAlign w:val="bottom"/>
          </w:tcPr>
          <w:p>
            <w:pPr>
              <w:jc w:val="right"/>
              <w:ind w:right="29"/>
              <w:spacing w:after="0"/>
              <w:rPr>
                <w:sz w:val="20"/>
                <w:szCs w:val="20"/>
                <w:color w:val="auto"/>
              </w:rPr>
            </w:pPr>
            <w:r>
              <w:rPr>
                <w:rFonts w:ascii="Arial" w:cs="Arial" w:eastAsia="Arial" w:hAnsi="Arial"/>
                <w:sz w:val="10"/>
                <w:szCs w:val="10"/>
                <w:color w:val="auto"/>
                <w:w w:val="97"/>
              </w:rPr>
              <w:t>48,588</w:t>
            </w:r>
          </w:p>
        </w:tc>
        <w:tc>
          <w:tcPr>
            <w:tcW w:w="40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w w:val="97"/>
              </w:rPr>
              <w:t>43,413</w:t>
            </w:r>
          </w:p>
        </w:tc>
        <w:tc>
          <w:tcPr>
            <w:tcW w:w="200" w:type="dxa"/>
            <w:vAlign w:val="bottom"/>
            <w:tcBorders>
              <w:right w:val="single" w:sz="8" w:color="0077C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w w:val="97"/>
              </w:rPr>
              <w:t>15,539</w:t>
            </w:r>
          </w:p>
        </w:tc>
        <w:tc>
          <w:tcPr>
            <w:tcW w:w="300" w:type="dxa"/>
            <w:vAlign w:val="bottom"/>
          </w:tcPr>
          <w:p>
            <w:pPr>
              <w:spacing w:after="0"/>
              <w:rPr>
                <w:sz w:val="10"/>
                <w:szCs w:val="10"/>
                <w:color w:val="auto"/>
              </w:rPr>
            </w:pPr>
          </w:p>
        </w:tc>
        <w:tc>
          <w:tcPr>
            <w:tcW w:w="380" w:type="dxa"/>
            <w:vAlign w:val="bottom"/>
          </w:tcPr>
          <w:p>
            <w:pPr>
              <w:jc w:val="right"/>
              <w:ind w:right="9"/>
              <w:spacing w:after="0"/>
              <w:rPr>
                <w:sz w:val="20"/>
                <w:szCs w:val="20"/>
                <w:color w:val="auto"/>
              </w:rPr>
            </w:pPr>
            <w:r>
              <w:rPr>
                <w:rFonts w:ascii="Arial" w:cs="Arial" w:eastAsia="Arial" w:hAnsi="Arial"/>
                <w:sz w:val="10"/>
                <w:szCs w:val="10"/>
                <w:color w:val="auto"/>
                <w:w w:val="97"/>
              </w:rPr>
              <w:t>11,089</w:t>
            </w:r>
          </w:p>
        </w:tc>
        <w:tc>
          <w:tcPr>
            <w:tcW w:w="44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7,884</w:t>
            </w:r>
          </w:p>
        </w:tc>
        <w:tc>
          <w:tcPr>
            <w:tcW w:w="220" w:type="dxa"/>
            <w:vAlign w:val="bottom"/>
            <w:tcBorders>
              <w:right w:val="single" w:sz="8" w:color="0077C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b w:val="1"/>
                <w:bCs w:val="1"/>
                <w:color w:val="auto"/>
                <w:w w:val="95"/>
              </w:rPr>
              <w:t>5,947</w:t>
            </w:r>
          </w:p>
        </w:tc>
        <w:tc>
          <w:tcPr>
            <w:tcW w:w="30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w w:val="95"/>
              </w:rPr>
              <w:t>5,265</w:t>
            </w:r>
          </w:p>
        </w:tc>
        <w:tc>
          <w:tcPr>
            <w:tcW w:w="300" w:type="dxa"/>
            <w:vAlign w:val="bottom"/>
          </w:tcPr>
          <w:p>
            <w:pPr>
              <w:spacing w:after="0"/>
              <w:rPr>
                <w:sz w:val="10"/>
                <w:szCs w:val="1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0"/>
                <w:szCs w:val="10"/>
                <w:color w:val="auto"/>
                <w:w w:val="95"/>
              </w:rPr>
              <w:t>4,468</w:t>
            </w:r>
          </w:p>
        </w:tc>
        <w:tc>
          <w:tcPr>
            <w:tcW w:w="0" w:type="dxa"/>
            <w:vAlign w:val="bottom"/>
          </w:tcPr>
          <w:p>
            <w:pPr>
              <w:spacing w:after="0"/>
              <w:rPr>
                <w:sz w:val="1"/>
                <w:szCs w:val="1"/>
                <w:color w:val="auto"/>
              </w:rPr>
            </w:pPr>
          </w:p>
        </w:tc>
      </w:tr>
      <w:tr>
        <w:trPr>
          <w:trHeight w:val="105"/>
        </w:trPr>
        <w:tc>
          <w:tcPr>
            <w:tcW w:w="1360" w:type="dxa"/>
            <w:vAlign w:val="bottom"/>
            <w:tcBorders>
              <w:top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Total</w:t>
            </w:r>
          </w:p>
        </w:tc>
        <w:tc>
          <w:tcPr>
            <w:tcW w:w="660" w:type="dxa"/>
            <w:vAlign w:val="bottom"/>
            <w:tcBorders>
              <w:top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9"/>
              </w:rPr>
              <w:t>173,299</w:t>
            </w:r>
          </w:p>
        </w:tc>
        <w:tc>
          <w:tcPr>
            <w:tcW w:w="28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w w:val="99"/>
              </w:rPr>
              <w:t>154,084</w:t>
            </w:r>
          </w:p>
        </w:tc>
        <w:tc>
          <w:tcPr>
            <w:tcW w:w="300" w:type="dxa"/>
            <w:vAlign w:val="bottom"/>
            <w:tcBorders>
              <w:top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w w:val="93"/>
              </w:rPr>
              <w:t>137,747</w:t>
            </w:r>
          </w:p>
        </w:tc>
        <w:tc>
          <w:tcPr>
            <w:tcW w:w="220" w:type="dxa"/>
            <w:vAlign w:val="bottom"/>
            <w:tcBorders>
              <w:top w:val="single" w:sz="8" w:color="0077C0"/>
              <w:right w:val="single" w:sz="8" w:color="0077C0"/>
            </w:tcBorders>
          </w:tcPr>
          <w:p>
            <w:pPr>
              <w:spacing w:after="0"/>
              <w:rPr>
                <w:sz w:val="9"/>
                <w:szCs w:val="9"/>
                <w:color w:val="auto"/>
              </w:rPr>
            </w:pPr>
          </w:p>
        </w:tc>
        <w:tc>
          <w:tcPr>
            <w:tcW w:w="200" w:type="dxa"/>
            <w:vAlign w:val="bottom"/>
            <w:tcBorders>
              <w:top w:val="single" w:sz="8" w:color="0077C0"/>
            </w:tcBorders>
          </w:tcPr>
          <w:p>
            <w:pPr>
              <w:spacing w:after="0"/>
              <w:rPr>
                <w:sz w:val="9"/>
                <w:szCs w:val="9"/>
                <w:color w:val="auto"/>
              </w:rPr>
            </w:pPr>
          </w:p>
        </w:tc>
        <w:tc>
          <w:tcPr>
            <w:tcW w:w="80" w:type="dxa"/>
            <w:vAlign w:val="bottom"/>
            <w:tcBorders>
              <w:top w:val="single" w:sz="8" w:color="0077C0"/>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91,780</w:t>
            </w:r>
          </w:p>
        </w:tc>
        <w:tc>
          <w:tcPr>
            <w:tcW w:w="3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w w:val="97"/>
              </w:rPr>
              <w:t>78,610</w:t>
            </w:r>
          </w:p>
        </w:tc>
        <w:tc>
          <w:tcPr>
            <w:tcW w:w="4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68,858</w:t>
            </w:r>
          </w:p>
        </w:tc>
        <w:tc>
          <w:tcPr>
            <w:tcW w:w="20" w:type="dxa"/>
            <w:vAlign w:val="bottom"/>
            <w:tcBorders>
              <w:top w:val="single" w:sz="8" w:color="0077C0"/>
            </w:tcBorders>
          </w:tcPr>
          <w:p>
            <w:pPr>
              <w:spacing w:after="0"/>
              <w:rPr>
                <w:sz w:val="9"/>
                <w:szCs w:val="9"/>
                <w:color w:val="auto"/>
              </w:rPr>
            </w:pPr>
          </w:p>
        </w:tc>
        <w:tc>
          <w:tcPr>
            <w:tcW w:w="200" w:type="dxa"/>
            <w:vAlign w:val="bottom"/>
            <w:tcBorders>
              <w:top w:val="single" w:sz="8" w:color="0077C0"/>
              <w:right w:val="single" w:sz="8" w:color="0077C0"/>
            </w:tcBorders>
          </w:tcPr>
          <w:p>
            <w:pPr>
              <w:spacing w:after="0"/>
              <w:rPr>
                <w:sz w:val="9"/>
                <w:szCs w:val="9"/>
                <w:color w:val="auto"/>
              </w:rPr>
            </w:pPr>
          </w:p>
        </w:tc>
        <w:tc>
          <w:tcPr>
            <w:tcW w:w="280" w:type="dxa"/>
            <w:vAlign w:val="bottom"/>
            <w:tcBorders>
              <w:top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23,593</w:t>
            </w:r>
          </w:p>
        </w:tc>
        <w:tc>
          <w:tcPr>
            <w:tcW w:w="3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top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w w:val="97"/>
              </w:rPr>
              <w:t>19,048</w:t>
            </w:r>
          </w:p>
        </w:tc>
        <w:tc>
          <w:tcPr>
            <w:tcW w:w="44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13,027</w:t>
            </w:r>
          </w:p>
        </w:tc>
        <w:tc>
          <w:tcPr>
            <w:tcW w:w="220" w:type="dxa"/>
            <w:vAlign w:val="bottom"/>
            <w:tcBorders>
              <w:top w:val="single" w:sz="8" w:color="0077C0"/>
              <w:right w:val="single" w:sz="8" w:color="0077C0"/>
            </w:tcBorders>
          </w:tcPr>
          <w:p>
            <w:pPr>
              <w:spacing w:after="0"/>
              <w:rPr>
                <w:sz w:val="9"/>
                <w:szCs w:val="9"/>
                <w:color w:val="auto"/>
              </w:rPr>
            </w:pPr>
          </w:p>
        </w:tc>
        <w:tc>
          <w:tcPr>
            <w:tcW w:w="280" w:type="dxa"/>
            <w:vAlign w:val="bottom"/>
            <w:tcBorders>
              <w:top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9,528</w:t>
            </w:r>
          </w:p>
        </w:tc>
        <w:tc>
          <w:tcPr>
            <w:tcW w:w="3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8,708</w:t>
            </w:r>
          </w:p>
        </w:tc>
        <w:tc>
          <w:tcPr>
            <w:tcW w:w="30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7,506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4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280" w:type="dxa"/>
            <w:vAlign w:val="bottom"/>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360" w:type="dxa"/>
            <w:vAlign w:val="bottom"/>
            <w:shd w:val="clear" w:color="auto" w:fill="0077C0"/>
          </w:tcPr>
          <w:p>
            <w:pPr>
              <w:spacing w:after="0"/>
              <w:rPr>
                <w:sz w:val="2"/>
                <w:szCs w:val="2"/>
                <w:color w:val="auto"/>
              </w:rPr>
            </w:pPr>
          </w:p>
        </w:tc>
        <w:tc>
          <w:tcPr>
            <w:tcW w:w="220" w:type="dxa"/>
            <w:vAlign w:val="bottom"/>
            <w:tcBorders>
              <w:right w:val="single" w:sz="8" w:color="0077C0"/>
            </w:tcBorders>
            <w:shd w:val="clear" w:color="auto" w:fill="0077C0"/>
          </w:tcPr>
          <w:p>
            <w:pPr>
              <w:spacing w:after="0"/>
              <w:rPr>
                <w:sz w:val="2"/>
                <w:szCs w:val="2"/>
                <w:color w:val="auto"/>
              </w:rPr>
            </w:pPr>
          </w:p>
        </w:tc>
        <w:tc>
          <w:tcPr>
            <w:tcW w:w="200" w:type="dxa"/>
            <w:vAlign w:val="bottom"/>
            <w:shd w:val="clear" w:color="auto" w:fill="0077C0"/>
          </w:tcPr>
          <w:p>
            <w:pPr>
              <w:spacing w:after="0"/>
              <w:rPr>
                <w:sz w:val="2"/>
                <w:szCs w:val="2"/>
                <w:color w:val="auto"/>
              </w:rPr>
            </w:pPr>
          </w:p>
        </w:tc>
        <w:tc>
          <w:tcPr>
            <w:tcW w:w="8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20" w:type="dxa"/>
            <w:vAlign w:val="bottom"/>
            <w:shd w:val="clear" w:color="auto" w:fill="0077C0"/>
          </w:tcPr>
          <w:p>
            <w:pPr>
              <w:spacing w:after="0"/>
              <w:rPr>
                <w:sz w:val="2"/>
                <w:szCs w:val="2"/>
                <w:color w:val="auto"/>
              </w:rPr>
            </w:pPr>
          </w:p>
        </w:tc>
        <w:tc>
          <w:tcPr>
            <w:tcW w:w="200" w:type="dxa"/>
            <w:vAlign w:val="bottom"/>
            <w:tcBorders>
              <w:right w:val="single" w:sz="8" w:color="0077C0"/>
            </w:tcBorders>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52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440" w:type="dxa"/>
            <w:vAlign w:val="bottom"/>
            <w:shd w:val="clear" w:color="auto" w:fill="0077C0"/>
          </w:tcPr>
          <w:p>
            <w:pPr>
              <w:spacing w:after="0"/>
              <w:rPr>
                <w:sz w:val="2"/>
                <w:szCs w:val="2"/>
                <w:color w:val="auto"/>
              </w:rPr>
            </w:pPr>
          </w:p>
        </w:tc>
        <w:tc>
          <w:tcPr>
            <w:tcW w:w="340" w:type="dxa"/>
            <w:vAlign w:val="bottom"/>
            <w:shd w:val="clear" w:color="auto" w:fill="0077C0"/>
          </w:tcPr>
          <w:p>
            <w:pPr>
              <w:spacing w:after="0"/>
              <w:rPr>
                <w:sz w:val="2"/>
                <w:szCs w:val="2"/>
                <w:color w:val="auto"/>
              </w:rPr>
            </w:pPr>
          </w:p>
        </w:tc>
        <w:tc>
          <w:tcPr>
            <w:tcW w:w="220" w:type="dxa"/>
            <w:vAlign w:val="bottom"/>
            <w:tcBorders>
              <w:right w:val="single" w:sz="8" w:color="0077C0"/>
            </w:tcBorders>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10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3" w:hanging="63"/>
        <w:spacing w:after="0"/>
        <w:tabs>
          <w:tab w:leader="none" w:pos="63" w:val="left"/>
        </w:tabs>
        <w:numPr>
          <w:ilvl w:val="0"/>
          <w:numId w:val="46"/>
        </w:numPr>
        <w:rPr>
          <w:rFonts w:ascii="Arial" w:cs="Arial" w:eastAsia="Arial" w:hAnsi="Arial"/>
          <w:sz w:val="8"/>
          <w:szCs w:val="8"/>
          <w:color w:val="auto"/>
        </w:rPr>
      </w:pPr>
      <w:r>
        <w:rPr>
          <w:rFonts w:ascii="Arial" w:cs="Arial" w:eastAsia="Arial" w:hAnsi="Arial"/>
          <w:sz w:val="9"/>
          <w:szCs w:val="9"/>
          <w:color w:val="auto"/>
        </w:rPr>
        <w:t>Net of dry hole expense related to prior years’ expenditures of $55, $89 and $120 in 2008, 2007 and 2006, respectively.</w:t>
      </w:r>
    </w:p>
    <w:p>
      <w:pPr>
        <w:ind w:left="3"/>
        <w:spacing w:after="0"/>
        <w:rPr>
          <w:rFonts w:ascii="Arial" w:cs="Arial" w:eastAsia="Arial" w:hAnsi="Arial"/>
          <w:sz w:val="8"/>
          <w:szCs w:val="8"/>
          <w:color w:val="auto"/>
        </w:rPr>
      </w:pPr>
      <w:r>
        <w:rPr>
          <w:rFonts w:ascii="Arial" w:cs="Arial" w:eastAsia="Arial" w:hAnsi="Arial"/>
          <w:sz w:val="8"/>
          <w:szCs w:val="8"/>
          <w:color w:val="auto"/>
        </w:rPr>
        <w:t>2 Depreciation expense includes accretion expense of $430, $399 and $275 in 2008, 2007 and 2006, respectively.</w:t>
      </w:r>
    </w:p>
    <w:p>
      <w:pPr>
        <w:spacing w:after="0" w:line="4"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3 Primarily mining operations, power generation businesses, real estate assets and management information systems.</w:t>
      </w:r>
    </w:p>
    <w:p>
      <w:pPr>
        <w:sectPr>
          <w:pgSz w:w="11900" w:h="16838" w:orient="portrait"/>
          <w:cols w:equalWidth="0" w:num="1">
            <w:col w:w="11443"/>
          </w:cols>
          <w:pgMar w:left="217" w:top="338" w:right="239" w:bottom="1440" w:gutter="0" w:footer="0" w:header="0"/>
        </w:sectPr>
      </w:pPr>
    </w:p>
    <w:p>
      <w:pPr>
        <w:spacing w:after="0" w:line="29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Note 14</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2"/>
          <w:szCs w:val="12"/>
          <w:color w:val="auto"/>
        </w:rPr>
        <w:t>Accounting for Buy/Sell Contracts</w:t>
      </w:r>
    </w:p>
    <w:p>
      <w:pPr>
        <w:spacing w:after="0" w:line="149" w:lineRule="exact"/>
        <w:rPr>
          <w:sz w:val="20"/>
          <w:szCs w:val="20"/>
          <w:color w:val="auto"/>
        </w:rPr>
      </w:pPr>
    </w:p>
    <w:p>
      <w:pPr>
        <w:ind w:left="3"/>
        <w:spacing w:after="0" w:line="305" w:lineRule="auto"/>
        <w:rPr>
          <w:sz w:val="20"/>
          <w:szCs w:val="20"/>
          <w:color w:val="auto"/>
        </w:rPr>
      </w:pPr>
      <w:r>
        <w:rPr>
          <w:rFonts w:ascii="Arial" w:cs="Arial" w:eastAsia="Arial" w:hAnsi="Arial"/>
          <w:sz w:val="11"/>
          <w:szCs w:val="11"/>
          <w:color w:val="auto"/>
        </w:rPr>
        <w:t xml:space="preserve">The company adopted the accounting prescribed by Emerging Issues Task Force (EITF) Issue No. 04-13, </w:t>
      </w:r>
      <w:r>
        <w:rPr>
          <w:rFonts w:ascii="Arial" w:cs="Arial" w:eastAsia="Arial" w:hAnsi="Arial"/>
          <w:sz w:val="11"/>
          <w:szCs w:val="11"/>
          <w:i w:val="1"/>
          <w:iCs w:val="1"/>
          <w:color w:val="auto"/>
        </w:rPr>
        <w:t xml:space="preserve">Accounting for Purchases and Sales of Inventory with the Same Counterparty </w:t>
      </w:r>
      <w:r>
        <w:rPr>
          <w:rFonts w:ascii="Arial" w:cs="Arial" w:eastAsia="Arial" w:hAnsi="Arial"/>
          <w:sz w:val="11"/>
          <w:szCs w:val="11"/>
          <w:color w:val="auto"/>
        </w:rPr>
        <w:t>(Issue 04-13), on a</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prospective basis from April 1, 2006. Issue 04-13 requires that two or more legally separate exchange transactions with the same counterparty, including buy/sell transactions, be combined and considered as a single arrangement for purposes of applying the provisions of Accounting Principles Board Opinion No. 29, </w:t>
      </w:r>
      <w:r>
        <w:rPr>
          <w:rFonts w:ascii="Arial" w:cs="Arial" w:eastAsia="Arial" w:hAnsi="Arial"/>
          <w:sz w:val="11"/>
          <w:szCs w:val="11"/>
          <w:i w:val="1"/>
          <w:iCs w:val="1"/>
          <w:color w:val="auto"/>
        </w:rPr>
        <w:t>Accounting for Nonmonetary Transactions,</w:t>
      </w:r>
      <w:r>
        <w:rPr>
          <w:rFonts w:ascii="Arial" w:cs="Arial" w:eastAsia="Arial" w:hAnsi="Arial"/>
          <w:sz w:val="11"/>
          <w:szCs w:val="11"/>
          <w:color w:val="auto"/>
        </w:rPr>
        <w:t xml:space="preserve"> when the transactions are entered into “in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0"/>
        <w:spacing w:after="0" w:line="272" w:lineRule="auto"/>
        <w:rPr>
          <w:sz w:val="20"/>
          <w:szCs w:val="20"/>
          <w:color w:val="auto"/>
        </w:rPr>
      </w:pPr>
      <w:r>
        <w:rPr>
          <w:rFonts w:ascii="Arial" w:cs="Arial" w:eastAsia="Arial" w:hAnsi="Arial"/>
          <w:sz w:val="12"/>
          <w:szCs w:val="12"/>
          <w:color w:val="auto"/>
        </w:rPr>
        <w:t>contemplation” of one another. In prior periods, the company accounted for buy/sell transactions in the Consolidated Statement of Income as a monetary transaction – purchases were reported as “Purchased crude oil and products”; sales were reported as “Sales and other operating revenues.”</w:t>
      </w:r>
    </w:p>
    <w:p>
      <w:pPr>
        <w:ind w:firstLine="158"/>
        <w:spacing w:after="0" w:line="249" w:lineRule="auto"/>
        <w:rPr>
          <w:sz w:val="20"/>
          <w:szCs w:val="20"/>
          <w:color w:val="auto"/>
        </w:rPr>
      </w:pPr>
      <w:r>
        <w:rPr>
          <w:rFonts w:ascii="Arial" w:cs="Arial" w:eastAsia="Arial" w:hAnsi="Arial"/>
          <w:sz w:val="13"/>
          <w:szCs w:val="13"/>
          <w:color w:val="auto"/>
        </w:rPr>
        <w:t>With the company’s adoption of Issue 04-13, buy/sell transactions beginning in the second quarter 2006 are netted against each other on the Consolidated Statement of Income, with no effect on net income. The amount associated with buy/sell transactions in the first quarter 2006 is shown as a footnote to the Consolidated Statement of Income on page FS-27.</w:t>
      </w:r>
    </w:p>
    <w:p>
      <w:pPr>
        <w:spacing w:after="0" w:line="699" w:lineRule="exact"/>
        <w:rPr>
          <w:sz w:val="20"/>
          <w:szCs w:val="20"/>
          <w:color w:val="auto"/>
        </w:rPr>
      </w:pPr>
    </w:p>
    <w:p>
      <w:pPr>
        <w:sectPr>
          <w:pgSz w:w="11900" w:h="16838" w:orient="portrait"/>
          <w:cols w:equalWidth="0" w:num="2">
            <w:col w:w="5403" w:space="560"/>
            <w:col w:w="5480"/>
          </w:cols>
          <w:pgMar w:left="217" w:top="338" w:right="239" w:bottom="1440" w:gutter="0" w:footer="0" w:header="0"/>
          <w:type w:val="continuous"/>
        </w:sectPr>
      </w:pPr>
    </w:p>
    <w:p>
      <w:pPr>
        <w:spacing w:after="0" w:line="49" w:lineRule="exact"/>
        <w:rPr>
          <w:sz w:val="20"/>
          <w:szCs w:val="20"/>
          <w:color w:val="auto"/>
        </w:rPr>
      </w:pPr>
    </w:p>
    <w:p>
      <w:pPr>
        <w:jc w:val="center"/>
        <w:ind w:right="-42"/>
        <w:spacing w:after="0"/>
        <w:rPr>
          <w:sz w:val="20"/>
          <w:szCs w:val="20"/>
          <w:color w:val="auto"/>
        </w:rPr>
      </w:pPr>
      <w:r>
        <w:rPr>
          <w:rFonts w:ascii="Arial" w:cs="Arial" w:eastAsia="Arial" w:hAnsi="Arial"/>
          <w:sz w:val="10"/>
          <w:szCs w:val="10"/>
          <w:color w:val="auto"/>
        </w:rPr>
        <w:t>FS-43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3"/>
          </w:cols>
          <w:pgMar w:left="217" w:top="338" w:right="239" w:bottom="1440" w:gutter="0" w:footer="0" w:header="0"/>
          <w:type w:val="continuous"/>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20"/>
        <w:spacing w:after="0"/>
        <w:rPr>
          <w:sz w:val="20"/>
          <w:szCs w:val="20"/>
          <w:color w:val="auto"/>
        </w:rPr>
      </w:pPr>
      <w:r>
        <w:rPr>
          <w:rFonts w:ascii="Arial" w:cs="Arial" w:eastAsia="Arial" w:hAnsi="Arial"/>
          <w:sz w:val="12"/>
          <w:szCs w:val="12"/>
          <w:color w:val="0077C0"/>
        </w:rPr>
        <w:t>Notes to the Consolidated Financial Statements</w:t>
      </w:r>
    </w:p>
    <w:p>
      <w:pPr>
        <w:jc w:val="right"/>
        <w:ind w:right="592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15 </w:t>
      </w:r>
      <w:r>
        <w:rPr>
          <w:rFonts w:ascii="Arial" w:cs="Arial" w:eastAsia="Arial" w:hAnsi="Arial"/>
          <w:sz w:val="8"/>
          <w:szCs w:val="8"/>
          <w:color w:val="000000"/>
        </w:rPr>
        <w:t>Litigation</w:t>
      </w:r>
    </w:p>
    <w:p>
      <w:pPr>
        <w:sectPr>
          <w:pgSz w:w="11900" w:h="16838" w:orient="portrait"/>
          <w:cols w:equalWidth="0" w:num="1">
            <w:col w:w="11440"/>
          </w:cols>
          <w:pgMar w:left="220" w:top="3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Litigation</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2"/>
          <w:szCs w:val="12"/>
          <w:i w:val="1"/>
          <w:iCs w:val="1"/>
          <w:color w:val="E51837"/>
        </w:rPr>
        <w:t xml:space="preserve">MTBE </w:t>
      </w:r>
      <w:r>
        <w:rPr>
          <w:rFonts w:ascii="Arial" w:cs="Arial" w:eastAsia="Arial" w:hAnsi="Arial"/>
          <w:sz w:val="12"/>
          <w:szCs w:val="12"/>
          <w:color w:val="000000"/>
        </w:rPr>
        <w:t>Chevron and many other companies in the petroleum industry have used methyl tertiary butyl ether</w:t>
      </w:r>
      <w:r>
        <w:rPr>
          <w:rFonts w:ascii="Arial" w:cs="Arial" w:eastAsia="Arial" w:hAnsi="Arial"/>
          <w:sz w:val="12"/>
          <w:szCs w:val="12"/>
          <w:i w:val="1"/>
          <w:iCs w:val="1"/>
          <w:color w:val="E51837"/>
        </w:rPr>
        <w:t xml:space="preserve"> </w:t>
      </w:r>
      <w:r>
        <w:rPr>
          <w:rFonts w:ascii="Arial" w:cs="Arial" w:eastAsia="Arial" w:hAnsi="Arial"/>
          <w:sz w:val="12"/>
          <w:szCs w:val="12"/>
          <w:color w:val="000000"/>
        </w:rPr>
        <w:t>(MTBE) as a gasoline additive. In October 2008, 59 cases were settled in which the company was a party and which related to the use of MTBE in certain oxygenated gasolines and the alleged seepage of MTBE into groundwater. The terms of this agreement are confidential and not material to the company’s results of operations, liquidity or financial position.</w:t>
      </w:r>
    </w:p>
    <w:p>
      <w:pPr>
        <w:spacing w:after="0" w:line="1" w:lineRule="exact"/>
        <w:rPr>
          <w:sz w:val="20"/>
          <w:szCs w:val="20"/>
          <w:color w:val="auto"/>
        </w:rPr>
      </w:pPr>
    </w:p>
    <w:p>
      <w:pPr>
        <w:ind w:firstLine="160"/>
        <w:spacing w:after="0" w:line="270" w:lineRule="auto"/>
        <w:rPr>
          <w:sz w:val="20"/>
          <w:szCs w:val="20"/>
          <w:color w:val="auto"/>
        </w:rPr>
      </w:pPr>
      <w:r>
        <w:rPr>
          <w:rFonts w:ascii="Arial" w:cs="Arial" w:eastAsia="Arial" w:hAnsi="Arial"/>
          <w:sz w:val="12"/>
          <w:szCs w:val="12"/>
          <w:color w:val="auto"/>
        </w:rPr>
        <w:t>Chevron is a party to 37 other pending lawsuits and claims, the majority of which involve numerous other petroleum marketers and refiners. Resolution of these lawsuits and claims may ultimately require the company to correct or ameliorate the alleged effects on the environment of prior release of MTBE by the company or other parties. Additional lawsuits and claims related to the use of MTBE, including personal-injury claims, may be filed in the future. The settlement of the 59 lawsuits did not set any precedents related to standards of liability to be used to judge the merits of the claims, corrective measures required or monetary damages to be assessed for the remaining lawsuits and claims or future lawsuits and claims. As a result, the company’s ultimate exposure related to pending lawsuits and claims is not currently determinable, but could be material to net income in any one period. The company no longer uses MTBE in the manufacture of gasoline in the United States.</w:t>
      </w:r>
    </w:p>
    <w:p>
      <w:pPr>
        <w:spacing w:after="0" w:line="102"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i w:val="1"/>
          <w:iCs w:val="1"/>
          <w:color w:val="E51837"/>
        </w:rPr>
        <w:t xml:space="preserve">RFG Patent </w:t>
      </w:r>
      <w:r>
        <w:rPr>
          <w:rFonts w:ascii="Arial" w:cs="Arial" w:eastAsia="Arial" w:hAnsi="Arial"/>
          <w:sz w:val="12"/>
          <w:szCs w:val="12"/>
          <w:color w:val="000000"/>
        </w:rPr>
        <w:t>Fourteen purported class actions were brought by consumers who purchased reformulated</w:t>
      </w:r>
      <w:r>
        <w:rPr>
          <w:rFonts w:ascii="Arial" w:cs="Arial" w:eastAsia="Arial" w:hAnsi="Arial"/>
          <w:sz w:val="12"/>
          <w:szCs w:val="12"/>
          <w:i w:val="1"/>
          <w:iCs w:val="1"/>
          <w:color w:val="E51837"/>
        </w:rPr>
        <w:t xml:space="preserve"> </w:t>
      </w:r>
      <w:r>
        <w:rPr>
          <w:rFonts w:ascii="Arial" w:cs="Arial" w:eastAsia="Arial" w:hAnsi="Arial"/>
          <w:sz w:val="12"/>
          <w:szCs w:val="12"/>
          <w:color w:val="000000"/>
        </w:rPr>
        <w:t xml:space="preserve">gasoline (RFG) from January 1995 through August 2005, alleging that Unocal misled the California Air Resources Board into adopting standards for composition of RFG that overlapped with Unocal’s undisclosed and pending patents. The parties agreed to a settlement that calls for, among other things, Unocal to pay $48 and for the establishment of a </w:t>
      </w:r>
      <w:r>
        <w:rPr>
          <w:rFonts w:ascii="Arial" w:cs="Arial" w:eastAsia="Arial" w:hAnsi="Arial"/>
          <w:sz w:val="12"/>
          <w:szCs w:val="12"/>
          <w:i w:val="1"/>
          <w:iCs w:val="1"/>
          <w:color w:val="000000"/>
        </w:rPr>
        <w:t>cy pres</w:t>
      </w:r>
      <w:r>
        <w:rPr>
          <w:rFonts w:ascii="Arial" w:cs="Arial" w:eastAsia="Arial" w:hAnsi="Arial"/>
          <w:sz w:val="12"/>
          <w:szCs w:val="12"/>
          <w:color w:val="000000"/>
        </w:rPr>
        <w:t xml:space="preserve"> fund to administer payout of the award. The court approved the final settlement in November 2008.</w:t>
      </w:r>
    </w:p>
    <w:p>
      <w:pPr>
        <w:spacing w:after="0" w:line="99" w:lineRule="exact"/>
        <w:rPr>
          <w:sz w:val="20"/>
          <w:szCs w:val="20"/>
          <w:color w:val="auto"/>
        </w:rPr>
      </w:pPr>
    </w:p>
    <w:p>
      <w:pPr>
        <w:spacing w:after="0" w:line="274" w:lineRule="auto"/>
        <w:rPr>
          <w:sz w:val="20"/>
          <w:szCs w:val="20"/>
          <w:color w:val="auto"/>
        </w:rPr>
      </w:pPr>
      <w:r>
        <w:rPr>
          <w:rFonts w:ascii="Arial" w:cs="Arial" w:eastAsia="Arial" w:hAnsi="Arial"/>
          <w:sz w:val="12"/>
          <w:szCs w:val="12"/>
          <w:i w:val="1"/>
          <w:iCs w:val="1"/>
          <w:color w:val="E51837"/>
        </w:rPr>
        <w:t xml:space="preserve">Ecuador </w:t>
      </w:r>
      <w:r>
        <w:rPr>
          <w:rFonts w:ascii="Arial" w:cs="Arial" w:eastAsia="Arial" w:hAnsi="Arial"/>
          <w:sz w:val="12"/>
          <w:szCs w:val="12"/>
          <w:color w:val="000000"/>
        </w:rPr>
        <w:t>Chevron is a defendant in a civil lawsuit before the Superior Court of Nueva Loja in Lago Agrio,</w:t>
      </w:r>
      <w:r>
        <w:rPr>
          <w:rFonts w:ascii="Arial" w:cs="Arial" w:eastAsia="Arial" w:hAnsi="Arial"/>
          <w:sz w:val="12"/>
          <w:szCs w:val="12"/>
          <w:i w:val="1"/>
          <w:iCs w:val="1"/>
          <w:color w:val="E51837"/>
        </w:rPr>
        <w:t xml:space="preserve"> </w:t>
      </w:r>
      <w:r>
        <w:rPr>
          <w:rFonts w:ascii="Arial" w:cs="Arial" w:eastAsia="Arial" w:hAnsi="Arial"/>
          <w:sz w:val="12"/>
          <w:szCs w:val="12"/>
          <w:color w:val="000000"/>
        </w:rPr>
        <w:t>Ecuador, brought in May 2003 by plaintiffs who claim to be representatives of certain residents of an area where an oil production consortium formerly had operations. The lawsuit alleges damage to the environment from the oil exploration and production operations, and seeks unspecified damages to fund environmental remediation and restoration of the alleged environmental harm, plus a health monitoring program. Until 1992, Texaco Petroleum Company (Texpet), a subsidiary of Texaco Inc., was a minority member of this consortium with Petroecuador, the Ecuadorian state-owned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oil company, as the majority partner; since 1990, the operations have been conducted solely by Petroecuador. At the conclusion of the consortium and following an independent third-party environmental audit of the concession area, Texpet entered into a formal agreement with the Republic of Ecuador and Petroecuador for Texpet to remediate specific sites assigned by the government in proportion to Texpet’s ownership share of the consortium. Pursuant to that agreement, Texpet conducted a three-year remediation program at a cost of $40. After certifying that the sites were properly remediated, the government granted Texpet and all related corporate entities a full release from any and all environmental liability arising from the consortium operations.</w:t>
      </w:r>
    </w:p>
    <w:p>
      <w:pPr>
        <w:spacing w:after="0" w:line="1"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Based on the history described above, Chevron believes that this lawsuit lacks legal or factual merit. As to matters of law, the company believes first, that the court lacks jurisdiction over Chevron; second, that the law under which plaintiffs bring the action, enacted in 1999, cannot be applied retroactively to Chevron; third, that the claims are barred by the statute of limitations in Ecuador; and, fourth, that the lawsuit is also barred by the releases from liability previously given to Texpet by the Republic of Ecuador and Petroecuador. With regard to the facts, the company believes that the evidence confirms that Texpet’s remediation was properly conducted and that the remaining environmental damage reflects Petroecuador’s failure to timely fulfill its legal obligations and Petroecuador’s further conduct since assuming full control over the operations.</w:t>
      </w:r>
    </w:p>
    <w:p>
      <w:pPr>
        <w:spacing w:after="0" w:line="2" w:lineRule="exact"/>
        <w:rPr>
          <w:sz w:val="20"/>
          <w:szCs w:val="20"/>
          <w:color w:val="auto"/>
        </w:rPr>
      </w:pPr>
    </w:p>
    <w:p>
      <w:pPr>
        <w:ind w:firstLine="160"/>
        <w:spacing w:after="0" w:line="269" w:lineRule="auto"/>
        <w:rPr>
          <w:sz w:val="20"/>
          <w:szCs w:val="20"/>
          <w:color w:val="auto"/>
        </w:rPr>
      </w:pPr>
      <w:r>
        <w:rPr>
          <w:rFonts w:ascii="Arial" w:cs="Arial" w:eastAsia="Arial" w:hAnsi="Arial"/>
          <w:sz w:val="12"/>
          <w:szCs w:val="12"/>
          <w:color w:val="auto"/>
        </w:rPr>
        <w:t>In April 2008, a mining engineer appointed by the court to identify and determine the cause of environmental damage, and to specify steps needed to remediate it, issued a report recommending that the court assess $8,000, which would, according to the engineer, provide financial compensation for purported damages, including wrongful death claims, and pay for, among other items, environmental remediation, health care systems, and additional infrastructure for Petroecuador. The engineer’s report also asserted that an additional $8,300 could be assessed against Chevron for unjust enrichment. The engineer’s report is not binding on the court. Chevron also believes that the engineer’s work was performed and his report prepared in a manner contrary to law and in violation of the court’s orders. Chevron submitted a rebuttal to the report in which it asked the court to strike the report in its entirety. In November 2008, the engineer revised the report and, without additional evidence, recommended an increase in the financial compensation for purported damages to a total of $18,900 and an increase in the assessment for purported unjust enrichment to a</w:t>
      </w:r>
    </w:p>
    <w:p>
      <w:pPr>
        <w:spacing w:after="0" w:line="1072" w:lineRule="exact"/>
        <w:rPr>
          <w:sz w:val="20"/>
          <w:szCs w:val="20"/>
          <w:color w:val="auto"/>
        </w:rPr>
      </w:pPr>
    </w:p>
    <w:p>
      <w:pPr>
        <w:sectPr>
          <w:pgSz w:w="11900" w:h="16838" w:orient="portrait"/>
          <w:cols w:equalWidth="0" w:num="2">
            <w:col w:w="5480" w:space="480"/>
            <w:col w:w="5480"/>
          </w:cols>
          <w:pgMar w:left="220" w:top="338" w:right="239" w:bottom="1440" w:gutter="0" w:footer="0" w:header="0"/>
          <w:type w:val="continuous"/>
        </w:sectPr>
      </w:pP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10020"/>
        <w:spacing w:after="0"/>
        <w:rPr>
          <w:sz w:val="20"/>
          <w:szCs w:val="20"/>
          <w:color w:val="auto"/>
        </w:rPr>
      </w:pPr>
      <w:r>
        <w:rPr>
          <w:rFonts w:ascii="Arial" w:cs="Arial" w:eastAsia="Arial" w:hAnsi="Arial"/>
          <w:sz w:val="10"/>
          <w:szCs w:val="10"/>
          <w:b w:val="1"/>
          <w:bCs w:val="1"/>
          <w:color w:val="0077C0"/>
        </w:rPr>
        <w:t xml:space="preserve">Note 15 </w:t>
      </w:r>
      <w:r>
        <w:rPr>
          <w:rFonts w:ascii="Arial" w:cs="Arial" w:eastAsia="Arial" w:hAnsi="Arial"/>
          <w:sz w:val="8"/>
          <w:szCs w:val="8"/>
          <w:color w:val="000000"/>
        </w:rPr>
        <w:t>Litigation - Continued</w:t>
      </w:r>
    </w:p>
    <w:p>
      <w:pPr>
        <w:sectPr>
          <w:pgSz w:w="11900" w:h="16838" w:orient="portrait"/>
          <w:cols w:equalWidth="0" w:num="1">
            <w:col w:w="11460"/>
          </w:cols>
          <w:pgMar w:left="220" w:top="339" w:right="219" w:bottom="1440" w:gutter="0" w:footer="0" w:header="0"/>
        </w:sectPr>
      </w:pPr>
    </w:p>
    <w:p>
      <w:pPr>
        <w:spacing w:after="0" w:line="346"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total of $8,400. Chevron submitted a rebuttal to the revised report, and Chevron will continue a vigorous defense of any attempted imposition of liability.</w:t>
      </w:r>
    </w:p>
    <w:p>
      <w:pPr>
        <w:spacing w:after="0" w:line="1" w:lineRule="exact"/>
        <w:rPr>
          <w:sz w:val="20"/>
          <w:szCs w:val="20"/>
          <w:color w:val="auto"/>
        </w:rPr>
      </w:pPr>
    </w:p>
    <w:p>
      <w:pPr>
        <w:ind w:right="20" w:firstLine="160"/>
        <w:spacing w:after="0" w:line="274" w:lineRule="auto"/>
        <w:rPr>
          <w:sz w:val="20"/>
          <w:szCs w:val="20"/>
          <w:color w:val="auto"/>
        </w:rPr>
      </w:pPr>
      <w:r>
        <w:rPr>
          <w:rFonts w:ascii="Arial" w:cs="Arial" w:eastAsia="Arial" w:hAnsi="Arial"/>
          <w:sz w:val="12"/>
          <w:szCs w:val="12"/>
          <w:color w:val="auto"/>
        </w:rPr>
        <w:t>Management does not believe an estimate of a reasonably possible loss (or a range of loss) can be made in this case. Due to the defects associated with the engineer’s report, management does not believe the report itself has any utility in calculating a reasonably possible loss (or a range of loss). Moreover, the highly uncertain legal environment surrounding the case provides no basis for management to estimate a reasonably possible loss (or a range of loss).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16</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Taxes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980" w:type="dxa"/>
            <w:vAlign w:val="bottom"/>
            <w:tcBorders>
              <w:bottom w:val="single" w:sz="8" w:color="0077C0"/>
            </w:tcBorders>
            <w:gridSpan w:val="3"/>
          </w:tcPr>
          <w:p>
            <w:pPr>
              <w:jc w:val="right"/>
              <w:spacing w:after="0"/>
              <w:rPr>
                <w:sz w:val="20"/>
                <w:szCs w:val="20"/>
                <w:color w:val="auto"/>
              </w:rPr>
            </w:pPr>
            <w:r>
              <w:rPr>
                <w:rFonts w:ascii="Arial" w:cs="Arial" w:eastAsia="Arial" w:hAnsi="Arial"/>
                <w:sz w:val="10"/>
                <w:szCs w:val="10"/>
                <w:color w:val="auto"/>
                <w:w w:val="83"/>
              </w:rPr>
              <w:t>Year ended December 31</w:t>
            </w:r>
          </w:p>
        </w:tc>
        <w:tc>
          <w:tcPr>
            <w:tcW w:w="0" w:type="dxa"/>
            <w:vAlign w:val="bottom"/>
          </w:tcPr>
          <w:p>
            <w:pPr>
              <w:spacing w:after="0"/>
              <w:rPr>
                <w:sz w:val="1"/>
                <w:szCs w:val="1"/>
                <w:color w:val="auto"/>
              </w:rPr>
            </w:pPr>
          </w:p>
        </w:tc>
      </w:tr>
      <w:tr>
        <w:trPr>
          <w:trHeight w:val="95"/>
        </w:trPr>
        <w:tc>
          <w:tcPr>
            <w:tcW w:w="378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460" w:type="dxa"/>
            <w:vAlign w:val="bottom"/>
            <w:tcBorders>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0077C0"/>
            </w:tcBorders>
          </w:tcPr>
          <w:p>
            <w:pPr>
              <w:spacing w:after="0"/>
              <w:rPr>
                <w:sz w:val="8"/>
                <w:szCs w:val="8"/>
                <w:color w:val="auto"/>
              </w:rPr>
            </w:pPr>
          </w:p>
        </w:tc>
        <w:tc>
          <w:tcPr>
            <w:tcW w:w="460" w:type="dxa"/>
            <w:vAlign w:val="bottom"/>
            <w:tcBorders>
              <w:bottom w:val="single" w:sz="8" w:color="0077C0"/>
            </w:tcBorders>
          </w:tcPr>
          <w:p>
            <w:pPr>
              <w:jc w:val="right"/>
              <w:ind w:right="109"/>
              <w:spacing w:after="0" w:line="95" w:lineRule="exact"/>
              <w:rPr>
                <w:sz w:val="20"/>
                <w:szCs w:val="20"/>
                <w:color w:val="auto"/>
              </w:rPr>
            </w:pPr>
            <w:r>
              <w:rPr>
                <w:rFonts w:ascii="Arial" w:cs="Arial" w:eastAsia="Arial" w:hAnsi="Arial"/>
                <w:sz w:val="10"/>
                <w:szCs w:val="10"/>
                <w:color w:val="auto"/>
              </w:rPr>
              <w:t>2007</w:t>
            </w:r>
          </w:p>
        </w:tc>
        <w:tc>
          <w:tcPr>
            <w:tcW w:w="220" w:type="dxa"/>
            <w:vAlign w:val="bottom"/>
            <w:tcBorders>
              <w:bottom w:val="single" w:sz="8" w:color="0077C0"/>
            </w:tcBorders>
          </w:tcPr>
          <w:p>
            <w:pPr>
              <w:spacing w:after="0"/>
              <w:rPr>
                <w:sz w:val="8"/>
                <w:szCs w:val="8"/>
                <w:color w:val="auto"/>
              </w:rPr>
            </w:pPr>
          </w:p>
        </w:tc>
        <w:tc>
          <w:tcPr>
            <w:tcW w:w="30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color w:val="auto"/>
              </w:rPr>
              <w:t>Taxes on income</w:t>
            </w:r>
          </w:p>
        </w:tc>
        <w:tc>
          <w:tcPr>
            <w:tcW w:w="8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780" w:type="dxa"/>
            <w:vAlign w:val="bottom"/>
          </w:tcPr>
          <w:p>
            <w:pPr>
              <w:spacing w:after="0" w:line="106" w:lineRule="exact"/>
              <w:rPr>
                <w:sz w:val="20"/>
                <w:szCs w:val="20"/>
                <w:color w:val="auto"/>
              </w:rPr>
            </w:pPr>
            <w:r>
              <w:rPr>
                <w:rFonts w:ascii="Arial" w:cs="Arial" w:eastAsia="Arial" w:hAnsi="Arial"/>
                <w:sz w:val="10"/>
                <w:szCs w:val="10"/>
                <w:color w:val="auto"/>
              </w:rPr>
              <w:t>U.S. Federal</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2,879</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Current</w:t>
            </w:r>
          </w:p>
        </w:tc>
        <w:tc>
          <w:tcPr>
            <w:tcW w:w="8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1,446</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2,828</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Deferred</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274</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225</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200</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State and local</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669</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338</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581</w:t>
            </w: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United States</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3,822</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2,009</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3,609</w:t>
            </w: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color w:val="auto"/>
              </w:rPr>
              <w:t>International</w:t>
            </w:r>
          </w:p>
        </w:tc>
        <w:tc>
          <w:tcPr>
            <w:tcW w:w="8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84"/>
              </w:rPr>
              <w:t>15,021</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Current</w:t>
            </w:r>
          </w:p>
        </w:tc>
        <w:tc>
          <w:tcPr>
            <w:tcW w:w="8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w w:val="91"/>
              </w:rPr>
              <w:t>11,416</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w w:val="91"/>
              </w:rPr>
              <w:t>11,030</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Deferred</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183</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199</w:t>
            </w: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International</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15,204</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11,470</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11,229</w:t>
            </w:r>
          </w:p>
        </w:tc>
        <w:tc>
          <w:tcPr>
            <w:tcW w:w="0" w:type="dxa"/>
            <w:vAlign w:val="bottom"/>
          </w:tcPr>
          <w:p>
            <w:pPr>
              <w:spacing w:after="0"/>
              <w:rPr>
                <w:sz w:val="1"/>
                <w:szCs w:val="1"/>
                <w:color w:val="auto"/>
              </w:rPr>
            </w:pPr>
          </w:p>
        </w:tc>
      </w:tr>
      <w:tr>
        <w:trPr>
          <w:trHeight w:val="114"/>
        </w:trPr>
        <w:tc>
          <w:tcPr>
            <w:tcW w:w="37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taxes on income</w:t>
            </w:r>
          </w:p>
        </w:tc>
        <w:tc>
          <w:tcPr>
            <w:tcW w:w="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19,026</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13,479</w:t>
            </w:r>
          </w:p>
        </w:tc>
        <w:tc>
          <w:tcPr>
            <w:tcW w:w="2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14,838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80" w:firstLine="160"/>
        <w:spacing w:after="0" w:line="270" w:lineRule="auto"/>
        <w:rPr>
          <w:sz w:val="20"/>
          <w:szCs w:val="20"/>
          <w:color w:val="auto"/>
        </w:rPr>
      </w:pPr>
      <w:r>
        <w:rPr>
          <w:rFonts w:ascii="Arial" w:cs="Arial" w:eastAsia="Arial" w:hAnsi="Arial"/>
          <w:sz w:val="12"/>
          <w:szCs w:val="12"/>
          <w:color w:val="auto"/>
        </w:rPr>
        <w:t>In 2008, before-tax income for U.S. operations, including related corporate and other charges, was $10,682, compared with before-tax income of $7,794 and $9,131 in 2007 and 2006, respectively. For international operations, before-tax income was $32,275, $24,373 and $22,845 in 2008, 2007 and 2006, respectively. U.S. federal income tax expense was reduced by $198, $132 and $116 in 2008, 2007 and 2006, respectively, for business tax credits.</w:t>
      </w:r>
    </w:p>
    <w:p>
      <w:pPr>
        <w:spacing w:after="0" w:line="1" w:lineRule="exact"/>
        <w:rPr>
          <w:sz w:val="20"/>
          <w:szCs w:val="20"/>
          <w:color w:val="auto"/>
        </w:rPr>
      </w:pPr>
    </w:p>
    <w:p>
      <w:pPr>
        <w:ind w:right="340" w:firstLine="158"/>
        <w:spacing w:after="0" w:line="253" w:lineRule="auto"/>
        <w:rPr>
          <w:sz w:val="20"/>
          <w:szCs w:val="20"/>
          <w:color w:val="auto"/>
        </w:rPr>
      </w:pPr>
      <w:r>
        <w:rPr>
          <w:rFonts w:ascii="Arial" w:cs="Arial" w:eastAsia="Arial" w:hAnsi="Arial"/>
          <w:sz w:val="13"/>
          <w:szCs w:val="13"/>
          <w:color w:val="auto"/>
        </w:rPr>
        <w:t>The reconciliation between the U.S. statutory federal income tax rate and the company’s effective income tax rate is explained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0"/>
                <w:szCs w:val="10"/>
                <w:color w:val="auto"/>
                <w:w w:val="92"/>
              </w:rPr>
              <w:t>Year ended December 31</w:t>
            </w:r>
          </w:p>
        </w:tc>
        <w:tc>
          <w:tcPr>
            <w:tcW w:w="0" w:type="dxa"/>
            <w:vAlign w:val="bottom"/>
          </w:tcPr>
          <w:p>
            <w:pPr>
              <w:spacing w:after="0"/>
              <w:rPr>
                <w:sz w:val="1"/>
                <w:szCs w:val="1"/>
                <w:color w:val="auto"/>
              </w:rPr>
            </w:pPr>
          </w:p>
        </w:tc>
      </w:tr>
      <w:tr>
        <w:trPr>
          <w:trHeight w:val="95"/>
        </w:trPr>
        <w:tc>
          <w:tcPr>
            <w:tcW w:w="3800" w:type="dxa"/>
            <w:vAlign w:val="bottom"/>
            <w:tcBorders>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2008</w:t>
            </w:r>
          </w:p>
        </w:tc>
        <w:tc>
          <w:tcPr>
            <w:tcW w:w="680" w:type="dxa"/>
            <w:vAlign w:val="bottom"/>
            <w:tcBorders>
              <w:top w:val="single" w:sz="8" w:color="0077C0"/>
              <w:bottom w:val="single" w:sz="8" w:color="0077C0"/>
            </w:tcBorders>
          </w:tcPr>
          <w:p>
            <w:pPr>
              <w:jc w:val="right"/>
              <w:ind w:right="229"/>
              <w:spacing w:after="0" w:line="95" w:lineRule="exact"/>
              <w:rPr>
                <w:sz w:val="20"/>
                <w:szCs w:val="20"/>
                <w:color w:val="auto"/>
              </w:rPr>
            </w:pPr>
            <w:r>
              <w:rPr>
                <w:rFonts w:ascii="Arial" w:cs="Arial" w:eastAsia="Arial" w:hAnsi="Arial"/>
                <w:sz w:val="10"/>
                <w:szCs w:val="10"/>
                <w:color w:val="auto"/>
              </w:rPr>
              <w:t>2007</w:t>
            </w:r>
          </w:p>
        </w:tc>
        <w:tc>
          <w:tcPr>
            <w:tcW w:w="420" w:type="dxa"/>
            <w:vAlign w:val="bottom"/>
            <w:tcBorders>
              <w:top w:val="single" w:sz="8" w:color="0077C0"/>
              <w:bottom w:val="single" w:sz="8" w:color="0077C0"/>
            </w:tcBorders>
            <w:gridSpan w:val="2"/>
          </w:tcPr>
          <w:p>
            <w:pPr>
              <w:jc w:val="right"/>
              <w:ind w:right="20"/>
              <w:spacing w:after="0" w:line="95" w:lineRule="exact"/>
              <w:rPr>
                <w:sz w:val="20"/>
                <w:szCs w:val="20"/>
                <w:color w:val="auto"/>
              </w:rPr>
            </w:pPr>
            <w:r>
              <w:rPr>
                <w:rFonts w:ascii="Arial" w:cs="Arial" w:eastAsia="Arial" w:hAnsi="Arial"/>
                <w:sz w:val="10"/>
                <w:szCs w:val="10"/>
                <w:color w:val="auto"/>
              </w:rPr>
              <w:t>2006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line="92" w:lineRule="exact"/>
              <w:rPr>
                <w:sz w:val="20"/>
                <w:szCs w:val="20"/>
                <w:color w:val="auto"/>
              </w:rPr>
            </w:pPr>
            <w:r>
              <w:rPr>
                <w:rFonts w:ascii="Arial" w:cs="Arial" w:eastAsia="Arial" w:hAnsi="Arial"/>
                <w:sz w:val="10"/>
                <w:szCs w:val="10"/>
                <w:color w:val="auto"/>
              </w:rPr>
              <w:t>U.S. statutory federal income tax rate</w:t>
            </w:r>
          </w:p>
        </w:tc>
        <w:tc>
          <w:tcPr>
            <w:tcW w:w="540" w:type="dxa"/>
            <w:vAlign w:val="bottom"/>
            <w:tcBorders>
              <w:right w:val="single" w:sz="8" w:color="0077C0"/>
            </w:tcBorders>
          </w:tcPr>
          <w:p>
            <w:pPr>
              <w:jc w:val="right"/>
              <w:ind w:right="69"/>
              <w:spacing w:after="0" w:line="92" w:lineRule="exact"/>
              <w:rPr>
                <w:sz w:val="20"/>
                <w:szCs w:val="20"/>
                <w:color w:val="auto"/>
              </w:rPr>
            </w:pPr>
            <w:r>
              <w:rPr>
                <w:rFonts w:ascii="Arial" w:cs="Arial" w:eastAsia="Arial" w:hAnsi="Arial"/>
                <w:sz w:val="10"/>
                <w:szCs w:val="10"/>
                <w:b w:val="1"/>
                <w:bCs w:val="1"/>
                <w:color w:val="auto"/>
              </w:rPr>
              <w:t>35.0%</w:t>
            </w:r>
          </w:p>
        </w:tc>
        <w:tc>
          <w:tcPr>
            <w:tcW w:w="680" w:type="dxa"/>
            <w:vAlign w:val="bottom"/>
          </w:tcPr>
          <w:p>
            <w:pPr>
              <w:jc w:val="right"/>
              <w:ind w:right="129"/>
              <w:spacing w:after="0" w:line="92" w:lineRule="exact"/>
              <w:rPr>
                <w:sz w:val="20"/>
                <w:szCs w:val="20"/>
                <w:color w:val="auto"/>
              </w:rPr>
            </w:pPr>
            <w:r>
              <w:rPr>
                <w:rFonts w:ascii="Arial" w:cs="Arial" w:eastAsia="Arial" w:hAnsi="Arial"/>
                <w:sz w:val="10"/>
                <w:szCs w:val="10"/>
                <w:color w:val="auto"/>
              </w:rPr>
              <w:t>35.0%</w:t>
            </w:r>
          </w:p>
        </w:tc>
        <w:tc>
          <w:tcPr>
            <w:tcW w:w="480" w:type="dxa"/>
            <w:vAlign w:val="bottom"/>
            <w:gridSpan w:val="3"/>
          </w:tcPr>
          <w:p>
            <w:pPr>
              <w:jc w:val="right"/>
              <w:spacing w:after="0" w:line="92" w:lineRule="exact"/>
              <w:rPr>
                <w:sz w:val="20"/>
                <w:szCs w:val="20"/>
                <w:color w:val="auto"/>
              </w:rPr>
            </w:pPr>
            <w:r>
              <w:rPr>
                <w:rFonts w:ascii="Arial" w:cs="Arial" w:eastAsia="Arial" w:hAnsi="Arial"/>
                <w:sz w:val="10"/>
                <w:szCs w:val="10"/>
                <w:color w:val="auto"/>
              </w:rPr>
              <w:t>35.0%</w:t>
            </w: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Effect of income taxes from international operations at rates different from the U.S.</w:t>
            </w:r>
          </w:p>
        </w:tc>
        <w:tc>
          <w:tcPr>
            <w:tcW w:w="54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10.2</w:t>
            </w: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00" w:type="dxa"/>
            <w:vAlign w:val="bottom"/>
          </w:tcPr>
          <w:p>
            <w:pPr>
              <w:ind w:left="100"/>
              <w:spacing w:after="0" w:line="104" w:lineRule="exact"/>
              <w:rPr>
                <w:sz w:val="20"/>
                <w:szCs w:val="20"/>
                <w:color w:val="auto"/>
              </w:rPr>
            </w:pPr>
            <w:r>
              <w:rPr>
                <w:rFonts w:ascii="Arial" w:cs="Arial" w:eastAsia="Arial" w:hAnsi="Arial"/>
                <w:sz w:val="10"/>
                <w:szCs w:val="10"/>
                <w:color w:val="auto"/>
              </w:rPr>
              <w:t>statutory rate</w:t>
            </w:r>
          </w:p>
        </w:tc>
        <w:tc>
          <w:tcPr>
            <w:tcW w:w="540" w:type="dxa"/>
            <w:vAlign w:val="bottom"/>
            <w:tcBorders>
              <w:right w:val="single" w:sz="8" w:color="0077C0"/>
            </w:tcBorders>
            <w:vMerge w:val="continue"/>
          </w:tcPr>
          <w:p>
            <w:pPr>
              <w:spacing w:after="0"/>
              <w:rPr>
                <w:sz w:val="9"/>
                <w:szCs w:val="9"/>
                <w:color w:val="auto"/>
              </w:rPr>
            </w:pPr>
          </w:p>
        </w:tc>
        <w:tc>
          <w:tcPr>
            <w:tcW w:w="680" w:type="dxa"/>
            <w:vAlign w:val="bottom"/>
          </w:tcPr>
          <w:p>
            <w:pPr>
              <w:jc w:val="right"/>
              <w:ind w:right="229"/>
              <w:spacing w:after="0" w:line="104" w:lineRule="exact"/>
              <w:rPr>
                <w:sz w:val="20"/>
                <w:szCs w:val="20"/>
                <w:color w:val="auto"/>
              </w:rPr>
            </w:pPr>
            <w:r>
              <w:rPr>
                <w:rFonts w:ascii="Arial" w:cs="Arial" w:eastAsia="Arial" w:hAnsi="Arial"/>
                <w:sz w:val="10"/>
                <w:szCs w:val="10"/>
                <w:color w:val="auto"/>
              </w:rPr>
              <w:t>8.3</w:t>
            </w:r>
          </w:p>
        </w:tc>
        <w:tc>
          <w:tcPr>
            <w:tcW w:w="42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10.3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State and local taxes on income, net of U.S. federal income tax benefit</w:t>
            </w:r>
          </w:p>
        </w:tc>
        <w:tc>
          <w:tcPr>
            <w:tcW w:w="54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1.0</w:t>
            </w:r>
          </w:p>
        </w:tc>
        <w:tc>
          <w:tcPr>
            <w:tcW w:w="68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0.8</w:t>
            </w:r>
          </w:p>
        </w:tc>
        <w:tc>
          <w:tcPr>
            <w:tcW w:w="4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Prior-year tax adjustments</w:t>
            </w:r>
          </w:p>
        </w:tc>
        <w:tc>
          <w:tcPr>
            <w:tcW w:w="54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(0.1)</w:t>
            </w:r>
          </w:p>
        </w:tc>
        <w:tc>
          <w:tcPr>
            <w:tcW w:w="68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0.3</w:t>
            </w:r>
          </w:p>
        </w:tc>
        <w:tc>
          <w:tcPr>
            <w:tcW w:w="4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0.9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Tax credits</w:t>
            </w:r>
          </w:p>
        </w:tc>
        <w:tc>
          <w:tcPr>
            <w:tcW w:w="54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(0.5)</w:t>
            </w: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(0.4)</w:t>
            </w:r>
          </w:p>
        </w:tc>
        <w:tc>
          <w:tcPr>
            <w:tcW w:w="48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Effects of enacted changes in tax laws</w:t>
            </w:r>
          </w:p>
        </w:tc>
        <w:tc>
          <w:tcPr>
            <w:tcW w:w="54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(0.6)</w:t>
            </w: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(0.3)</w:t>
            </w:r>
          </w:p>
        </w:tc>
        <w:tc>
          <w:tcPr>
            <w:tcW w:w="4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0.3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20"/>
                <w:szCs w:val="20"/>
                <w:color w:val="auto"/>
              </w:rPr>
            </w:pPr>
            <w:r>
              <w:rPr>
                <w:rFonts w:ascii="Arial" w:cs="Arial" w:eastAsia="Arial" w:hAnsi="Arial"/>
                <w:sz w:val="10"/>
                <w:szCs w:val="10"/>
                <w:color w:val="auto"/>
              </w:rPr>
              <w:t>Other</w:t>
            </w:r>
          </w:p>
        </w:tc>
        <w:tc>
          <w:tcPr>
            <w:tcW w:w="540" w:type="dxa"/>
            <w:vAlign w:val="bottom"/>
            <w:tcBorders>
              <w:right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(0.7)</w:t>
            </w: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(1.8)</w:t>
            </w:r>
          </w:p>
        </w:tc>
        <w:tc>
          <w:tcPr>
            <w:tcW w:w="480" w:type="dxa"/>
            <w:vAlign w:val="bottom"/>
            <w:gridSpan w:val="3"/>
          </w:tcPr>
          <w:p>
            <w:pPr>
              <w:jc w:val="right"/>
              <w:ind w:right="40"/>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20"/>
        </w:trPr>
        <w:tc>
          <w:tcPr>
            <w:tcW w:w="3800" w:type="dxa"/>
            <w:vAlign w:val="bottom"/>
            <w:shd w:val="clear" w:color="auto" w:fill="0077C0"/>
          </w:tcPr>
          <w:p>
            <w:pPr>
              <w:spacing w:after="0" w:line="20" w:lineRule="exact"/>
              <w:rPr>
                <w:sz w:val="1"/>
                <w:szCs w:val="1"/>
                <w:color w:val="auto"/>
              </w:rPr>
            </w:pPr>
          </w:p>
        </w:tc>
        <w:tc>
          <w:tcPr>
            <w:tcW w:w="540" w:type="dxa"/>
            <w:vAlign w:val="bottom"/>
            <w:tcBorders>
              <w:right w:val="single" w:sz="8" w:color="0077C0"/>
            </w:tcBorders>
            <w:shd w:val="clear" w:color="auto" w:fill="0077C0"/>
          </w:tcPr>
          <w:p>
            <w:pPr>
              <w:spacing w:after="0" w:line="20" w:lineRule="exact"/>
              <w:rPr>
                <w:sz w:val="1"/>
                <w:szCs w:val="1"/>
                <w:color w:val="auto"/>
              </w:rPr>
            </w:pPr>
          </w:p>
        </w:tc>
        <w:tc>
          <w:tcPr>
            <w:tcW w:w="680" w:type="dxa"/>
            <w:vAlign w:val="bottom"/>
            <w:shd w:val="clear" w:color="auto" w:fill="0077C0"/>
          </w:tcPr>
          <w:p>
            <w:pPr>
              <w:spacing w:after="0" w:line="20" w:lineRule="exact"/>
              <w:rPr>
                <w:sz w:val="1"/>
                <w:szCs w:val="1"/>
                <w:color w:val="auto"/>
              </w:rPr>
            </w:pPr>
          </w:p>
        </w:tc>
        <w:tc>
          <w:tcPr>
            <w:tcW w:w="400" w:type="dxa"/>
            <w:vAlign w:val="bottom"/>
            <w:shd w:val="clear" w:color="auto" w:fill="0077C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800" w:type="dxa"/>
            <w:vAlign w:val="bottom"/>
          </w:tcPr>
          <w:p>
            <w:pPr>
              <w:spacing w:after="0" w:line="105" w:lineRule="exact"/>
              <w:rPr>
                <w:sz w:val="20"/>
                <w:szCs w:val="20"/>
                <w:color w:val="auto"/>
              </w:rPr>
            </w:pPr>
            <w:r>
              <w:rPr>
                <w:rFonts w:ascii="Arial" w:cs="Arial" w:eastAsia="Arial" w:hAnsi="Arial"/>
                <w:sz w:val="10"/>
                <w:szCs w:val="10"/>
                <w:color w:val="auto"/>
              </w:rPr>
              <w:t>Effective tax rate</w:t>
            </w:r>
          </w:p>
        </w:tc>
        <w:tc>
          <w:tcPr>
            <w:tcW w:w="540" w:type="dxa"/>
            <w:vAlign w:val="bottom"/>
            <w:tcBorders>
              <w:right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44.3%</w:t>
            </w:r>
          </w:p>
        </w:tc>
        <w:tc>
          <w:tcPr>
            <w:tcW w:w="680" w:type="dxa"/>
            <w:vAlign w:val="bottom"/>
          </w:tcPr>
          <w:p>
            <w:pPr>
              <w:jc w:val="right"/>
              <w:ind w:right="129"/>
              <w:spacing w:after="0" w:line="105" w:lineRule="exact"/>
              <w:rPr>
                <w:sz w:val="20"/>
                <w:szCs w:val="20"/>
                <w:color w:val="auto"/>
              </w:rPr>
            </w:pPr>
            <w:r>
              <w:rPr>
                <w:rFonts w:ascii="Arial" w:cs="Arial" w:eastAsia="Arial" w:hAnsi="Arial"/>
                <w:sz w:val="10"/>
                <w:szCs w:val="10"/>
                <w:color w:val="auto"/>
              </w:rPr>
              <w:t>41.9%</w:t>
            </w:r>
          </w:p>
        </w:tc>
        <w:tc>
          <w:tcPr>
            <w:tcW w:w="480" w:type="dxa"/>
            <w:vAlign w:val="bottom"/>
            <w:gridSpan w:val="3"/>
          </w:tcPr>
          <w:p>
            <w:pPr>
              <w:jc w:val="right"/>
              <w:spacing w:after="0" w:line="105" w:lineRule="exact"/>
              <w:rPr>
                <w:sz w:val="20"/>
                <w:szCs w:val="20"/>
                <w:color w:val="auto"/>
              </w:rPr>
            </w:pPr>
            <w:r>
              <w:rPr>
                <w:rFonts w:ascii="Arial" w:cs="Arial" w:eastAsia="Arial" w:hAnsi="Arial"/>
                <w:sz w:val="10"/>
                <w:szCs w:val="10"/>
                <w:color w:val="auto"/>
              </w:rPr>
              <w:t>46.4%</w:t>
            </w:r>
          </w:p>
        </w:tc>
        <w:tc>
          <w:tcPr>
            <w:tcW w:w="0" w:type="dxa"/>
            <w:vAlign w:val="bottom"/>
          </w:tcPr>
          <w:p>
            <w:pPr>
              <w:spacing w:after="0"/>
              <w:rPr>
                <w:sz w:val="1"/>
                <w:szCs w:val="1"/>
                <w:color w:val="auto"/>
              </w:rPr>
            </w:pPr>
          </w:p>
        </w:tc>
      </w:tr>
      <w:tr>
        <w:trPr>
          <w:trHeight w:val="29"/>
        </w:trPr>
        <w:tc>
          <w:tcPr>
            <w:tcW w:w="3800" w:type="dxa"/>
            <w:vAlign w:val="bottom"/>
            <w:shd w:val="clear" w:color="auto" w:fill="0077C0"/>
          </w:tcPr>
          <w:p>
            <w:pPr>
              <w:spacing w:after="0"/>
              <w:rPr>
                <w:sz w:val="2"/>
                <w:szCs w:val="2"/>
                <w:color w:val="auto"/>
              </w:rPr>
            </w:pPr>
          </w:p>
        </w:tc>
        <w:tc>
          <w:tcPr>
            <w:tcW w:w="540" w:type="dxa"/>
            <w:vAlign w:val="bottom"/>
            <w:tcBorders>
              <w:right w:val="single" w:sz="8" w:color="0077C0"/>
            </w:tcBorders>
            <w:shd w:val="clear" w:color="auto" w:fill="0077C0"/>
          </w:tcPr>
          <w:p>
            <w:pPr>
              <w:spacing w:after="0"/>
              <w:rPr>
                <w:sz w:val="2"/>
                <w:szCs w:val="2"/>
                <w:color w:val="auto"/>
              </w:rPr>
            </w:pPr>
          </w:p>
        </w:tc>
        <w:tc>
          <w:tcPr>
            <w:tcW w:w="680" w:type="dxa"/>
            <w:vAlign w:val="bottom"/>
            <w:shd w:val="clear" w:color="auto" w:fill="0077C0"/>
          </w:tcPr>
          <w:p>
            <w:pPr>
              <w:spacing w:after="0"/>
              <w:rPr>
                <w:sz w:val="2"/>
                <w:szCs w:val="2"/>
                <w:color w:val="auto"/>
              </w:rPr>
            </w:pPr>
          </w:p>
        </w:tc>
        <w:tc>
          <w:tcPr>
            <w:tcW w:w="40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360" w:right="40" w:firstLine="158"/>
        <w:spacing w:after="0" w:line="269" w:lineRule="auto"/>
        <w:rPr>
          <w:sz w:val="20"/>
          <w:szCs w:val="20"/>
          <w:color w:val="auto"/>
        </w:rPr>
      </w:pPr>
      <w:r>
        <w:rPr>
          <w:rFonts w:ascii="Arial" w:cs="Arial" w:eastAsia="Arial" w:hAnsi="Arial"/>
          <w:sz w:val="12"/>
          <w:szCs w:val="12"/>
          <w:color w:val="auto"/>
        </w:rPr>
        <w:t>The company’s effective tax rate increased from 41.9 percent in 2007 to 44.3 percent in 2008. The increase in the “Effect of income taxes from international operations at rates different from the U.S. statutory rate” from 8.3 percent in 2007 to 10.2 percent in 2008 was mainly due to a greater proportion of income being earned in 2008 in tax jurisdictions with higher tax rates. In addition, the 2007 period included a relatively low tax rate on the sale of downstream assets in Europe. The change in “Other” from a negative 1.8 percent to a negative 0.7 percent primarily related to a lower effective tax rate on the sale of the company’s investment in Dynegy common stock in 2007.</w:t>
      </w:r>
    </w:p>
    <w:p>
      <w:pPr>
        <w:spacing w:after="0" w:line="2" w:lineRule="exact"/>
        <w:rPr>
          <w:sz w:val="20"/>
          <w:szCs w:val="20"/>
          <w:color w:val="auto"/>
        </w:rPr>
      </w:pPr>
    </w:p>
    <w:p>
      <w:pPr>
        <w:ind w:left="360" w:right="160" w:firstLine="158"/>
        <w:spacing w:after="0" w:line="250" w:lineRule="auto"/>
        <w:rPr>
          <w:sz w:val="20"/>
          <w:szCs w:val="20"/>
          <w:color w:val="auto"/>
        </w:rPr>
      </w:pPr>
      <w:r>
        <w:rPr>
          <w:rFonts w:ascii="Arial" w:cs="Arial" w:eastAsia="Arial" w:hAnsi="Arial"/>
          <w:sz w:val="13"/>
          <w:szCs w:val="13"/>
          <w:color w:val="auto"/>
        </w:rPr>
        <w:t>The company records its deferred taxes on a tax-jurisdiction basis and classifies those net amounts as current or noncurrent based on the balance sheet classification of the related assets or liabilities. The reported deferred tax balances are composed of the following:</w:t>
      </w:r>
    </w:p>
    <w:p>
      <w:pPr>
        <w:spacing w:after="0" w:line="91"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0"/>
                <w:szCs w:val="10"/>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0077C0"/>
            </w:tcBorders>
          </w:tcPr>
          <w:p>
            <w:pPr>
              <w:spacing w:after="0"/>
              <w:rPr>
                <w:sz w:val="8"/>
                <w:szCs w:val="8"/>
                <w:color w:val="auto"/>
              </w:rPr>
            </w:pPr>
          </w:p>
        </w:tc>
        <w:tc>
          <w:tcPr>
            <w:tcW w:w="140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4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040" w:type="dxa"/>
            <w:vAlign w:val="bottom"/>
          </w:tcPr>
          <w:p>
            <w:pPr>
              <w:spacing w:after="0" w:line="92" w:lineRule="exact"/>
              <w:rPr>
                <w:sz w:val="20"/>
                <w:szCs w:val="20"/>
                <w:color w:val="auto"/>
              </w:rPr>
            </w:pPr>
            <w:r>
              <w:rPr>
                <w:rFonts w:ascii="Arial" w:cs="Arial" w:eastAsia="Arial" w:hAnsi="Arial"/>
                <w:sz w:val="10"/>
                <w:szCs w:val="10"/>
                <w:color w:val="auto"/>
              </w:rPr>
              <w:t>Deferred tax liabilities</w:t>
            </w: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91"/>
              </w:rPr>
              <w:t>18,271</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40" w:type="dxa"/>
            <w:vAlign w:val="bottom"/>
          </w:tcPr>
          <w:p>
            <w:pPr>
              <w:ind w:left="80"/>
              <w:spacing w:after="0" w:line="104" w:lineRule="exact"/>
              <w:rPr>
                <w:sz w:val="20"/>
                <w:szCs w:val="20"/>
                <w:color w:val="auto"/>
              </w:rPr>
            </w:pPr>
            <w:r>
              <w:rPr>
                <w:rFonts w:ascii="Arial" w:cs="Arial" w:eastAsia="Arial" w:hAnsi="Arial"/>
                <w:sz w:val="10"/>
                <w:szCs w:val="10"/>
                <w:color w:val="auto"/>
              </w:rPr>
              <w:t>Properties, plant and equipment</w:t>
            </w:r>
          </w:p>
        </w:tc>
        <w:tc>
          <w:tcPr>
            <w:tcW w:w="1460" w:type="dxa"/>
            <w:vAlign w:val="bottom"/>
            <w:gridSpan w:val="2"/>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460" w:type="dxa"/>
            <w:vAlign w:val="bottom"/>
          </w:tcPr>
          <w:p>
            <w:pPr>
              <w:jc w:val="right"/>
              <w:spacing w:after="0" w:line="104" w:lineRule="exact"/>
              <w:rPr>
                <w:sz w:val="20"/>
                <w:szCs w:val="20"/>
                <w:color w:val="auto"/>
              </w:rPr>
            </w:pPr>
            <w:r>
              <w:rPr>
                <w:rFonts w:ascii="Arial" w:cs="Arial" w:eastAsia="Arial" w:hAnsi="Arial"/>
                <w:sz w:val="10"/>
                <w:szCs w:val="10"/>
                <w:color w:val="auto"/>
              </w:rPr>
              <w:t>$ 17,310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Investments and other</w:t>
            </w:r>
          </w:p>
        </w:tc>
        <w:tc>
          <w:tcPr>
            <w:tcW w:w="140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2,225</w:t>
            </w: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1,837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deferred tax liabilities</w:t>
            </w:r>
          </w:p>
        </w:tc>
        <w:tc>
          <w:tcPr>
            <w:tcW w:w="140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8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1"/>
              </w:rPr>
              <w:t>20,496</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19,147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040" w:type="dxa"/>
            <w:vAlign w:val="bottom"/>
          </w:tcPr>
          <w:p>
            <w:pPr>
              <w:spacing w:after="0" w:line="92" w:lineRule="exact"/>
              <w:rPr>
                <w:sz w:val="20"/>
                <w:szCs w:val="20"/>
                <w:color w:val="auto"/>
              </w:rPr>
            </w:pPr>
            <w:r>
              <w:rPr>
                <w:rFonts w:ascii="Arial" w:cs="Arial" w:eastAsia="Arial" w:hAnsi="Arial"/>
                <w:sz w:val="10"/>
                <w:szCs w:val="10"/>
                <w:color w:val="auto"/>
              </w:rPr>
              <w:t>Deferred tax assets</w:t>
            </w: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(4,338)</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40" w:type="dxa"/>
            <w:vAlign w:val="bottom"/>
          </w:tcPr>
          <w:p>
            <w:pPr>
              <w:ind w:left="80"/>
              <w:spacing w:after="0" w:line="104" w:lineRule="exact"/>
              <w:rPr>
                <w:sz w:val="20"/>
                <w:szCs w:val="20"/>
                <w:color w:val="auto"/>
              </w:rPr>
            </w:pPr>
            <w:r>
              <w:rPr>
                <w:rFonts w:ascii="Arial" w:cs="Arial" w:eastAsia="Arial" w:hAnsi="Arial"/>
                <w:sz w:val="10"/>
                <w:szCs w:val="10"/>
                <w:color w:val="auto"/>
              </w:rPr>
              <w:t>Abandonment/environmental reserves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5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(3,587)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Employee benefits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(3,488)</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(2,148)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Tax loss carryforwards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(1,139)</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(1,603)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Deferred credits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(3,933)</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(1,689)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Foreign tax credits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(4,784)</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(3,138)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Inventory</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(260)</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(608)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Pr>
          <w:p>
            <w:pPr>
              <w:ind w:left="80"/>
              <w:spacing w:after="0" w:line="106" w:lineRule="exact"/>
              <w:rPr>
                <w:sz w:val="20"/>
                <w:szCs w:val="20"/>
                <w:color w:val="auto"/>
              </w:rPr>
            </w:pPr>
            <w:r>
              <w:rPr>
                <w:rFonts w:ascii="Arial" w:cs="Arial" w:eastAsia="Arial" w:hAnsi="Arial"/>
                <w:sz w:val="10"/>
                <w:szCs w:val="10"/>
                <w:color w:val="auto"/>
              </w:rPr>
              <w:t>Other accrued liabilities</w:t>
            </w: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(445)</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Pr>
          <w:p>
            <w:pPr>
              <w:ind w:left="80"/>
              <w:spacing w:after="0"/>
              <w:rPr>
                <w:sz w:val="20"/>
                <w:szCs w:val="20"/>
                <w:color w:val="auto"/>
              </w:rPr>
            </w:pPr>
            <w:r>
              <w:rPr>
                <w:rFonts w:ascii="Arial" w:cs="Arial" w:eastAsia="Arial" w:hAnsi="Arial"/>
                <w:sz w:val="10"/>
                <w:szCs w:val="10"/>
                <w:color w:val="auto"/>
              </w:rPr>
              <w:t>Miscellaneous</w:t>
            </w: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(1,732)</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(1,528)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deferred tax assets</w:t>
            </w:r>
          </w:p>
        </w:tc>
        <w:tc>
          <w:tcPr>
            <w:tcW w:w="1400" w:type="dxa"/>
            <w:vAlign w:val="bottom"/>
            <w:tcBorders>
              <w:top w:val="single" w:sz="8" w:color="0077C0"/>
              <w:bottom w:val="single" w:sz="8" w:color="0077C0"/>
            </w:tcBorders>
          </w:tcPr>
          <w:p>
            <w:pPr>
              <w:spacing w:after="0"/>
              <w:rPr>
                <w:sz w:val="9"/>
                <w:szCs w:val="9"/>
                <w:color w:val="auto"/>
              </w:rPr>
            </w:pPr>
          </w:p>
        </w:tc>
        <w:tc>
          <w:tcPr>
            <w:tcW w:w="6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right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85"/>
              </w:rPr>
              <w:t>(20,119)</w:t>
            </w:r>
          </w:p>
        </w:tc>
        <w:tc>
          <w:tcPr>
            <w:tcW w:w="4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(14,778)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30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Deferred tax assets valuation allowance</w:t>
            </w:r>
          </w:p>
        </w:tc>
        <w:tc>
          <w:tcPr>
            <w:tcW w:w="140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8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7,535</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5,949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06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Total deferred taxes, net</w:t>
            </w:r>
          </w:p>
        </w:tc>
        <w:tc>
          <w:tcPr>
            <w:tcW w:w="146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7,912</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$ 10,318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60" w:right="80" w:firstLine="160"/>
        <w:spacing w:after="0" w:line="299" w:lineRule="auto"/>
        <w:rPr>
          <w:sz w:val="20"/>
          <w:szCs w:val="20"/>
          <w:color w:val="auto"/>
        </w:rPr>
      </w:pPr>
      <w:r>
        <w:rPr>
          <w:rFonts w:ascii="Arial" w:cs="Arial" w:eastAsia="Arial" w:hAnsi="Arial"/>
          <w:sz w:val="11"/>
          <w:szCs w:val="11"/>
          <w:color w:val="auto"/>
        </w:rPr>
        <w:t>Deferred tax liabilities at the end of 2008 increased by approximately $1,300 from year-end 2007. The increase was primarily related to increased temporary differences for properties, plant and equipment.</w:t>
      </w:r>
    </w:p>
    <w:p>
      <w:pPr>
        <w:spacing w:after="0" w:line="1" w:lineRule="exact"/>
        <w:rPr>
          <w:sz w:val="20"/>
          <w:szCs w:val="20"/>
          <w:color w:val="auto"/>
        </w:rPr>
      </w:pPr>
    </w:p>
    <w:p>
      <w:pPr>
        <w:ind w:left="360" w:right="220" w:firstLine="160"/>
        <w:spacing w:after="0" w:line="246" w:lineRule="auto"/>
        <w:rPr>
          <w:sz w:val="20"/>
          <w:szCs w:val="20"/>
          <w:color w:val="auto"/>
        </w:rPr>
      </w:pPr>
      <w:r>
        <w:rPr>
          <w:rFonts w:ascii="Arial" w:cs="Arial" w:eastAsia="Arial" w:hAnsi="Arial"/>
          <w:sz w:val="13"/>
          <w:szCs w:val="13"/>
          <w:color w:val="auto"/>
        </w:rPr>
        <w:t>Deferred tax assets increased by approximately $5,300 in 2008. The increase related primarily to deferred credits recorded for future tax benefits earned from a new field in Africa ($2,200); increased deferred tax benefits for pension-related obligations ($1,300); and additional foreign tax credits arising from earnings in high-tax-rate international jurisdictions ($1,600), which were substantially offset by valuation allowances.</w:t>
      </w:r>
    </w:p>
    <w:p>
      <w:pPr>
        <w:spacing w:after="0" w:line="3" w:lineRule="exact"/>
        <w:rPr>
          <w:sz w:val="20"/>
          <w:szCs w:val="20"/>
          <w:color w:val="auto"/>
        </w:rPr>
      </w:pPr>
    </w:p>
    <w:p>
      <w:pPr>
        <w:ind w:left="360" w:right="20" w:firstLine="158"/>
        <w:spacing w:after="0" w:line="249" w:lineRule="auto"/>
        <w:rPr>
          <w:sz w:val="20"/>
          <w:szCs w:val="20"/>
          <w:color w:val="auto"/>
        </w:rPr>
      </w:pPr>
      <w:r>
        <w:rPr>
          <w:rFonts w:ascii="Arial" w:cs="Arial" w:eastAsia="Arial" w:hAnsi="Arial"/>
          <w:sz w:val="13"/>
          <w:szCs w:val="13"/>
          <w:color w:val="auto"/>
        </w:rPr>
        <w:t>The overall valuation allowance relates to foreign tax credit carryforwards, tax loss carryforwards and temporary differences for which no benefit is expected to be realized. Tax loss carryforwards exist in many international jurisdictions. Whereas some of these tax loss carryforwards do not have an expiration date, others expire at various times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FS-45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60"/>
          </w:cols>
          <w:pgMar w:left="220" w:top="339" w:right="219" w:bottom="1440" w:gutter="0" w:footer="0" w:header="0"/>
          <w:type w:val="continuous"/>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60"/>
        <w:spacing w:after="0"/>
        <w:rPr>
          <w:sz w:val="20"/>
          <w:szCs w:val="20"/>
          <w:color w:val="auto"/>
        </w:rPr>
      </w:pPr>
      <w:r>
        <w:rPr>
          <w:rFonts w:ascii="Arial" w:cs="Arial" w:eastAsia="Arial" w:hAnsi="Arial"/>
          <w:sz w:val="12"/>
          <w:szCs w:val="12"/>
          <w:color w:val="0077C0"/>
        </w:rPr>
        <w:t>Notes to the Consolidated Financial Statements</w:t>
      </w:r>
    </w:p>
    <w:p>
      <w:pPr>
        <w:jc w:val="right"/>
        <w:ind w:right="596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16 </w:t>
      </w:r>
      <w:r>
        <w:rPr>
          <w:rFonts w:ascii="Arial" w:cs="Arial" w:eastAsia="Arial" w:hAnsi="Arial"/>
          <w:sz w:val="8"/>
          <w:szCs w:val="8"/>
          <w:color w:val="000000"/>
        </w:rPr>
        <w:t>Taxes - Continued</w:t>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2009 through 2032. Foreign tax credit carryforwards of $4,784 will expire between 2009 and 2018.</w:t>
      </w:r>
    </w:p>
    <w:p>
      <w:pPr>
        <w:spacing w:after="0" w:line="141" w:lineRule="exact"/>
        <w:rPr>
          <w:sz w:val="20"/>
          <w:szCs w:val="20"/>
          <w:color w:val="auto"/>
        </w:rPr>
      </w:pPr>
    </w:p>
    <w:p>
      <w:pPr>
        <w:ind w:right="140" w:firstLine="153"/>
        <w:spacing w:after="0" w:line="267" w:lineRule="auto"/>
        <w:rPr>
          <w:sz w:val="20"/>
          <w:szCs w:val="20"/>
          <w:color w:val="auto"/>
        </w:rPr>
      </w:pPr>
      <w:r>
        <w:rPr>
          <w:rFonts w:ascii="Arial" w:cs="Arial" w:eastAsia="Arial" w:hAnsi="Arial"/>
          <w:sz w:val="13"/>
          <w:szCs w:val="13"/>
          <w:color w:val="auto"/>
        </w:rPr>
        <w:t>At December 31, 2008 and 2007, deferred taxes were classified in the Consolidated Balance Sheet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0"/>
                <w:szCs w:val="10"/>
                <w:color w:val="auto"/>
              </w:rPr>
              <w:t>At December 31</w:t>
            </w:r>
          </w:p>
        </w:tc>
      </w:tr>
      <w:tr>
        <w:trPr>
          <w:trHeight w:val="95"/>
        </w:trPr>
        <w:tc>
          <w:tcPr>
            <w:tcW w:w="44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ind w:right="110"/>
              <w:spacing w:after="0" w:line="95" w:lineRule="exact"/>
              <w:rPr>
                <w:sz w:val="20"/>
                <w:szCs w:val="20"/>
                <w:color w:val="auto"/>
              </w:rPr>
            </w:pPr>
            <w:r>
              <w:rPr>
                <w:rFonts w:ascii="Arial" w:cs="Arial" w:eastAsia="Arial" w:hAnsi="Arial"/>
                <w:sz w:val="10"/>
                <w:szCs w:val="10"/>
                <w:b w:val="1"/>
                <w:bCs w:val="1"/>
                <w:color w:val="auto"/>
              </w:rPr>
              <w:t>2008</w:t>
            </w:r>
          </w:p>
        </w:tc>
        <w:tc>
          <w:tcPr>
            <w:tcW w:w="4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0" w:type="dxa"/>
            <w:vAlign w:val="bottom"/>
          </w:tcPr>
          <w:p>
            <w:pPr>
              <w:spacing w:after="0"/>
              <w:rPr>
                <w:sz w:val="8"/>
                <w:szCs w:val="8"/>
                <w:color w:val="auto"/>
              </w:rPr>
            </w:pPr>
          </w:p>
        </w:tc>
      </w:tr>
      <w:tr>
        <w:trPr>
          <w:trHeight w:val="90"/>
        </w:trPr>
        <w:tc>
          <w:tcPr>
            <w:tcW w:w="4480" w:type="dxa"/>
            <w:vAlign w:val="bottom"/>
          </w:tcPr>
          <w:p>
            <w:pPr>
              <w:spacing w:after="0" w:line="91" w:lineRule="exact"/>
              <w:rPr>
                <w:sz w:val="20"/>
                <w:szCs w:val="20"/>
                <w:color w:val="auto"/>
              </w:rPr>
            </w:pPr>
            <w:r>
              <w:rPr>
                <w:rFonts w:ascii="Arial" w:cs="Arial" w:eastAsia="Arial" w:hAnsi="Arial"/>
                <w:sz w:val="10"/>
                <w:szCs w:val="10"/>
                <w:color w:val="auto"/>
              </w:rPr>
              <w:t>Prepaid expenses and other current assets</w:t>
            </w:r>
          </w:p>
        </w:tc>
        <w:tc>
          <w:tcPr>
            <w:tcW w:w="8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70"/>
              <w:spacing w:after="0" w:line="91" w:lineRule="exact"/>
              <w:rPr>
                <w:sz w:val="20"/>
                <w:szCs w:val="20"/>
                <w:color w:val="auto"/>
              </w:rPr>
            </w:pPr>
            <w:r>
              <w:rPr>
                <w:rFonts w:ascii="Arial" w:cs="Arial" w:eastAsia="Arial" w:hAnsi="Arial"/>
                <w:sz w:val="10"/>
                <w:szCs w:val="10"/>
                <w:b w:val="1"/>
                <w:bCs w:val="1"/>
                <w:color w:val="auto"/>
                <w:w w:val="94"/>
              </w:rPr>
              <w:t>(1,130)</w:t>
            </w: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 (1,234)</w:t>
            </w:r>
          </w:p>
        </w:tc>
        <w:tc>
          <w:tcPr>
            <w:tcW w:w="20" w:type="dxa"/>
            <w:vAlign w:val="bottom"/>
          </w:tcPr>
          <w:p>
            <w:pPr>
              <w:spacing w:after="0"/>
              <w:rPr>
                <w:sz w:val="7"/>
                <w:szCs w:val="7"/>
                <w:color w:val="auto"/>
              </w:rPr>
            </w:pPr>
          </w:p>
        </w:tc>
      </w:tr>
      <w:tr>
        <w:trPr>
          <w:trHeight w:val="106"/>
        </w:trPr>
        <w:tc>
          <w:tcPr>
            <w:tcW w:w="4480" w:type="dxa"/>
            <w:vAlign w:val="bottom"/>
          </w:tcPr>
          <w:p>
            <w:pPr>
              <w:spacing w:after="0" w:line="106" w:lineRule="exact"/>
              <w:rPr>
                <w:sz w:val="20"/>
                <w:szCs w:val="20"/>
                <w:color w:val="auto"/>
              </w:rPr>
            </w:pPr>
            <w:r>
              <w:rPr>
                <w:rFonts w:ascii="Arial" w:cs="Arial" w:eastAsia="Arial" w:hAnsi="Arial"/>
                <w:sz w:val="10"/>
                <w:szCs w:val="10"/>
                <w:color w:val="auto"/>
              </w:rPr>
              <w:t>Deferred charges and other assets</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70"/>
              <w:spacing w:after="0" w:line="106" w:lineRule="exact"/>
              <w:rPr>
                <w:sz w:val="20"/>
                <w:szCs w:val="20"/>
                <w:color w:val="auto"/>
              </w:rPr>
            </w:pPr>
            <w:r>
              <w:rPr>
                <w:rFonts w:ascii="Arial" w:cs="Arial" w:eastAsia="Arial" w:hAnsi="Arial"/>
                <w:sz w:val="10"/>
                <w:szCs w:val="10"/>
                <w:b w:val="1"/>
                <w:bCs w:val="1"/>
                <w:color w:val="auto"/>
                <w:w w:val="94"/>
              </w:rPr>
              <w:t>(2,686)</w:t>
            </w:r>
          </w:p>
        </w:tc>
        <w:tc>
          <w:tcPr>
            <w:tcW w:w="4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(812)</w:t>
            </w:r>
          </w:p>
        </w:tc>
      </w:tr>
      <w:tr>
        <w:trPr>
          <w:trHeight w:val="106"/>
        </w:trPr>
        <w:tc>
          <w:tcPr>
            <w:tcW w:w="4480" w:type="dxa"/>
            <w:vAlign w:val="bottom"/>
          </w:tcPr>
          <w:p>
            <w:pPr>
              <w:spacing w:after="0" w:line="106" w:lineRule="exact"/>
              <w:rPr>
                <w:sz w:val="20"/>
                <w:szCs w:val="20"/>
                <w:color w:val="auto"/>
              </w:rPr>
            </w:pPr>
            <w:r>
              <w:rPr>
                <w:rFonts w:ascii="Arial" w:cs="Arial" w:eastAsia="Arial" w:hAnsi="Arial"/>
                <w:sz w:val="10"/>
                <w:szCs w:val="10"/>
                <w:color w:val="auto"/>
              </w:rPr>
              <w:t>Federal and other taxes on income</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189</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194</w:t>
            </w:r>
          </w:p>
        </w:tc>
        <w:tc>
          <w:tcPr>
            <w:tcW w:w="20" w:type="dxa"/>
            <w:vAlign w:val="bottom"/>
          </w:tcPr>
          <w:p>
            <w:pPr>
              <w:spacing w:after="0"/>
              <w:rPr>
                <w:sz w:val="9"/>
                <w:szCs w:val="9"/>
                <w:color w:val="auto"/>
              </w:rPr>
            </w:pPr>
          </w:p>
        </w:tc>
      </w:tr>
      <w:tr>
        <w:trPr>
          <w:trHeight w:val="120"/>
        </w:trPr>
        <w:tc>
          <w:tcPr>
            <w:tcW w:w="44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Noncurrent deferred income taxes</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w w:val="84"/>
              </w:rPr>
              <w:t>11,539</w:t>
            </w: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12,170</w:t>
            </w:r>
          </w:p>
        </w:tc>
        <w:tc>
          <w:tcPr>
            <w:tcW w:w="20" w:type="dxa"/>
            <w:vAlign w:val="bottom"/>
          </w:tcPr>
          <w:p>
            <w:pPr>
              <w:spacing w:after="0"/>
              <w:rPr>
                <w:sz w:val="10"/>
                <w:szCs w:val="10"/>
                <w:color w:val="auto"/>
              </w:rPr>
            </w:pPr>
          </w:p>
        </w:tc>
      </w:tr>
      <w:tr>
        <w:trPr>
          <w:trHeight w:val="114"/>
        </w:trPr>
        <w:tc>
          <w:tcPr>
            <w:tcW w:w="4480" w:type="dxa"/>
            <w:vAlign w:val="bottom"/>
            <w:tcBorders>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deferred income taxes, net</w:t>
            </w:r>
          </w:p>
        </w:tc>
        <w:tc>
          <w:tcPr>
            <w:tcW w:w="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0077C0"/>
              <w:right w:val="single" w:sz="8" w:color="0077C0"/>
            </w:tcBorders>
          </w:tcPr>
          <w:p>
            <w:pPr>
              <w:jc w:val="right"/>
              <w:ind w:right="110"/>
              <w:spacing w:after="0" w:line="105" w:lineRule="exact"/>
              <w:rPr>
                <w:sz w:val="20"/>
                <w:szCs w:val="20"/>
                <w:color w:val="auto"/>
              </w:rPr>
            </w:pPr>
            <w:r>
              <w:rPr>
                <w:rFonts w:ascii="Arial" w:cs="Arial" w:eastAsia="Arial" w:hAnsi="Arial"/>
                <w:sz w:val="10"/>
                <w:szCs w:val="10"/>
                <w:b w:val="1"/>
                <w:bCs w:val="1"/>
                <w:color w:val="auto"/>
              </w:rPr>
              <w:t>7,912</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$ 10,318</w:t>
            </w:r>
          </w:p>
        </w:tc>
        <w:tc>
          <w:tcPr>
            <w:tcW w:w="20" w:type="dxa"/>
            <w:vAlign w:val="bottom"/>
          </w:tcPr>
          <w:p>
            <w:pPr>
              <w:spacing w:after="0"/>
              <w:rPr>
                <w:sz w:val="9"/>
                <w:szCs w:val="9"/>
                <w:color w:val="auto"/>
              </w:rPr>
            </w:pPr>
          </w:p>
        </w:tc>
      </w:tr>
    </w:tbl>
    <w:p>
      <w:pPr>
        <w:spacing w:after="0" w:line="155" w:lineRule="exact"/>
        <w:rPr>
          <w:sz w:val="20"/>
          <w:szCs w:val="20"/>
          <w:color w:val="auto"/>
        </w:rPr>
      </w:pPr>
    </w:p>
    <w:p>
      <w:pPr>
        <w:ind w:firstLine="160"/>
        <w:spacing w:after="0" w:line="272" w:lineRule="auto"/>
        <w:rPr>
          <w:sz w:val="20"/>
          <w:szCs w:val="20"/>
          <w:color w:val="auto"/>
        </w:rPr>
      </w:pPr>
      <w:r>
        <w:rPr>
          <w:rFonts w:ascii="Arial" w:cs="Arial" w:eastAsia="Arial" w:hAnsi="Arial"/>
          <w:sz w:val="12"/>
          <w:szCs w:val="12"/>
          <w:color w:val="auto"/>
        </w:rPr>
        <w:t>Income taxes are not accrued for unremitted earnings of international operations that have been or are intended to be reinvested indefinitely. Undistributed earnings of international consolidated subsidiaries and affiliates for which no deferred income tax provision has been made for possible future remittances totaled $22,428 at December 31, 2008. This amount represents earnings reinvested as part of the company’s ongoing international business. It is not practicable to estimate the amount of taxes that might be payable on the eventual remittance of earnings that are intended to be reinvested indefinitely. At the end of 2008, deferred income taxes were recorded for the undistributed earnings of certain international operations for which the company no longer intends to indefinitely reinvest the earnings. The company does not anticipate incurring significant additional taxes on remittances of earnings that are not indefinitely reinvested.</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i w:val="1"/>
          <w:iCs w:val="1"/>
          <w:color w:val="E51837"/>
        </w:rPr>
        <w:t xml:space="preserve">Uncertain Income Tax Positions </w:t>
      </w:r>
      <w:r>
        <w:rPr>
          <w:rFonts w:ascii="Arial" w:cs="Arial" w:eastAsia="Arial" w:hAnsi="Arial"/>
          <w:sz w:val="12"/>
          <w:szCs w:val="12"/>
          <w:color w:val="000000"/>
        </w:rPr>
        <w:t>Financial Accounting Standards Board (FASB) Interpretation No. 48,</w:t>
      </w:r>
      <w:r>
        <w:rPr>
          <w:rFonts w:ascii="Arial" w:cs="Arial" w:eastAsia="Arial" w:hAnsi="Arial"/>
          <w:sz w:val="12"/>
          <w:szCs w:val="12"/>
          <w:i w:val="1"/>
          <w:iCs w:val="1"/>
          <w:color w:val="E51837"/>
        </w:rPr>
        <w:t xml:space="preserve"> </w:t>
      </w:r>
      <w:r>
        <w:rPr>
          <w:rFonts w:ascii="Arial" w:cs="Arial" w:eastAsia="Arial" w:hAnsi="Arial"/>
          <w:sz w:val="12"/>
          <w:szCs w:val="12"/>
          <w:i w:val="1"/>
          <w:iCs w:val="1"/>
          <w:color w:val="000000"/>
        </w:rPr>
        <w:t xml:space="preserve">Accounting for Uncertainty in Income Taxes – An Interpretation of FASB Statement No. 109 </w:t>
      </w:r>
      <w:r>
        <w:rPr>
          <w:rFonts w:ascii="Arial" w:cs="Arial" w:eastAsia="Arial" w:hAnsi="Arial"/>
          <w:sz w:val="12"/>
          <w:szCs w:val="12"/>
          <w:color w:val="000000"/>
        </w:rPr>
        <w:t>(FIN 48),</w:t>
      </w:r>
      <w:r>
        <w:rPr>
          <w:rFonts w:ascii="Arial" w:cs="Arial" w:eastAsia="Arial" w:hAnsi="Arial"/>
          <w:sz w:val="12"/>
          <w:szCs w:val="12"/>
          <w:i w:val="1"/>
          <w:iCs w:val="1"/>
          <w:color w:val="000000"/>
        </w:rPr>
        <w:t xml:space="preserve"> </w:t>
      </w:r>
      <w:r>
        <w:rPr>
          <w:rFonts w:ascii="Arial" w:cs="Arial" w:eastAsia="Arial" w:hAnsi="Arial"/>
          <w:sz w:val="12"/>
          <w:szCs w:val="12"/>
          <w:color w:val="000000"/>
        </w:rPr>
        <w:t>provides the accounting guidance for income tax benefits that are uncertain in nature. Under FIN 48, a company recognizes a tax benefit in the financial statements for an uncertain tax position only if management’s assessment is that the position is “more likely than not” (i.e., a likelihood greater than 50 percent) to be allowed by the tax jurisdiction based solely on the technical merits of the position. The term “tax position” in FIN 48 refers to a position in a previously filed tax return or a position expected to be taken in a future tax return that is reflected in measuring current or deferred income tax assets and liabilities for interim or annual periods.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firstLine="158"/>
        <w:spacing w:after="0" w:line="314" w:lineRule="auto"/>
        <w:rPr>
          <w:sz w:val="20"/>
          <w:szCs w:val="20"/>
          <w:color w:val="auto"/>
        </w:rPr>
      </w:pPr>
      <w:r>
        <w:rPr>
          <w:rFonts w:ascii="Arial" w:cs="Arial" w:eastAsia="Arial" w:hAnsi="Arial"/>
          <w:sz w:val="11"/>
          <w:szCs w:val="11"/>
          <w:color w:val="auto"/>
        </w:rPr>
        <w:t>The following table indicates the changes to the company’s unrecognized tax benefits for the year ended December 31, 2008. The term “unrecognized tax benefits” in FIN 48 refers to the differences between a tax position taken or expected to be taken in a tax return and the benefit measured and recognized in the financial statements in accordance with the guidelines of FIN 48. Interest and penalties are not included.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8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2008</w:t>
            </w: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28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3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2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w w:val="95"/>
              </w:rPr>
              <w:t>2,199</w:t>
            </w:r>
          </w:p>
        </w:tc>
        <w:tc>
          <w:tcPr>
            <w:tcW w:w="420" w:type="dxa"/>
            <w:vAlign w:val="bottom"/>
          </w:tcPr>
          <w:p>
            <w:pPr>
              <w:jc w:val="right"/>
              <w:spacing w:after="0" w:line="91" w:lineRule="exact"/>
              <w:rPr>
                <w:sz w:val="20"/>
                <w:szCs w:val="20"/>
                <w:color w:val="auto"/>
              </w:rPr>
            </w:pPr>
            <w:r>
              <w:rPr>
                <w:rFonts w:ascii="Arial" w:cs="Arial" w:eastAsia="Arial" w:hAnsi="Arial"/>
                <w:sz w:val="10"/>
                <w:szCs w:val="10"/>
                <w:color w:val="auto"/>
              </w:rPr>
              <w:t>$ 2,296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Foreign currency effects</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(1)</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Additions based on tax positions taken in current year</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522</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418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Reductions based on tax positions taken in current year</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(17)</w:t>
            </w:r>
          </w:p>
        </w:tc>
        <w:tc>
          <w:tcPr>
            <w:tcW w:w="4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Additions/reductions resulting from current year asset acquisitions/sales</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175</w:t>
            </w:r>
          </w:p>
        </w:tc>
        <w:tc>
          <w:tcPr>
            <w:tcW w:w="4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Additions for tax positions taken in prior years</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337</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Reductions for tax positions taken in prior years</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(246)</w:t>
            </w:r>
          </w:p>
        </w:tc>
        <w:tc>
          <w:tcPr>
            <w:tcW w:w="4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rPr>
              <w:t>Settlements with taxing authorities in current year</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(215)</w:t>
            </w:r>
          </w:p>
        </w:tc>
        <w:tc>
          <w:tcPr>
            <w:tcW w:w="4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(255)</w:t>
            </w: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line="108" w:lineRule="exact"/>
              <w:rPr>
                <w:sz w:val="20"/>
                <w:szCs w:val="20"/>
                <w:color w:val="auto"/>
              </w:rPr>
            </w:pPr>
            <w:r>
              <w:rPr>
                <w:rFonts w:ascii="Arial" w:cs="Arial" w:eastAsia="Arial" w:hAnsi="Arial"/>
                <w:sz w:val="10"/>
                <w:szCs w:val="10"/>
                <w:color w:val="auto"/>
              </w:rPr>
              <w:t>Reductions as a result of a lapse of the applicable statute of limitations</w:t>
            </w:r>
          </w:p>
        </w:tc>
        <w:tc>
          <w:tcPr>
            <w:tcW w:w="32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8" w:lineRule="exact"/>
              <w:rPr>
                <w:sz w:val="20"/>
                <w:szCs w:val="20"/>
                <w:color w:val="auto"/>
              </w:rPr>
            </w:pPr>
            <w:r>
              <w:rPr>
                <w:rFonts w:ascii="Arial" w:cs="Arial" w:eastAsia="Arial" w:hAnsi="Arial"/>
                <w:sz w:val="10"/>
                <w:szCs w:val="10"/>
                <w:b w:val="1"/>
                <w:bCs w:val="1"/>
                <w:color w:val="auto"/>
              </w:rPr>
              <w:t>(58)</w:t>
            </w:r>
          </w:p>
        </w:tc>
        <w:tc>
          <w:tcPr>
            <w:tcW w:w="4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4300" w:type="dxa"/>
            <w:vAlign w:val="bottom"/>
            <w:gridSpan w:val="2"/>
          </w:tcPr>
          <w:p>
            <w:pPr>
              <w:spacing w:after="0" w:line="106" w:lineRule="exact"/>
              <w:rPr>
                <w:sz w:val="20"/>
                <w:szCs w:val="20"/>
                <w:color w:val="auto"/>
              </w:rPr>
            </w:pPr>
            <w:r>
              <w:rPr>
                <w:rFonts w:ascii="Arial" w:cs="Arial" w:eastAsia="Arial" w:hAnsi="Arial"/>
                <w:sz w:val="10"/>
                <w:szCs w:val="10"/>
                <w:color w:val="auto"/>
                <w:w w:val="96"/>
              </w:rPr>
              <w:t>Reductions due to tax positions previously expected to be taken but subsequently not taken on prior</w:t>
            </w:r>
          </w:p>
        </w:tc>
        <w:tc>
          <w:tcPr>
            <w:tcW w:w="320" w:type="dxa"/>
            <w:vAlign w:val="bottom"/>
          </w:tcPr>
          <w:p>
            <w:pPr>
              <w:spacing w:after="0"/>
              <w:rPr>
                <w:sz w:val="9"/>
                <w:szCs w:val="9"/>
                <w:color w:val="auto"/>
              </w:rPr>
            </w:pPr>
          </w:p>
        </w:tc>
        <w:tc>
          <w:tcPr>
            <w:tcW w:w="42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Pr>
          <w:p>
            <w:pPr>
              <w:ind w:left="80"/>
              <w:spacing w:after="0"/>
              <w:rPr>
                <w:sz w:val="20"/>
                <w:szCs w:val="20"/>
                <w:color w:val="auto"/>
              </w:rPr>
            </w:pPr>
            <w:r>
              <w:rPr>
                <w:rFonts w:ascii="Arial" w:cs="Arial" w:eastAsia="Arial" w:hAnsi="Arial"/>
                <w:sz w:val="10"/>
                <w:szCs w:val="10"/>
                <w:color w:val="auto"/>
              </w:rPr>
              <w:t>year tax returns</w:t>
            </w:r>
          </w:p>
        </w:tc>
        <w:tc>
          <w:tcPr>
            <w:tcW w:w="320" w:type="dxa"/>
            <w:vAlign w:val="bottom"/>
          </w:tcPr>
          <w:p>
            <w:pPr>
              <w:spacing w:after="0"/>
              <w:rPr>
                <w:sz w:val="10"/>
                <w:szCs w:val="10"/>
                <w:color w:val="auto"/>
              </w:rPr>
            </w:pPr>
          </w:p>
        </w:tc>
        <w:tc>
          <w:tcPr>
            <w:tcW w:w="420" w:type="dxa"/>
            <w:vAlign w:val="bottom"/>
            <w:tcBorders>
              <w:right w:val="single" w:sz="8" w:color="0077C0"/>
            </w:tcBorders>
            <w:vMerge w:val="continue"/>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(174)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Balance at December 31</w:t>
            </w: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0077C0"/>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5"/>
              </w:rPr>
              <w:t>2,696</w:t>
            </w:r>
          </w:p>
        </w:tc>
        <w:tc>
          <w:tcPr>
            <w:tcW w:w="4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$ 2,199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20" w:firstLine="153"/>
        <w:spacing w:after="0" w:line="274" w:lineRule="auto"/>
        <w:rPr>
          <w:sz w:val="20"/>
          <w:szCs w:val="20"/>
          <w:color w:val="auto"/>
        </w:rPr>
      </w:pPr>
      <w:r>
        <w:rPr>
          <w:rFonts w:ascii="Arial" w:cs="Arial" w:eastAsia="Arial" w:hAnsi="Arial"/>
          <w:sz w:val="12"/>
          <w:szCs w:val="12"/>
          <w:color w:val="auto"/>
        </w:rPr>
        <w:t>Although unrecognized tax benefits for individual tax positions may increase or decrease during 2009, the company believes that no change will be individually significant during 2009. Approximately</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85 percent of the $2,696 of unrecognized tax benefits at December 31, 2008, would have an impact on the effective tax rate if subsequently recognized.</w:t>
      </w:r>
    </w:p>
    <w:p>
      <w:pPr>
        <w:spacing w:after="0" w:line="1" w:lineRule="exact"/>
        <w:rPr>
          <w:sz w:val="20"/>
          <w:szCs w:val="20"/>
          <w:color w:val="auto"/>
        </w:rPr>
      </w:pPr>
    </w:p>
    <w:p>
      <w:pPr>
        <w:ind w:right="20" w:firstLine="158"/>
        <w:spacing w:after="0" w:line="267" w:lineRule="auto"/>
        <w:rPr>
          <w:sz w:val="20"/>
          <w:szCs w:val="20"/>
          <w:color w:val="auto"/>
        </w:rPr>
      </w:pPr>
      <w:r>
        <w:rPr>
          <w:rFonts w:ascii="Arial" w:cs="Arial" w:eastAsia="Arial" w:hAnsi="Arial"/>
          <w:sz w:val="12"/>
          <w:szCs w:val="12"/>
          <w:color w:val="auto"/>
        </w:rPr>
        <w:t>Tax positions for Chevron and its subsidiaries and affiliates are subject to income tax audits by many tax jurisdictions throughout the world. For the company’s major tax jurisdictions, examinations of tax returns for certain prior tax years had not been completed as of December 31, 2008. For these jurisdictions, the latest years for which income tax examinations had been finalized were as follows: United States – 2003, Nigeria – 1994, Angola – 2001 and Saudi Arabia – 2003.</w:t>
      </w:r>
    </w:p>
    <w:p>
      <w:pPr>
        <w:spacing w:after="0" w:line="1" w:lineRule="exact"/>
        <w:rPr>
          <w:sz w:val="20"/>
          <w:szCs w:val="20"/>
          <w:color w:val="auto"/>
        </w:rPr>
      </w:pPr>
    </w:p>
    <w:p>
      <w:pPr>
        <w:ind w:right="80" w:firstLine="160"/>
        <w:spacing w:after="0" w:line="274" w:lineRule="auto"/>
        <w:rPr>
          <w:sz w:val="20"/>
          <w:szCs w:val="20"/>
          <w:color w:val="auto"/>
        </w:rPr>
      </w:pPr>
      <w:r>
        <w:rPr>
          <w:rFonts w:ascii="Arial" w:cs="Arial" w:eastAsia="Arial" w:hAnsi="Arial"/>
          <w:sz w:val="12"/>
          <w:szCs w:val="12"/>
          <w:color w:val="auto"/>
        </w:rPr>
        <w:t>On the Consolidated Statement of Income, the company reports interest and penalties related to liabilities for uncertain tax positions as “Income tax expense.” As of December 31, 2008, accruals of $276 for anticipated interest and penalty obligations were included on the Consolidated Balance Sheet, compared with accruals of $198 as of year-end 2007. Income tax expense associated with interest and penalties was $79 and $70 in 2008 and 2007, respectively.</w:t>
      </w:r>
    </w:p>
    <w:p>
      <w:pPr>
        <w:spacing w:after="0" w:line="600" w:lineRule="exact"/>
        <w:rPr>
          <w:sz w:val="20"/>
          <w:szCs w:val="20"/>
          <w:color w:val="auto"/>
        </w:rPr>
      </w:pPr>
    </w:p>
    <w:p>
      <w:pPr>
        <w:sectPr>
          <w:pgSz w:w="11900" w:h="16838" w:orient="portrait"/>
          <w:cols w:equalWidth="0" w:num="2">
            <w:col w:w="5480" w:space="480"/>
            <w:col w:w="5520"/>
          </w:cols>
          <w:pgMar w:left="220" w:top="338" w:right="19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16 </w:t>
      </w:r>
      <w:r>
        <w:rPr>
          <w:rFonts w:ascii="Arial" w:cs="Arial" w:eastAsia="Arial" w:hAnsi="Arial"/>
          <w:sz w:val="8"/>
          <w:szCs w:val="8"/>
          <w:color w:val="000000"/>
        </w:rPr>
        <w:t>Taxes - Continued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Taxes Other Than on Income</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9"/>
          <w:szCs w:val="9"/>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37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color w:val="auto"/>
              </w:rPr>
              <w:t>2007</w:t>
            </w:r>
          </w:p>
        </w:tc>
        <w:tc>
          <w:tcPr>
            <w:tcW w:w="22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color w:val="auto"/>
              </w:rPr>
              <w:t>United States</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4,748</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Excise and similar taxes on products and merchandise</w:t>
            </w:r>
          </w:p>
        </w:tc>
        <w:tc>
          <w:tcPr>
            <w:tcW w:w="8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4,992</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4,831</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Import duties and other levies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12</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Property and other miscellaneous taxes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588</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491</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475</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Payroll taxes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204</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185</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155</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Taxes on production</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431</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288</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ind w:left="180"/>
              <w:spacing w:after="0" w:line="105" w:lineRule="exact"/>
              <w:rPr>
                <w:sz w:val="20"/>
                <w:szCs w:val="20"/>
                <w:color w:val="auto"/>
              </w:rPr>
            </w:pPr>
            <w:r>
              <w:rPr>
                <w:rFonts w:ascii="Arial" w:cs="Arial" w:eastAsia="Arial" w:hAnsi="Arial"/>
                <w:sz w:val="10"/>
                <w:szCs w:val="10"/>
                <w:color w:val="auto"/>
              </w:rPr>
              <w:t>Total United States</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5,972</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5,968</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5,853</w:t>
            </w:r>
          </w:p>
        </w:tc>
        <w:tc>
          <w:tcPr>
            <w:tcW w:w="0" w:type="dxa"/>
            <w:vAlign w:val="bottom"/>
          </w:tcPr>
          <w:p>
            <w:pPr>
              <w:spacing w:after="0"/>
              <w:rPr>
                <w:sz w:val="1"/>
                <w:szCs w:val="1"/>
                <w:color w:val="auto"/>
              </w:rPr>
            </w:pPr>
          </w:p>
        </w:tc>
      </w:tr>
      <w:tr>
        <w:trPr>
          <w:trHeight w:val="92"/>
        </w:trPr>
        <w:tc>
          <w:tcPr>
            <w:tcW w:w="3780" w:type="dxa"/>
            <w:vAlign w:val="bottom"/>
          </w:tcPr>
          <w:p>
            <w:pPr>
              <w:spacing w:after="0" w:line="92" w:lineRule="exact"/>
              <w:rPr>
                <w:sz w:val="20"/>
                <w:szCs w:val="20"/>
                <w:color w:val="auto"/>
              </w:rPr>
            </w:pPr>
            <w:r>
              <w:rPr>
                <w:rFonts w:ascii="Arial" w:cs="Arial" w:eastAsia="Arial" w:hAnsi="Arial"/>
                <w:sz w:val="10"/>
                <w:szCs w:val="10"/>
                <w:color w:val="auto"/>
              </w:rPr>
              <w:t>International</w:t>
            </w:r>
          </w:p>
        </w:tc>
        <w:tc>
          <w:tcPr>
            <w:tcW w:w="8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5,098</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tcPr>
          <w:p>
            <w:pPr>
              <w:ind w:left="100"/>
              <w:spacing w:after="0" w:line="104" w:lineRule="exact"/>
              <w:rPr>
                <w:sz w:val="20"/>
                <w:szCs w:val="20"/>
                <w:color w:val="auto"/>
              </w:rPr>
            </w:pPr>
            <w:r>
              <w:rPr>
                <w:rFonts w:ascii="Arial" w:cs="Arial" w:eastAsia="Arial" w:hAnsi="Arial"/>
                <w:sz w:val="10"/>
                <w:szCs w:val="10"/>
                <w:color w:val="auto"/>
              </w:rPr>
              <w:t>Excise and similar taxes on products and merchandise</w:t>
            </w:r>
          </w:p>
        </w:tc>
        <w:tc>
          <w:tcPr>
            <w:tcW w:w="8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5,129</w:t>
            </w:r>
          </w:p>
        </w:tc>
        <w:tc>
          <w:tcPr>
            <w:tcW w:w="22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4,720</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Import duties and other levies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8,368</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1"/>
              </w:rPr>
              <w:t>10,404</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9,618</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Property and other miscellaneous taxes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1,557</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528</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491</w:t>
            </w:r>
          </w:p>
        </w:tc>
        <w:tc>
          <w:tcPr>
            <w:tcW w:w="0" w:type="dxa"/>
            <w:vAlign w:val="bottom"/>
          </w:tcPr>
          <w:p>
            <w:pPr>
              <w:spacing w:after="0"/>
              <w:rPr>
                <w:sz w:val="1"/>
                <w:szCs w:val="1"/>
                <w:color w:val="auto"/>
              </w:rPr>
            </w:pPr>
          </w:p>
        </w:tc>
      </w:tr>
      <w:tr>
        <w:trPr>
          <w:trHeight w:val="106"/>
        </w:trPr>
        <w:tc>
          <w:tcPr>
            <w:tcW w:w="3780" w:type="dxa"/>
            <w:vAlign w:val="bottom"/>
          </w:tcPr>
          <w:p>
            <w:pPr>
              <w:ind w:left="100"/>
              <w:spacing w:after="0" w:line="106" w:lineRule="exact"/>
              <w:rPr>
                <w:sz w:val="20"/>
                <w:szCs w:val="20"/>
                <w:color w:val="auto"/>
              </w:rPr>
            </w:pPr>
            <w:r>
              <w:rPr>
                <w:rFonts w:ascii="Arial" w:cs="Arial" w:eastAsia="Arial" w:hAnsi="Arial"/>
                <w:sz w:val="10"/>
                <w:szCs w:val="10"/>
                <w:color w:val="auto"/>
              </w:rPr>
              <w:t>Payroll taxes</w:t>
            </w:r>
          </w:p>
        </w:tc>
        <w:tc>
          <w:tcPr>
            <w:tcW w:w="8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106</w:t>
            </w:r>
          </w:p>
        </w:tc>
        <w:tc>
          <w:tcPr>
            <w:tcW w:w="16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89</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Taxes on production</w:t>
            </w:r>
          </w:p>
        </w:tc>
        <w:tc>
          <w:tcPr>
            <w:tcW w:w="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202</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148</w:t>
            </w:r>
          </w:p>
        </w:tc>
        <w:tc>
          <w:tcPr>
            <w:tcW w:w="22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126</w:t>
            </w:r>
          </w:p>
        </w:tc>
        <w:tc>
          <w:tcPr>
            <w:tcW w:w="0" w:type="dxa"/>
            <w:vAlign w:val="bottom"/>
          </w:tcPr>
          <w:p>
            <w:pPr>
              <w:spacing w:after="0"/>
              <w:rPr>
                <w:sz w:val="1"/>
                <w:szCs w:val="1"/>
                <w:color w:val="auto"/>
              </w:rPr>
            </w:pPr>
          </w:p>
        </w:tc>
      </w:tr>
      <w:tr>
        <w:trPr>
          <w:trHeight w:val="105"/>
        </w:trPr>
        <w:tc>
          <w:tcPr>
            <w:tcW w:w="3780" w:type="dxa"/>
            <w:vAlign w:val="bottom"/>
            <w:tcBorders>
              <w:bottom w:val="single" w:sz="8" w:color="0077C0"/>
            </w:tcBorders>
          </w:tcPr>
          <w:p>
            <w:pPr>
              <w:ind w:left="180"/>
              <w:spacing w:after="0" w:line="105" w:lineRule="exact"/>
              <w:rPr>
                <w:sz w:val="20"/>
                <w:szCs w:val="20"/>
                <w:color w:val="auto"/>
              </w:rPr>
            </w:pPr>
            <w:r>
              <w:rPr>
                <w:rFonts w:ascii="Arial" w:cs="Arial" w:eastAsia="Arial" w:hAnsi="Arial"/>
                <w:sz w:val="10"/>
                <w:szCs w:val="10"/>
                <w:color w:val="auto"/>
              </w:rPr>
              <w:t>Total International</w:t>
            </w:r>
          </w:p>
        </w:tc>
        <w:tc>
          <w:tcPr>
            <w:tcW w:w="8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15,331</w:t>
            </w:r>
          </w:p>
        </w:tc>
        <w:tc>
          <w:tcPr>
            <w:tcW w:w="1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16,298</w:t>
            </w:r>
          </w:p>
        </w:tc>
        <w:tc>
          <w:tcPr>
            <w:tcW w:w="22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15,030</w:t>
            </w:r>
          </w:p>
        </w:tc>
        <w:tc>
          <w:tcPr>
            <w:tcW w:w="0" w:type="dxa"/>
            <w:vAlign w:val="bottom"/>
          </w:tcPr>
          <w:p>
            <w:pPr>
              <w:spacing w:after="0"/>
              <w:rPr>
                <w:sz w:val="1"/>
                <w:szCs w:val="1"/>
                <w:color w:val="auto"/>
              </w:rPr>
            </w:pPr>
          </w:p>
        </w:tc>
      </w:tr>
      <w:tr>
        <w:trPr>
          <w:trHeight w:val="114"/>
        </w:trPr>
        <w:tc>
          <w:tcPr>
            <w:tcW w:w="37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taxes other than on income</w:t>
            </w:r>
          </w:p>
        </w:tc>
        <w:tc>
          <w:tcPr>
            <w:tcW w:w="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21,303</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22,266</w:t>
            </w:r>
          </w:p>
        </w:tc>
        <w:tc>
          <w:tcPr>
            <w:tcW w:w="2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20,883</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17</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Short-Term Debt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0"/>
                <w:szCs w:val="10"/>
                <w:color w:val="auto"/>
              </w:rPr>
              <w:t>At December 31</w:t>
            </w:r>
          </w:p>
        </w:tc>
        <w:tc>
          <w:tcPr>
            <w:tcW w:w="0" w:type="dxa"/>
            <w:vAlign w:val="bottom"/>
          </w:tcPr>
          <w:p>
            <w:pPr>
              <w:spacing w:after="0"/>
              <w:rPr>
                <w:sz w:val="1"/>
                <w:szCs w:val="1"/>
                <w:color w:val="auto"/>
              </w:rPr>
            </w:pPr>
          </w:p>
        </w:tc>
      </w:tr>
      <w:tr>
        <w:trPr>
          <w:trHeight w:val="95"/>
        </w:trPr>
        <w:tc>
          <w:tcPr>
            <w:tcW w:w="452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140" w:type="dxa"/>
            <w:vAlign w:val="bottom"/>
            <w:tcBorders>
              <w:top w:val="single" w:sz="8" w:color="0077C0"/>
              <w:bottom w:val="single" w:sz="8" w:color="0077C0"/>
            </w:tcBorders>
          </w:tcPr>
          <w:p>
            <w:pPr>
              <w:spacing w:after="0"/>
              <w:rPr>
                <w:sz w:val="8"/>
                <w:szCs w:val="8"/>
                <w:color w:val="auto"/>
              </w:rPr>
            </w:pPr>
          </w:p>
        </w:tc>
        <w:tc>
          <w:tcPr>
            <w:tcW w:w="2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Pr>
          <w:p>
            <w:pPr>
              <w:spacing w:after="0" w:line="91" w:lineRule="exact"/>
              <w:rPr>
                <w:sz w:val="20"/>
                <w:szCs w:val="20"/>
                <w:color w:val="auto"/>
              </w:rPr>
            </w:pPr>
            <w:r>
              <w:rPr>
                <w:rFonts w:ascii="Arial" w:cs="Arial" w:eastAsia="Arial" w:hAnsi="Arial"/>
                <w:sz w:val="10"/>
                <w:szCs w:val="10"/>
                <w:color w:val="auto"/>
              </w:rPr>
              <w:t>Commercial paper*</w:t>
            </w:r>
          </w:p>
        </w:tc>
        <w:tc>
          <w:tcPr>
            <w:tcW w:w="8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5,742</w:t>
            </w:r>
          </w:p>
        </w:tc>
        <w:tc>
          <w:tcPr>
            <w:tcW w:w="1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3,030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Notes payable to banks and others with originating terms of one year or less</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149</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219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Current maturities of long-term debt</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429</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Current maturities of long-term capital leases</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78</w:t>
            </w:r>
          </w:p>
        </w:tc>
        <w:tc>
          <w:tcPr>
            <w:tcW w:w="14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Redeemable long-term obligations</w:t>
            </w:r>
          </w:p>
        </w:tc>
        <w:tc>
          <w:tcPr>
            <w:tcW w:w="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95"/>
              </w:rPr>
              <w:t>1,351</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520" w:type="dxa"/>
            <w:vAlign w:val="bottom"/>
          </w:tcPr>
          <w:p>
            <w:pPr>
              <w:ind w:left="100"/>
              <w:spacing w:after="0" w:line="104" w:lineRule="exact"/>
              <w:rPr>
                <w:sz w:val="20"/>
                <w:szCs w:val="20"/>
                <w:color w:val="auto"/>
              </w:rPr>
            </w:pPr>
            <w:r>
              <w:rPr>
                <w:rFonts w:ascii="Arial" w:cs="Arial" w:eastAsia="Arial" w:hAnsi="Arial"/>
                <w:sz w:val="10"/>
                <w:szCs w:val="10"/>
                <w:color w:val="auto"/>
              </w:rPr>
              <w:t>Long-term debt</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1,351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52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Capital leases</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19</w:t>
            </w:r>
          </w:p>
        </w:tc>
        <w:tc>
          <w:tcPr>
            <w:tcW w:w="1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520" w:type="dxa"/>
            <w:vAlign w:val="bottom"/>
          </w:tcPr>
          <w:p>
            <w:pPr>
              <w:ind w:left="100"/>
              <w:spacing w:after="0" w:line="91" w:lineRule="exact"/>
              <w:rPr>
                <w:sz w:val="20"/>
                <w:szCs w:val="20"/>
                <w:color w:val="auto"/>
              </w:rPr>
            </w:pPr>
            <w:r>
              <w:rPr>
                <w:rFonts w:ascii="Arial" w:cs="Arial" w:eastAsia="Arial" w:hAnsi="Arial"/>
                <w:sz w:val="10"/>
                <w:szCs w:val="10"/>
                <w:color w:val="auto"/>
              </w:rPr>
              <w:t>Subtotal</w:t>
            </w:r>
          </w:p>
        </w:tc>
        <w:tc>
          <w:tcPr>
            <w:tcW w:w="80" w:type="dxa"/>
            <w:vAlign w:val="bottom"/>
          </w:tcPr>
          <w:p>
            <w:pPr>
              <w:spacing w:after="0"/>
              <w:rPr>
                <w:sz w:val="7"/>
                <w:szCs w:val="7"/>
                <w:color w:val="auto"/>
              </w:rPr>
            </w:pP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7,768</w:t>
            </w:r>
          </w:p>
        </w:tc>
        <w:tc>
          <w:tcPr>
            <w:tcW w:w="140" w:type="dxa"/>
            <w:vAlign w:val="bottom"/>
          </w:tcPr>
          <w:p>
            <w:pPr>
              <w:spacing w:after="0"/>
              <w:rPr>
                <w:sz w:val="7"/>
                <w:szCs w:val="7"/>
                <w:color w:val="auto"/>
              </w:rPr>
            </w:pP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5,544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520" w:type="dxa"/>
            <w:vAlign w:val="bottom"/>
          </w:tcPr>
          <w:p>
            <w:pPr>
              <w:spacing w:after="0"/>
              <w:rPr>
                <w:sz w:val="20"/>
                <w:szCs w:val="20"/>
                <w:color w:val="auto"/>
              </w:rPr>
            </w:pPr>
            <w:r>
              <w:rPr>
                <w:rFonts w:ascii="Arial" w:cs="Arial" w:eastAsia="Arial" w:hAnsi="Arial"/>
                <w:sz w:val="10"/>
                <w:szCs w:val="10"/>
                <w:color w:val="auto"/>
              </w:rPr>
              <w:t>Reclassified to long-term debt</w:t>
            </w:r>
          </w:p>
        </w:tc>
        <w:tc>
          <w:tcPr>
            <w:tcW w:w="80" w:type="dxa"/>
            <w:vAlign w:val="bottom"/>
          </w:tcPr>
          <w:p>
            <w:pPr>
              <w:spacing w:after="0"/>
              <w:rPr>
                <w:sz w:val="10"/>
                <w:szCs w:val="10"/>
                <w:color w:val="auto"/>
              </w:rPr>
            </w:pPr>
          </w:p>
        </w:tc>
        <w:tc>
          <w:tcPr>
            <w:tcW w:w="44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w w:val="88"/>
              </w:rPr>
              <w:t>(4,950)</w:t>
            </w:r>
          </w:p>
        </w:tc>
        <w:tc>
          <w:tcPr>
            <w:tcW w:w="14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color w:val="auto"/>
                <w:w w:val="88"/>
              </w:rPr>
              <w:t>(4,382)</w:t>
            </w:r>
          </w:p>
        </w:tc>
        <w:tc>
          <w:tcPr>
            <w:tcW w:w="0" w:type="dxa"/>
            <w:vAlign w:val="bottom"/>
          </w:tcPr>
          <w:p>
            <w:pPr>
              <w:spacing w:after="0"/>
              <w:rPr>
                <w:sz w:val="1"/>
                <w:szCs w:val="1"/>
                <w:color w:val="auto"/>
              </w:rPr>
            </w:pPr>
          </w:p>
        </w:tc>
      </w:tr>
      <w:tr>
        <w:trPr>
          <w:trHeight w:val="114"/>
        </w:trPr>
        <w:tc>
          <w:tcPr>
            <w:tcW w:w="4520" w:type="dxa"/>
            <w:vAlign w:val="bottom"/>
            <w:tcBorders>
              <w:top w:val="single" w:sz="8" w:color="0077C0"/>
              <w:bottom w:val="single" w:sz="8" w:color="0077C0"/>
            </w:tcBorders>
          </w:tcPr>
          <w:p>
            <w:pPr>
              <w:ind w:left="100"/>
              <w:spacing w:after="0" w:line="105" w:lineRule="exact"/>
              <w:rPr>
                <w:sz w:val="20"/>
                <w:szCs w:val="20"/>
                <w:color w:val="auto"/>
              </w:rPr>
            </w:pPr>
            <w:r>
              <w:rPr>
                <w:rFonts w:ascii="Arial" w:cs="Arial" w:eastAsia="Arial" w:hAnsi="Arial"/>
                <w:sz w:val="10"/>
                <w:szCs w:val="10"/>
                <w:color w:val="auto"/>
              </w:rPr>
              <w:t>Total short-term debt</w:t>
            </w:r>
          </w:p>
        </w:tc>
        <w:tc>
          <w:tcPr>
            <w:tcW w:w="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0077C0"/>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2,818</w:t>
            </w:r>
          </w:p>
        </w:tc>
        <w:tc>
          <w:tcPr>
            <w:tcW w:w="1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Weighted-average interest rates at December 31, 2008 and 2007, were 0.67 percent and 4.35 percent, respectively.</w:t>
      </w:r>
    </w:p>
    <w:p>
      <w:pPr>
        <w:spacing w:after="0" w:line="70" w:lineRule="exact"/>
        <w:rPr>
          <w:sz w:val="20"/>
          <w:szCs w:val="20"/>
          <w:color w:val="auto"/>
        </w:rPr>
      </w:pPr>
    </w:p>
    <w:p>
      <w:pPr>
        <w:ind w:right="20" w:firstLine="160"/>
        <w:spacing w:after="0" w:line="256" w:lineRule="auto"/>
        <w:rPr>
          <w:sz w:val="20"/>
          <w:szCs w:val="20"/>
          <w:color w:val="auto"/>
        </w:rPr>
      </w:pPr>
      <w:r>
        <w:rPr>
          <w:rFonts w:ascii="Arial" w:cs="Arial" w:eastAsia="Arial" w:hAnsi="Arial"/>
          <w:sz w:val="13"/>
          <w:szCs w:val="13"/>
          <w:color w:val="auto"/>
        </w:rPr>
        <w:t>Redeemable long-term obligations consist primarily of tax-exempt variable-rate put bonds that are included as current liabilities because they become redeemable at the option of the bondholders within one year following the balance sheet date.</w:t>
      </w:r>
    </w:p>
    <w:p>
      <w:pPr>
        <w:spacing w:after="0" w:line="117" w:lineRule="exact"/>
        <w:rPr>
          <w:sz w:val="20"/>
          <w:szCs w:val="20"/>
          <w:color w:val="auto"/>
        </w:rPr>
      </w:pPr>
    </w:p>
    <w:p>
      <w:pPr>
        <w:ind w:right="20" w:firstLine="158"/>
        <w:spacing w:after="0" w:line="359" w:lineRule="auto"/>
        <w:rPr>
          <w:sz w:val="20"/>
          <w:szCs w:val="20"/>
          <w:color w:val="auto"/>
        </w:rPr>
      </w:pPr>
      <w:r>
        <w:rPr>
          <w:rFonts w:ascii="Arial" w:cs="Arial" w:eastAsia="Arial" w:hAnsi="Arial"/>
          <w:sz w:val="11"/>
          <w:szCs w:val="11"/>
          <w:color w:val="auto"/>
        </w:rPr>
        <w:t>The company periodically enters into interest rate swaps on a portion of its short-term debt. See Note 7, beginning on page FS-36, for information concerning the company’s debt-related derivative activities.</w:t>
      </w:r>
    </w:p>
    <w:p>
      <w:pPr>
        <w:spacing w:after="0" w:line="54" w:lineRule="exact"/>
        <w:rPr>
          <w:sz w:val="20"/>
          <w:szCs w:val="20"/>
          <w:color w:val="auto"/>
        </w:rPr>
      </w:pPr>
    </w:p>
    <w:p>
      <w:pPr>
        <w:ind w:right="120" w:firstLine="153"/>
        <w:spacing w:after="0" w:line="267" w:lineRule="auto"/>
        <w:rPr>
          <w:sz w:val="20"/>
          <w:szCs w:val="20"/>
          <w:color w:val="auto"/>
        </w:rPr>
      </w:pPr>
      <w:r>
        <w:rPr>
          <w:rFonts w:ascii="Arial" w:cs="Arial" w:eastAsia="Arial" w:hAnsi="Arial"/>
          <w:sz w:val="13"/>
          <w:szCs w:val="13"/>
          <w:color w:val="auto"/>
        </w:rPr>
        <w:t>At December 31, 2008, the company had $4,950 of committed credit facilities with banks worldwide, which permit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60"/>
        <w:spacing w:after="0" w:line="250" w:lineRule="auto"/>
        <w:rPr>
          <w:sz w:val="20"/>
          <w:szCs w:val="20"/>
          <w:color w:val="auto"/>
        </w:rPr>
      </w:pPr>
      <w:r>
        <w:rPr>
          <w:rFonts w:ascii="Arial" w:cs="Arial" w:eastAsia="Arial" w:hAnsi="Arial"/>
          <w:sz w:val="13"/>
          <w:szCs w:val="13"/>
          <w:color w:val="auto"/>
        </w:rPr>
        <w:t>the company to refinance short-term obligations on a long-term basis. The facilities support the company’s commercial paper borrowings. Interest on borrowings under the terms of specific agreements may be based on the London Interbank Offered Rate or bank prime rate. No amounts were outstanding under these credit agreements during 2008 or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-1151890</wp:posOffset>
            </wp:positionV>
            <wp:extent cx="7285990" cy="664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ind w:left="360" w:right="40" w:firstLine="153"/>
        <w:spacing w:after="0" w:line="317" w:lineRule="auto"/>
        <w:rPr>
          <w:sz w:val="20"/>
          <w:szCs w:val="20"/>
          <w:color w:val="auto"/>
        </w:rPr>
      </w:pPr>
      <w:r>
        <w:rPr>
          <w:rFonts w:ascii="Arial" w:cs="Arial" w:eastAsia="Arial" w:hAnsi="Arial"/>
          <w:sz w:val="11"/>
          <w:szCs w:val="11"/>
          <w:color w:val="auto"/>
        </w:rPr>
        <w:t>At December 31, 2008 and 2007, the company classified $4,950 and $4,382, respectively, of short-term debt as long-term. Settlement of these obligations is not expected to require the use of working capital in 2009, as the company has both the intent and the ability to refinance this debt on a long-term basis.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Note 18</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Long-Term Debt</w:t>
      </w:r>
    </w:p>
    <w:p>
      <w:pPr>
        <w:spacing w:after="0" w:line="120" w:lineRule="exact"/>
        <w:rPr>
          <w:sz w:val="20"/>
          <w:szCs w:val="20"/>
          <w:color w:val="auto"/>
        </w:rPr>
      </w:pPr>
    </w:p>
    <w:p>
      <w:pPr>
        <w:ind w:left="360" w:right="180"/>
        <w:spacing w:after="0" w:line="267" w:lineRule="auto"/>
        <w:rPr>
          <w:sz w:val="20"/>
          <w:szCs w:val="20"/>
          <w:color w:val="auto"/>
        </w:rPr>
      </w:pPr>
      <w:r>
        <w:rPr>
          <w:rFonts w:ascii="Arial" w:cs="Arial" w:eastAsia="Arial" w:hAnsi="Arial"/>
          <w:sz w:val="13"/>
          <w:szCs w:val="13"/>
          <w:color w:val="auto"/>
        </w:rPr>
        <w:t>Total long-term debt, excluding capital leases, at December 31, 2008, was $5,742. The company’s long-term debt outstanding at year-end 2008 and 2007 was as follows:</w:t>
      </w:r>
    </w:p>
    <w:p>
      <w:pPr>
        <w:spacing w:after="0" w:line="80" w:lineRule="exact"/>
        <w:rPr>
          <w:sz w:val="20"/>
          <w:szCs w:val="20"/>
          <w:color w:val="auto"/>
        </w:rPr>
      </w:pPr>
    </w:p>
    <w:tbl>
      <w:tblPr>
        <w:tblLayout w:type="fixed"/>
        <w:tblInd w:w="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0"/>
                <w:szCs w:val="10"/>
                <w:color w:val="auto"/>
              </w:rPr>
              <w:t>At December 31</w:t>
            </w:r>
          </w:p>
        </w:tc>
      </w:tr>
      <w:tr>
        <w:trPr>
          <w:trHeight w:val="95"/>
        </w:trPr>
        <w:tc>
          <w:tcPr>
            <w:tcW w:w="20" w:type="dxa"/>
            <w:vAlign w:val="bottom"/>
          </w:tcPr>
          <w:p>
            <w:pPr>
              <w:spacing w:after="0"/>
              <w:rPr>
                <w:sz w:val="8"/>
                <w:szCs w:val="8"/>
                <w:color w:val="auto"/>
              </w:rPr>
            </w:pPr>
          </w:p>
        </w:tc>
        <w:tc>
          <w:tcPr>
            <w:tcW w:w="3440" w:type="dxa"/>
            <w:vAlign w:val="bottom"/>
            <w:tcBorders>
              <w:bottom w:val="single" w:sz="8" w:color="0077C0"/>
            </w:tcBorders>
          </w:tcPr>
          <w:p>
            <w:pPr>
              <w:spacing w:after="0"/>
              <w:rPr>
                <w:sz w:val="8"/>
                <w:szCs w:val="8"/>
                <w:color w:val="auto"/>
              </w:rPr>
            </w:pPr>
          </w:p>
        </w:tc>
        <w:tc>
          <w:tcPr>
            <w:tcW w:w="10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20" w:type="dxa"/>
            <w:vAlign w:val="bottom"/>
            <w:tcBorders>
              <w:top w:val="single" w:sz="8" w:color="0077C0"/>
              <w:bottom w:val="single" w:sz="8" w:color="0077C0"/>
            </w:tcBorders>
          </w:tcPr>
          <w:p>
            <w:pPr>
              <w:jc w:val="right"/>
              <w:ind w:right="109"/>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40" w:type="dxa"/>
            <w:vAlign w:val="bottom"/>
          </w:tcPr>
          <w:p>
            <w:pPr>
              <w:spacing w:after="0"/>
              <w:rPr>
                <w:sz w:val="8"/>
                <w:szCs w:val="8"/>
                <w:color w:val="auto"/>
              </w:rPr>
            </w:pPr>
          </w:p>
        </w:tc>
      </w:tr>
      <w:tr>
        <w:trPr>
          <w:trHeight w:val="90"/>
        </w:trPr>
        <w:tc>
          <w:tcPr>
            <w:tcW w:w="20" w:type="dxa"/>
            <w:vAlign w:val="bottom"/>
          </w:tcPr>
          <w:p>
            <w:pPr>
              <w:spacing w:after="0"/>
              <w:rPr>
                <w:sz w:val="7"/>
                <w:szCs w:val="7"/>
                <w:color w:val="auto"/>
              </w:rPr>
            </w:pPr>
          </w:p>
        </w:tc>
        <w:tc>
          <w:tcPr>
            <w:tcW w:w="3440" w:type="dxa"/>
            <w:vAlign w:val="bottom"/>
          </w:tcPr>
          <w:p>
            <w:pPr>
              <w:spacing w:after="0" w:line="91" w:lineRule="exact"/>
              <w:rPr>
                <w:sz w:val="20"/>
                <w:szCs w:val="20"/>
                <w:color w:val="auto"/>
              </w:rPr>
            </w:pPr>
            <w:r>
              <w:rPr>
                <w:rFonts w:ascii="Arial" w:cs="Arial" w:eastAsia="Arial" w:hAnsi="Arial"/>
                <w:sz w:val="10"/>
                <w:szCs w:val="10"/>
                <w:color w:val="auto"/>
              </w:rPr>
              <w:t>3.375% notes due 2008</w:t>
            </w:r>
          </w:p>
        </w:tc>
        <w:tc>
          <w:tcPr>
            <w:tcW w:w="116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42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w:t>
            </w:r>
          </w:p>
        </w:tc>
        <w:tc>
          <w:tcPr>
            <w:tcW w:w="1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749</w:t>
            </w:r>
          </w:p>
        </w:tc>
        <w:tc>
          <w:tcPr>
            <w:tcW w:w="40" w:type="dxa"/>
            <w:vAlign w:val="bottom"/>
          </w:tcPr>
          <w:p>
            <w:pPr>
              <w:spacing w:after="0"/>
              <w:rPr>
                <w:sz w:val="7"/>
                <w:szCs w:val="7"/>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5.5% notes due 2009</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400</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405</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7.327% amortizing notes due 2014</w:t>
            </w:r>
            <w:r>
              <w:rPr>
                <w:rFonts w:ascii="Arial" w:cs="Arial" w:eastAsia="Arial" w:hAnsi="Arial"/>
                <w:sz w:val="8"/>
                <w:szCs w:val="8"/>
                <w:color w:val="auto"/>
              </w:rPr>
              <w:t>1</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194</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213</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8.625% debentures due 2032</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147</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161</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8.625% debentures due 2031</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108</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108</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7.5% debentures due 2043</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85</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85</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8% debentures due 2032</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74</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81</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9.75% debentures due 2020</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56</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57</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8.875% debentures due 2021</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40</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46</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8.625% debentures due 2010</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30</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30</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3.85% notes due 2008</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30</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Medium-term notes, maturing from 2021 to 2038 (6.2%)</w:t>
            </w:r>
            <w:r>
              <w:rPr>
                <w:rFonts w:ascii="Arial" w:cs="Arial" w:eastAsia="Arial" w:hAnsi="Arial"/>
                <w:sz w:val="8"/>
                <w:szCs w:val="8"/>
                <w:color w:val="auto"/>
              </w:rPr>
              <w:t>2</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38</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64</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Fixed interest rate notes, maturing 2011 (9.378%)</w:t>
            </w:r>
            <w:r>
              <w:rPr>
                <w:rFonts w:ascii="Arial" w:cs="Arial" w:eastAsia="Arial" w:hAnsi="Arial"/>
                <w:sz w:val="8"/>
                <w:szCs w:val="8"/>
                <w:color w:val="auto"/>
              </w:rPr>
              <w:t>2</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21</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27</w:t>
            </w:r>
          </w:p>
        </w:tc>
        <w:tc>
          <w:tcPr>
            <w:tcW w:w="40" w:type="dxa"/>
            <w:vAlign w:val="bottom"/>
          </w:tcPr>
          <w:p>
            <w:pPr>
              <w:spacing w:after="0"/>
              <w:rPr>
                <w:sz w:val="9"/>
                <w:szCs w:val="9"/>
                <w:color w:val="auto"/>
              </w:rPr>
            </w:pPr>
          </w:p>
        </w:tc>
      </w:tr>
      <w:tr>
        <w:trPr>
          <w:trHeight w:val="106"/>
        </w:trPr>
        <w:tc>
          <w:tcPr>
            <w:tcW w:w="3460" w:type="dxa"/>
            <w:vAlign w:val="bottom"/>
            <w:gridSpan w:val="2"/>
          </w:tcPr>
          <w:p>
            <w:pPr>
              <w:spacing w:after="0" w:line="106" w:lineRule="exact"/>
              <w:rPr>
                <w:sz w:val="20"/>
                <w:szCs w:val="20"/>
                <w:color w:val="auto"/>
              </w:rPr>
            </w:pPr>
            <w:r>
              <w:rPr>
                <w:rFonts w:ascii="Arial" w:cs="Arial" w:eastAsia="Arial" w:hAnsi="Arial"/>
                <w:sz w:val="10"/>
                <w:szCs w:val="10"/>
                <w:color w:val="auto"/>
              </w:rPr>
              <w:t>Other foreign currency obligations (0.5%)</w:t>
            </w:r>
            <w:r>
              <w:rPr>
                <w:rFonts w:ascii="Arial" w:cs="Arial" w:eastAsia="Arial" w:hAnsi="Arial"/>
                <w:sz w:val="8"/>
                <w:szCs w:val="8"/>
                <w:color w:val="auto"/>
              </w:rPr>
              <w:t>2</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13</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17</w:t>
            </w:r>
          </w:p>
        </w:tc>
        <w:tc>
          <w:tcPr>
            <w:tcW w:w="40" w:type="dxa"/>
            <w:vAlign w:val="bottom"/>
          </w:tcPr>
          <w:p>
            <w:pPr>
              <w:spacing w:after="0"/>
              <w:rPr>
                <w:sz w:val="9"/>
                <w:szCs w:val="9"/>
                <w:color w:val="auto"/>
              </w:rPr>
            </w:pPr>
          </w:p>
        </w:tc>
      </w:tr>
      <w:tr>
        <w:trPr>
          <w:trHeight w:val="120"/>
        </w:trPr>
        <w:tc>
          <w:tcPr>
            <w:tcW w:w="3460" w:type="dxa"/>
            <w:vAlign w:val="bottom"/>
            <w:gridSpan w:val="2"/>
          </w:tcPr>
          <w:p>
            <w:pPr>
              <w:spacing w:after="0"/>
              <w:rPr>
                <w:sz w:val="20"/>
                <w:szCs w:val="20"/>
                <w:color w:val="auto"/>
              </w:rPr>
            </w:pPr>
            <w:r>
              <w:rPr>
                <w:rFonts w:ascii="Arial" w:cs="Arial" w:eastAsia="Arial" w:hAnsi="Arial"/>
                <w:sz w:val="10"/>
                <w:szCs w:val="10"/>
                <w:color w:val="auto"/>
              </w:rPr>
              <w:t>Other long-term debt (9.1%)</w:t>
            </w:r>
            <w:r>
              <w:rPr>
                <w:rFonts w:ascii="Arial" w:cs="Arial" w:eastAsia="Arial" w:hAnsi="Arial"/>
                <w:sz w:val="8"/>
                <w:szCs w:val="8"/>
                <w:color w:val="auto"/>
              </w:rPr>
              <w:t>2</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15</w:t>
            </w:r>
          </w:p>
        </w:tc>
        <w:tc>
          <w:tcPr>
            <w:tcW w:w="1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59</w:t>
            </w:r>
          </w:p>
        </w:tc>
        <w:tc>
          <w:tcPr>
            <w:tcW w:w="4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3440" w:type="dxa"/>
            <w:vAlign w:val="bottom"/>
            <w:tcBorders>
              <w:top w:val="single" w:sz="8" w:color="0077C0"/>
            </w:tcBorders>
          </w:tcPr>
          <w:p>
            <w:pPr>
              <w:ind w:left="80"/>
              <w:spacing w:after="0" w:line="91" w:lineRule="exact"/>
              <w:rPr>
                <w:sz w:val="20"/>
                <w:szCs w:val="20"/>
                <w:color w:val="auto"/>
              </w:rPr>
            </w:pPr>
            <w:r>
              <w:rPr>
                <w:rFonts w:ascii="Arial" w:cs="Arial" w:eastAsia="Arial" w:hAnsi="Arial"/>
                <w:sz w:val="10"/>
                <w:szCs w:val="10"/>
                <w:color w:val="auto"/>
              </w:rPr>
              <w:t>Total including debt due within one year</w:t>
            </w:r>
          </w:p>
        </w:tc>
        <w:tc>
          <w:tcPr>
            <w:tcW w:w="108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420" w:type="dxa"/>
            <w:vAlign w:val="bottom"/>
            <w:tcBorders>
              <w:top w:val="single" w:sz="8" w:color="0077C0"/>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w w:val="95"/>
              </w:rPr>
              <w:t>1,221</w:t>
            </w:r>
          </w:p>
        </w:tc>
        <w:tc>
          <w:tcPr>
            <w:tcW w:w="16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w w:val="95"/>
              </w:rPr>
              <w:t>2,132</w:t>
            </w:r>
          </w:p>
        </w:tc>
        <w:tc>
          <w:tcPr>
            <w:tcW w:w="40" w:type="dxa"/>
            <w:vAlign w:val="bottom"/>
          </w:tcPr>
          <w:p>
            <w:pPr>
              <w:spacing w:after="0"/>
              <w:rPr>
                <w:sz w:val="7"/>
                <w:szCs w:val="7"/>
                <w:color w:val="auto"/>
              </w:rPr>
            </w:pPr>
          </w:p>
        </w:tc>
      </w:tr>
      <w:tr>
        <w:trPr>
          <w:trHeight w:val="106"/>
        </w:trPr>
        <w:tc>
          <w:tcPr>
            <w:tcW w:w="20" w:type="dxa"/>
            <w:vAlign w:val="bottom"/>
          </w:tcPr>
          <w:p>
            <w:pPr>
              <w:spacing w:after="0"/>
              <w:rPr>
                <w:sz w:val="9"/>
                <w:szCs w:val="9"/>
                <w:color w:val="auto"/>
              </w:rPr>
            </w:pPr>
          </w:p>
        </w:tc>
        <w:tc>
          <w:tcPr>
            <w:tcW w:w="3440" w:type="dxa"/>
            <w:vAlign w:val="bottom"/>
          </w:tcPr>
          <w:p>
            <w:pPr>
              <w:ind w:left="180"/>
              <w:spacing w:after="0" w:line="106" w:lineRule="exact"/>
              <w:rPr>
                <w:sz w:val="20"/>
                <w:szCs w:val="20"/>
                <w:color w:val="auto"/>
              </w:rPr>
            </w:pPr>
            <w:r>
              <w:rPr>
                <w:rFonts w:ascii="Arial" w:cs="Arial" w:eastAsia="Arial" w:hAnsi="Arial"/>
                <w:sz w:val="10"/>
                <w:szCs w:val="10"/>
                <w:color w:val="auto"/>
              </w:rPr>
              <w:t>Debt due within one year</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(429)</w:t>
            </w:r>
          </w:p>
        </w:tc>
        <w:tc>
          <w:tcPr>
            <w:tcW w:w="16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(850)</w:t>
            </w:r>
          </w:p>
        </w:tc>
      </w:tr>
      <w:tr>
        <w:trPr>
          <w:trHeight w:val="120"/>
        </w:trPr>
        <w:tc>
          <w:tcPr>
            <w:tcW w:w="20" w:type="dxa"/>
            <w:vAlign w:val="bottom"/>
          </w:tcPr>
          <w:p>
            <w:pPr>
              <w:spacing w:after="0"/>
              <w:rPr>
                <w:sz w:val="10"/>
                <w:szCs w:val="10"/>
                <w:color w:val="auto"/>
              </w:rPr>
            </w:pPr>
          </w:p>
        </w:tc>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0"/>
                <w:szCs w:val="10"/>
                <w:color w:val="auto"/>
              </w:rPr>
              <w:t>Reclassified from short-term debt</w:t>
            </w:r>
          </w:p>
        </w:tc>
        <w:tc>
          <w:tcPr>
            <w:tcW w:w="10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5"/>
              </w:rPr>
              <w:t>4,950</w:t>
            </w:r>
          </w:p>
        </w:tc>
        <w:tc>
          <w:tcPr>
            <w:tcW w:w="1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4,382</w:t>
            </w:r>
          </w:p>
        </w:tc>
        <w:tc>
          <w:tcPr>
            <w:tcW w:w="40" w:type="dxa"/>
            <w:vAlign w:val="bottom"/>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34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long-term debt</w:t>
            </w:r>
          </w:p>
        </w:tc>
        <w:tc>
          <w:tcPr>
            <w:tcW w:w="116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5"/>
              </w:rPr>
              <w:t>5,742</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5,664</w:t>
            </w:r>
          </w:p>
        </w:tc>
        <w:tc>
          <w:tcPr>
            <w:tcW w:w="40" w:type="dxa"/>
            <w:vAlign w:val="bottom"/>
          </w:tcPr>
          <w:p>
            <w:pPr>
              <w:spacing w:after="0"/>
              <w:rPr>
                <w:sz w:val="9"/>
                <w:szCs w:val="9"/>
                <w:color w:val="auto"/>
              </w:rPr>
            </w:pPr>
          </w:p>
        </w:tc>
      </w:tr>
    </w:tbl>
    <w:p>
      <w:pPr>
        <w:spacing w:after="0" w:line="37" w:lineRule="exact"/>
        <w:rPr>
          <w:sz w:val="20"/>
          <w:szCs w:val="20"/>
          <w:color w:val="auto"/>
        </w:rPr>
      </w:pPr>
    </w:p>
    <w:p>
      <w:pPr>
        <w:ind w:left="420" w:hanging="56"/>
        <w:spacing w:after="0"/>
        <w:tabs>
          <w:tab w:leader="none" w:pos="420" w:val="left"/>
        </w:tabs>
        <w:numPr>
          <w:ilvl w:val="0"/>
          <w:numId w:val="47"/>
        </w:numPr>
        <w:rPr>
          <w:rFonts w:ascii="Arial" w:cs="Arial" w:eastAsia="Arial" w:hAnsi="Arial"/>
          <w:sz w:val="8"/>
          <w:szCs w:val="8"/>
          <w:color w:val="auto"/>
        </w:rPr>
      </w:pPr>
      <w:r>
        <w:rPr>
          <w:rFonts w:ascii="Arial" w:cs="Arial" w:eastAsia="Arial" w:hAnsi="Arial"/>
          <w:sz w:val="9"/>
          <w:szCs w:val="9"/>
          <w:color w:val="auto"/>
        </w:rPr>
        <w:t>Guarantee of ESOP debt.</w:t>
      </w:r>
    </w:p>
    <w:p>
      <w:pPr>
        <w:spacing w:after="0" w:line="1" w:lineRule="exact"/>
        <w:rPr>
          <w:sz w:val="20"/>
          <w:szCs w:val="20"/>
          <w:color w:val="auto"/>
        </w:rPr>
      </w:pPr>
    </w:p>
    <w:p>
      <w:pPr>
        <w:ind w:left="420" w:hanging="56"/>
        <w:spacing w:after="0"/>
        <w:tabs>
          <w:tab w:leader="none" w:pos="420" w:val="left"/>
        </w:tabs>
        <w:numPr>
          <w:ilvl w:val="0"/>
          <w:numId w:val="48"/>
        </w:numPr>
        <w:rPr>
          <w:rFonts w:ascii="Arial" w:cs="Arial" w:eastAsia="Arial" w:hAnsi="Arial"/>
          <w:sz w:val="8"/>
          <w:szCs w:val="8"/>
          <w:color w:val="auto"/>
        </w:rPr>
      </w:pPr>
      <w:r>
        <w:rPr>
          <w:rFonts w:ascii="Arial" w:cs="Arial" w:eastAsia="Arial" w:hAnsi="Arial"/>
          <w:sz w:val="9"/>
          <w:szCs w:val="9"/>
          <w:color w:val="auto"/>
        </w:rPr>
        <w:t>Weighted-average interest rate at December 31, 2008.</w:t>
      </w:r>
    </w:p>
    <w:p>
      <w:pPr>
        <w:spacing w:after="0" w:line="121" w:lineRule="exact"/>
        <w:rPr>
          <w:sz w:val="20"/>
          <w:szCs w:val="20"/>
          <w:color w:val="auto"/>
        </w:rPr>
      </w:pPr>
    </w:p>
    <w:p>
      <w:pPr>
        <w:ind w:left="360" w:right="60" w:firstLine="160"/>
        <w:spacing w:after="0" w:line="267" w:lineRule="auto"/>
        <w:rPr>
          <w:sz w:val="20"/>
          <w:szCs w:val="20"/>
          <w:color w:val="auto"/>
        </w:rPr>
      </w:pPr>
      <w:r>
        <w:rPr>
          <w:rFonts w:ascii="Arial" w:cs="Arial" w:eastAsia="Arial" w:hAnsi="Arial"/>
          <w:sz w:val="13"/>
          <w:szCs w:val="13"/>
          <w:color w:val="auto"/>
        </w:rPr>
        <w:t>Long-term debt of $1,221 matures as follows: 2009 – $429; 2010 – $64; 2011 – $47; 2012 – $33; 2013 – $41; and after 2013 – $607.</w:t>
      </w:r>
    </w:p>
    <w:p>
      <w:pPr>
        <w:spacing w:after="0" w:line="100" w:lineRule="exact"/>
        <w:rPr>
          <w:sz w:val="20"/>
          <w:szCs w:val="20"/>
          <w:color w:val="auto"/>
        </w:rPr>
      </w:pPr>
    </w:p>
    <w:p>
      <w:pPr>
        <w:jc w:val="both"/>
        <w:ind w:left="360" w:right="160" w:firstLine="160"/>
        <w:spacing w:after="0" w:line="288" w:lineRule="auto"/>
        <w:rPr>
          <w:sz w:val="20"/>
          <w:szCs w:val="20"/>
          <w:color w:val="auto"/>
        </w:rPr>
      </w:pPr>
      <w:r>
        <w:rPr>
          <w:rFonts w:ascii="Arial" w:cs="Arial" w:eastAsia="Arial" w:hAnsi="Arial"/>
          <w:sz w:val="12"/>
          <w:szCs w:val="12"/>
          <w:color w:val="auto"/>
        </w:rPr>
        <w:t>In 2008, debt totaling $822 matured, including $749 of Chevron Canada Funding Company notes. In 2007, $2,000 of Chevron Canada Funding Company bonds matured. The company also redeemed early $874 of Texaco Capital Inc. bonds, at an after-tax loss of approximately $175.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FS-47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20"/>
            <w:col w:w="5860"/>
          </w:cols>
          <w:pgMar w:left="220" w:top="338"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40"/>
        <w:spacing w:after="0"/>
        <w:rPr>
          <w:sz w:val="20"/>
          <w:szCs w:val="20"/>
          <w:color w:val="auto"/>
        </w:rPr>
      </w:pPr>
      <w:r>
        <w:rPr>
          <w:rFonts w:ascii="Arial" w:cs="Arial" w:eastAsia="Arial" w:hAnsi="Arial"/>
          <w:sz w:val="12"/>
          <w:szCs w:val="12"/>
          <w:color w:val="0077C0"/>
        </w:rPr>
        <w:t>Notes to the Consolidated Financial Statements</w:t>
      </w:r>
    </w:p>
    <w:p>
      <w:pPr>
        <w:jc w:val="right"/>
        <w:ind w:right="594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19 </w:t>
      </w:r>
      <w:r>
        <w:rPr>
          <w:rFonts w:ascii="Arial" w:cs="Arial" w:eastAsia="Arial" w:hAnsi="Arial"/>
          <w:sz w:val="8"/>
          <w:szCs w:val="8"/>
          <w:color w:val="000000"/>
        </w:rPr>
        <w:t>New Accounting Standards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19</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New Accounting Standards</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2"/>
          <w:szCs w:val="12"/>
          <w:i w:val="1"/>
          <w:iCs w:val="1"/>
          <w:color w:val="E51837"/>
        </w:rPr>
        <w:t xml:space="preserve">FASB Statement No. 141 (revised 2007), Business Combinations (FAS 141-R) </w:t>
      </w:r>
      <w:r>
        <w:rPr>
          <w:rFonts w:ascii="Arial" w:cs="Arial" w:eastAsia="Arial" w:hAnsi="Arial"/>
          <w:sz w:val="12"/>
          <w:szCs w:val="12"/>
          <w:color w:val="000000"/>
        </w:rPr>
        <w:t>In December 2007, the FASB</w:t>
      </w:r>
      <w:r>
        <w:rPr>
          <w:rFonts w:ascii="Arial" w:cs="Arial" w:eastAsia="Arial" w:hAnsi="Arial"/>
          <w:sz w:val="12"/>
          <w:szCs w:val="12"/>
          <w:i w:val="1"/>
          <w:iCs w:val="1"/>
          <w:color w:val="E51837"/>
        </w:rPr>
        <w:t xml:space="preserve"> </w:t>
      </w:r>
      <w:r>
        <w:rPr>
          <w:rFonts w:ascii="Arial" w:cs="Arial" w:eastAsia="Arial" w:hAnsi="Arial"/>
          <w:sz w:val="12"/>
          <w:szCs w:val="12"/>
          <w:color w:val="000000"/>
        </w:rPr>
        <w:t>issued FAS 141-R, which became effective for business combination transactions having an acquisition date on or after January 1, 2009. This standard requires the acquiring entity in a business combination to recognize the assets acquired, the liabilities assumed, and any noncontrolling interest in the acquiree at the acquisition date to be measured at their respective fair values. It also requires acquisition-related costs, as well as restructuring costs the acquirer expects to incur for which it is not obligated at acquisition date, to be recorded against income rather than included in purchase-price determination. Finally, the standard requires recognition of contingent arrangements at their acquisition-date fair values, with subsequent changes in fair value generally reflected in income.</w:t>
      </w:r>
    </w:p>
    <w:p>
      <w:pPr>
        <w:spacing w:after="0" w:line="111" w:lineRule="exact"/>
        <w:rPr>
          <w:sz w:val="20"/>
          <w:szCs w:val="20"/>
          <w:color w:val="auto"/>
        </w:rPr>
      </w:pPr>
    </w:p>
    <w:p>
      <w:pPr>
        <w:ind w:right="20"/>
        <w:spacing w:after="0" w:line="303" w:lineRule="auto"/>
        <w:rPr>
          <w:sz w:val="20"/>
          <w:szCs w:val="20"/>
          <w:color w:val="auto"/>
        </w:rPr>
      </w:pPr>
      <w:r>
        <w:rPr>
          <w:rFonts w:ascii="Arial" w:cs="Arial" w:eastAsia="Arial" w:hAnsi="Arial"/>
          <w:sz w:val="11"/>
          <w:szCs w:val="11"/>
          <w:i w:val="1"/>
          <w:iCs w:val="1"/>
          <w:color w:val="E51837"/>
        </w:rPr>
        <w:t xml:space="preserve">FASB Staff Position FAS 141(R)-a Accounting for Assets Acquired and Liabilities Assumed in a Business Combination (FSP FAS 141(R)-a) </w:t>
      </w:r>
      <w:r>
        <w:rPr>
          <w:rFonts w:ascii="Arial" w:cs="Arial" w:eastAsia="Arial" w:hAnsi="Arial"/>
          <w:sz w:val="11"/>
          <w:szCs w:val="11"/>
          <w:color w:val="000000"/>
        </w:rPr>
        <w:t>In February 2009, the FASB approved for issuance FSP FAS 141(R)-a,</w:t>
      </w:r>
      <w:r>
        <w:rPr>
          <w:rFonts w:ascii="Arial" w:cs="Arial" w:eastAsia="Arial" w:hAnsi="Arial"/>
          <w:sz w:val="11"/>
          <w:szCs w:val="11"/>
          <w:i w:val="1"/>
          <w:iCs w:val="1"/>
          <w:color w:val="E51837"/>
        </w:rPr>
        <w:t xml:space="preserve"> </w:t>
      </w:r>
      <w:r>
        <w:rPr>
          <w:rFonts w:ascii="Arial" w:cs="Arial" w:eastAsia="Arial" w:hAnsi="Arial"/>
          <w:sz w:val="11"/>
          <w:szCs w:val="11"/>
          <w:color w:val="000000"/>
        </w:rPr>
        <w:t xml:space="preserve">which became effective for business combinations having an acquisition date on or after January 1, 2009. This standard requires an asset or liability arising from a contingency in a business combination to be recognized at fair value if fair value can be reasonably determined. If it cannot be reasonably determined then the asset or liability will need to be recognized in accordance with FASB Statement No. 5, </w:t>
      </w:r>
      <w:r>
        <w:rPr>
          <w:rFonts w:ascii="Arial" w:cs="Arial" w:eastAsia="Arial" w:hAnsi="Arial"/>
          <w:sz w:val="11"/>
          <w:szCs w:val="11"/>
          <w:i w:val="1"/>
          <w:iCs w:val="1"/>
          <w:color w:val="000000"/>
        </w:rPr>
        <w:t>Accounting</w:t>
      </w:r>
      <w:r>
        <w:rPr>
          <w:rFonts w:ascii="Arial" w:cs="Arial" w:eastAsia="Arial" w:hAnsi="Arial"/>
          <w:sz w:val="11"/>
          <w:szCs w:val="11"/>
          <w:color w:val="000000"/>
        </w:rPr>
        <w:t xml:space="preserve"> </w:t>
      </w:r>
      <w:r>
        <w:rPr>
          <w:rFonts w:ascii="Arial" w:cs="Arial" w:eastAsia="Arial" w:hAnsi="Arial"/>
          <w:sz w:val="11"/>
          <w:szCs w:val="11"/>
          <w:i w:val="1"/>
          <w:iCs w:val="1"/>
          <w:color w:val="000000"/>
        </w:rPr>
        <w:t xml:space="preserve">for Contingencies, </w:t>
      </w:r>
      <w:r>
        <w:rPr>
          <w:rFonts w:ascii="Arial" w:cs="Arial" w:eastAsia="Arial" w:hAnsi="Arial"/>
          <w:sz w:val="11"/>
          <w:szCs w:val="11"/>
          <w:color w:val="000000"/>
        </w:rPr>
        <w:t>and FASB Interpretation No. 14,</w:t>
      </w:r>
      <w:r>
        <w:rPr>
          <w:rFonts w:ascii="Arial" w:cs="Arial" w:eastAsia="Arial" w:hAnsi="Arial"/>
          <w:sz w:val="11"/>
          <w:szCs w:val="11"/>
          <w:i w:val="1"/>
          <w:iCs w:val="1"/>
          <w:color w:val="000000"/>
        </w:rPr>
        <w:t xml:space="preserve"> Reasonable Estimation of the Amount of the Loss.</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2"/>
          <w:szCs w:val="12"/>
          <w:i w:val="1"/>
          <w:iCs w:val="1"/>
          <w:color w:val="E51837"/>
        </w:rPr>
        <w:t xml:space="preserve">FASB Statement No. 160, Noncontrolling Interests in Consolidated Financial Statements, an amendment of ARB No. 51 (FAS 160) </w:t>
      </w:r>
      <w:r>
        <w:rPr>
          <w:rFonts w:ascii="Arial" w:cs="Arial" w:eastAsia="Arial" w:hAnsi="Arial"/>
          <w:sz w:val="12"/>
          <w:szCs w:val="12"/>
          <w:color w:val="000000"/>
        </w:rPr>
        <w:t>The FASB issued FAS 160 in December 2007, which became effective for the</w:t>
      </w:r>
      <w:r>
        <w:rPr>
          <w:rFonts w:ascii="Arial" w:cs="Arial" w:eastAsia="Arial" w:hAnsi="Arial"/>
          <w:sz w:val="12"/>
          <w:szCs w:val="12"/>
          <w:i w:val="1"/>
          <w:iCs w:val="1"/>
          <w:color w:val="E51837"/>
        </w:rPr>
        <w:t xml:space="preserve"> </w:t>
      </w:r>
      <w:r>
        <w:rPr>
          <w:rFonts w:ascii="Arial" w:cs="Arial" w:eastAsia="Arial" w:hAnsi="Arial"/>
          <w:sz w:val="12"/>
          <w:szCs w:val="12"/>
          <w:color w:val="000000"/>
        </w:rPr>
        <w:t>company January 1, 2009, with retroactive adoption of the Standard’s presentation and disclosure requirements for existing minority interests. This standard requires ownership interests in subsidiaries held by parties other than the parent to be presented within the equity section of the Consolidated Balance Sheet but separate from the parent’s equity. It also requires the amount of consolidated net income attributable to the parent and the noncontrolling interest to be clearly identified and presented on the face of the Consolidated Statement of Income. Certain changes in a parent’s ownership interest are to be accounted for as equity transactions and when a subsidiary is deconsolidated, any noncontrolling equity investment in the former subsidiary is to be initially measured at fair value. Implementation of FAS 160 will not significantly change the presentation of the company’s Consolidated Statement of Income or Consolidated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272" w:lineRule="auto"/>
        <w:rPr>
          <w:sz w:val="20"/>
          <w:szCs w:val="20"/>
          <w:color w:val="auto"/>
        </w:rPr>
      </w:pPr>
      <w:r>
        <w:rPr>
          <w:rFonts w:ascii="Arial" w:cs="Arial" w:eastAsia="Arial" w:hAnsi="Arial"/>
          <w:sz w:val="12"/>
          <w:szCs w:val="12"/>
          <w:i w:val="1"/>
          <w:iCs w:val="1"/>
          <w:color w:val="E51837"/>
        </w:rPr>
        <w:t xml:space="preserve">FASB Statement No. 161, Disclosures about Derivative Instruments and Hedging Activities (FAS 161) </w:t>
      </w:r>
      <w:r>
        <w:rPr>
          <w:rFonts w:ascii="Arial" w:cs="Arial" w:eastAsia="Arial" w:hAnsi="Arial"/>
          <w:sz w:val="12"/>
          <w:szCs w:val="12"/>
          <w:color w:val="000000"/>
        </w:rPr>
        <w:t>In</w:t>
      </w:r>
      <w:r>
        <w:rPr>
          <w:rFonts w:ascii="Arial" w:cs="Arial" w:eastAsia="Arial" w:hAnsi="Arial"/>
          <w:sz w:val="12"/>
          <w:szCs w:val="12"/>
          <w:i w:val="1"/>
          <w:iCs w:val="1"/>
          <w:color w:val="E51837"/>
        </w:rPr>
        <w:t xml:space="preserve"> </w:t>
      </w:r>
      <w:r>
        <w:rPr>
          <w:rFonts w:ascii="Arial" w:cs="Arial" w:eastAsia="Arial" w:hAnsi="Arial"/>
          <w:sz w:val="12"/>
          <w:szCs w:val="12"/>
          <w:color w:val="000000"/>
        </w:rPr>
        <w:t xml:space="preserve">March 2008, the FASB issued FAS 161, which became effective for the company on January 1, 2009. This standard amends and expands the disclosure requirements of FASB Statement No. 133, </w:t>
      </w:r>
      <w:r>
        <w:rPr>
          <w:rFonts w:ascii="Arial" w:cs="Arial" w:eastAsia="Arial" w:hAnsi="Arial"/>
          <w:sz w:val="12"/>
          <w:szCs w:val="12"/>
          <w:i w:val="1"/>
          <w:iCs w:val="1"/>
          <w:color w:val="000000"/>
        </w:rPr>
        <w:t>Accounting for</w:t>
      </w:r>
      <w:r>
        <w:rPr>
          <w:rFonts w:ascii="Arial" w:cs="Arial" w:eastAsia="Arial" w:hAnsi="Arial"/>
          <w:sz w:val="12"/>
          <w:szCs w:val="12"/>
          <w:color w:val="000000"/>
        </w:rPr>
        <w:t xml:space="preserve"> </w:t>
      </w:r>
      <w:r>
        <w:rPr>
          <w:rFonts w:ascii="Arial" w:cs="Arial" w:eastAsia="Arial" w:hAnsi="Arial"/>
          <w:sz w:val="12"/>
          <w:szCs w:val="12"/>
          <w:i w:val="1"/>
          <w:iCs w:val="1"/>
          <w:color w:val="000000"/>
        </w:rPr>
        <w:t xml:space="preserve">Derivative Instruments and Hedging Activities. </w:t>
      </w:r>
      <w:r>
        <w:rPr>
          <w:rFonts w:ascii="Arial" w:cs="Arial" w:eastAsia="Arial" w:hAnsi="Arial"/>
          <w:sz w:val="12"/>
          <w:szCs w:val="12"/>
          <w:color w:val="000000"/>
        </w:rPr>
        <w:t>FAS 161 requires disclosures related to objectives and</w:t>
      </w:r>
      <w:r>
        <w:rPr>
          <w:rFonts w:ascii="Arial" w:cs="Arial" w:eastAsia="Arial" w:hAnsi="Arial"/>
          <w:sz w:val="12"/>
          <w:szCs w:val="12"/>
          <w:i w:val="1"/>
          <w:iCs w:val="1"/>
          <w:color w:val="000000"/>
        </w:rPr>
        <w:t xml:space="preserve"> </w:t>
      </w:r>
      <w:r>
        <w:rPr>
          <w:rFonts w:ascii="Arial" w:cs="Arial" w:eastAsia="Arial" w:hAnsi="Arial"/>
          <w:sz w:val="12"/>
          <w:szCs w:val="12"/>
          <w:color w:val="000000"/>
        </w:rPr>
        <w:t>strategies for using derivatives; the fair-value amounts of, and gains and losses on, derivative instruments; and credit-risk-related contingent features in derivative agreements. The company’s disclosures for derivative instruments will be expanded to include a tabular representation of the location and fair value amounts of derivative instruments on the balance sheet, fair value gains and losses on the income statement and gains and losses associated with cash flow hedges recognized in earnings and other comprehensive income.</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i w:val="1"/>
          <w:iCs w:val="1"/>
          <w:color w:val="E51837"/>
        </w:rPr>
        <w:t xml:space="preserve">FASB Staff Position FAS 132(R)-1, Employer’s Disclosures about Postretirement Benefit Plan Assets (FSP FAS 132(R)-1) </w:t>
      </w:r>
      <w:r>
        <w:rPr>
          <w:rFonts w:ascii="Arial" w:cs="Arial" w:eastAsia="Arial" w:hAnsi="Arial"/>
          <w:sz w:val="12"/>
          <w:szCs w:val="12"/>
          <w:color w:val="000000"/>
        </w:rPr>
        <w:t>In December 2008, the FASB issued FSP FAS 132(R)-1, which becomes effective with the</w:t>
      </w:r>
      <w:r>
        <w:rPr>
          <w:rFonts w:ascii="Arial" w:cs="Arial" w:eastAsia="Arial" w:hAnsi="Arial"/>
          <w:sz w:val="12"/>
          <w:szCs w:val="12"/>
          <w:i w:val="1"/>
          <w:iCs w:val="1"/>
          <w:color w:val="E51837"/>
        </w:rPr>
        <w:t xml:space="preserve"> </w:t>
      </w:r>
      <w:r>
        <w:rPr>
          <w:rFonts w:ascii="Arial" w:cs="Arial" w:eastAsia="Arial" w:hAnsi="Arial"/>
          <w:sz w:val="12"/>
          <w:szCs w:val="12"/>
          <w:color w:val="000000"/>
        </w:rPr>
        <w:t>company’s reporting at December 31, 2009. This standard amends and expands the disclosure requirements on the plan assets of defined benefit pension and other postretirement plans to provide users of financial statements with an understanding of: how investment allocation decisions are made; the major categories of plan assets; the inputs and valuation techniques used to measure the fair value of plan assets; the effect of fair-value measurements using significant unobservable inputs on changes in plan assets for the period; and significant concentrations of risk within plan assets. The company does not prefund its other postretirement plan obligations, and the effect on the company’s disclosures for its pension plan assets as a result of the adoption of FSP FAS 132(R)-1 will depend on the company’s plan assets at that time.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20</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Accounting for Suspended Exploratory Wells</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 xml:space="preserve">The company accounts for the cost of exploratory wells in accordance with FASB Statement No. 19, </w:t>
      </w:r>
      <w:r>
        <w:rPr>
          <w:rFonts w:ascii="Arial" w:cs="Arial" w:eastAsia="Arial" w:hAnsi="Arial"/>
          <w:sz w:val="12"/>
          <w:szCs w:val="12"/>
          <w:i w:val="1"/>
          <w:iCs w:val="1"/>
          <w:color w:val="auto"/>
        </w:rPr>
        <w:t xml:space="preserve">Financial and Reporting by Oil and Gas Producing Companies </w:t>
      </w:r>
      <w:r>
        <w:rPr>
          <w:rFonts w:ascii="Arial" w:cs="Arial" w:eastAsia="Arial" w:hAnsi="Arial"/>
          <w:sz w:val="12"/>
          <w:szCs w:val="12"/>
          <w:color w:val="auto"/>
        </w:rPr>
        <w:t>(FAS 19)</w:t>
      </w:r>
      <w:r>
        <w:rPr>
          <w:rFonts w:ascii="Arial" w:cs="Arial" w:eastAsia="Arial" w:hAnsi="Arial"/>
          <w:sz w:val="12"/>
          <w:szCs w:val="12"/>
          <w:i w:val="1"/>
          <w:iCs w:val="1"/>
          <w:color w:val="auto"/>
        </w:rPr>
        <w:t xml:space="preserve">, </w:t>
      </w:r>
      <w:r>
        <w:rPr>
          <w:rFonts w:ascii="Arial" w:cs="Arial" w:eastAsia="Arial" w:hAnsi="Arial"/>
          <w:sz w:val="12"/>
          <w:szCs w:val="12"/>
          <w:color w:val="auto"/>
        </w:rPr>
        <w:t>as amended by FASB Staff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Position (FSP) FAS 19-1, </w:t>
      </w:r>
      <w:r>
        <w:rPr>
          <w:rFonts w:ascii="Arial" w:cs="Arial" w:eastAsia="Arial" w:hAnsi="Arial"/>
          <w:sz w:val="12"/>
          <w:szCs w:val="12"/>
          <w:i w:val="1"/>
          <w:iCs w:val="1"/>
          <w:color w:val="auto"/>
        </w:rPr>
        <w:t>Accounting for Suspended Well Costs</w:t>
      </w:r>
      <w:r>
        <w:rPr>
          <w:rFonts w:ascii="Arial" w:cs="Arial" w:eastAsia="Arial" w:hAnsi="Arial"/>
          <w:sz w:val="12"/>
          <w:szCs w:val="12"/>
          <w:color w:val="auto"/>
        </w:rPr>
        <w:t>, which provides that exploratory well costs continue to be capitalized after the completion of drilling when (a) the well has found a sufficient quantity of reserves to justify completion as a producing well and (b) the enterprise is making sufficient progress assessing the reserves and the economic and operating viability of the project. If either condition is not met or if an enterprise obtains information that raises substantial doubt about the economic or operational viability of the project, the exploratory well would be assumed to be impaired, and its costs, net of any salvage value, would be charged to expense.</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89" w:name="page90"/>
    <w:bookmarkEnd w:id="8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245110</wp:posOffset>
            </wp:positionV>
            <wp:extent cx="7285990" cy="652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20 </w:t>
      </w:r>
      <w:r>
        <w:rPr>
          <w:rFonts w:ascii="Arial" w:cs="Arial" w:eastAsia="Arial" w:hAnsi="Arial"/>
          <w:sz w:val="8"/>
          <w:szCs w:val="8"/>
          <w:color w:val="000000"/>
        </w:rPr>
        <w:t>Accounting for Suspended Exploratory Wells - Continued</w:t>
      </w:r>
    </w:p>
    <w:p>
      <w:pPr>
        <w:spacing w:after="0" w:line="200" w:lineRule="exact"/>
        <w:rPr>
          <w:sz w:val="20"/>
          <w:szCs w:val="20"/>
          <w:color w:val="auto"/>
        </w:rPr>
      </w:pPr>
    </w:p>
    <w:p>
      <w:pPr>
        <w:spacing w:after="0" w:line="281"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FAS 19 provides a number of indicators that can assist an entity to demonstrate sufficient progress is being made in assessing the reserves and economic viability of the project.</w:t>
      </w:r>
    </w:p>
    <w:p>
      <w:pPr>
        <w:spacing w:after="0" w:line="1" w:lineRule="exact"/>
        <w:rPr>
          <w:sz w:val="20"/>
          <w:szCs w:val="20"/>
          <w:color w:val="auto"/>
        </w:rPr>
      </w:pPr>
    </w:p>
    <w:p>
      <w:pPr>
        <w:ind w:right="180" w:firstLine="158"/>
        <w:spacing w:after="0" w:line="253" w:lineRule="auto"/>
        <w:rPr>
          <w:sz w:val="20"/>
          <w:szCs w:val="20"/>
          <w:color w:val="auto"/>
        </w:rPr>
      </w:pPr>
      <w:r>
        <w:rPr>
          <w:rFonts w:ascii="Arial" w:cs="Arial" w:eastAsia="Arial" w:hAnsi="Arial"/>
          <w:sz w:val="13"/>
          <w:szCs w:val="13"/>
          <w:color w:val="auto"/>
        </w:rPr>
        <w:t>The following table indicates the changes to the company’s suspended exploratory well costs for the three years ended December 31, 2008: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2008</w:t>
            </w:r>
          </w:p>
        </w:tc>
        <w:tc>
          <w:tcPr>
            <w:tcW w:w="6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2007</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color w:val="auto"/>
              </w:rPr>
              <w:t>Beginning balance at January 1</w:t>
            </w:r>
          </w:p>
        </w:tc>
        <w:tc>
          <w:tcPr>
            <w:tcW w:w="24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29"/>
              <w:spacing w:after="0" w:line="92" w:lineRule="exact"/>
              <w:rPr>
                <w:sz w:val="20"/>
                <w:szCs w:val="20"/>
                <w:color w:val="auto"/>
              </w:rPr>
            </w:pPr>
            <w:r>
              <w:rPr>
                <w:rFonts w:ascii="Arial" w:cs="Arial" w:eastAsia="Arial" w:hAnsi="Arial"/>
                <w:sz w:val="10"/>
                <w:szCs w:val="10"/>
                <w:b w:val="1"/>
                <w:bCs w:val="1"/>
                <w:color w:val="auto"/>
                <w:w w:val="95"/>
              </w:rPr>
              <w:t>1,660</w:t>
            </w:r>
          </w:p>
        </w:tc>
        <w:tc>
          <w:tcPr>
            <w:tcW w:w="600" w:type="dxa"/>
            <w:vAlign w:val="bottom"/>
          </w:tcPr>
          <w:p>
            <w:pPr>
              <w:jc w:val="right"/>
              <w:ind w:right="109"/>
              <w:spacing w:after="0" w:line="92" w:lineRule="exact"/>
              <w:rPr>
                <w:sz w:val="20"/>
                <w:szCs w:val="20"/>
                <w:color w:val="auto"/>
              </w:rPr>
            </w:pPr>
            <w:r>
              <w:rPr>
                <w:rFonts w:ascii="Arial" w:cs="Arial" w:eastAsia="Arial" w:hAnsi="Arial"/>
                <w:sz w:val="10"/>
                <w:szCs w:val="10"/>
                <w:color w:val="auto"/>
              </w:rPr>
              <w:t>$ 1,239</w:t>
            </w:r>
          </w:p>
        </w:tc>
        <w:tc>
          <w:tcPr>
            <w:tcW w:w="480" w:type="dxa"/>
            <w:vAlign w:val="bottom"/>
          </w:tcPr>
          <w:p>
            <w:pPr>
              <w:jc w:val="right"/>
              <w:spacing w:after="0" w:line="92" w:lineRule="exact"/>
              <w:rPr>
                <w:sz w:val="20"/>
                <w:szCs w:val="20"/>
                <w:color w:val="auto"/>
              </w:rPr>
            </w:pPr>
            <w:r>
              <w:rPr>
                <w:rFonts w:ascii="Arial" w:cs="Arial" w:eastAsia="Arial" w:hAnsi="Arial"/>
                <w:sz w:val="10"/>
                <w:szCs w:val="10"/>
                <w:color w:val="auto"/>
              </w:rPr>
              <w:t>$ 1,109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w w:val="98"/>
              </w:rPr>
              <w:t>Additions to capitalized exploratory well costs pending the determination of proved</w:t>
            </w:r>
          </w:p>
        </w:tc>
        <w:tc>
          <w:tcPr>
            <w:tcW w:w="24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643</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80"/>
              <w:spacing w:after="0" w:line="106" w:lineRule="exact"/>
              <w:rPr>
                <w:sz w:val="20"/>
                <w:szCs w:val="20"/>
                <w:color w:val="auto"/>
              </w:rPr>
            </w:pPr>
            <w:r>
              <w:rPr>
                <w:rFonts w:ascii="Arial" w:cs="Arial" w:eastAsia="Arial" w:hAnsi="Arial"/>
                <w:sz w:val="10"/>
                <w:szCs w:val="10"/>
                <w:color w:val="auto"/>
              </w:rPr>
              <w:t>reserves</w:t>
            </w:r>
          </w:p>
        </w:tc>
        <w:tc>
          <w:tcPr>
            <w:tcW w:w="24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486</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446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Reclassifications to wells, facilities and equipment based on the determination of</w:t>
            </w:r>
          </w:p>
        </w:tc>
        <w:tc>
          <w:tcPr>
            <w:tcW w:w="24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(49)</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00" w:type="dxa"/>
            <w:vAlign w:val="bottom"/>
          </w:tcPr>
          <w:p>
            <w:pPr>
              <w:ind w:left="180"/>
              <w:spacing w:after="0" w:line="104" w:lineRule="exact"/>
              <w:rPr>
                <w:sz w:val="20"/>
                <w:szCs w:val="20"/>
                <w:color w:val="auto"/>
              </w:rPr>
            </w:pPr>
            <w:r>
              <w:rPr>
                <w:rFonts w:ascii="Arial" w:cs="Arial" w:eastAsia="Arial" w:hAnsi="Arial"/>
                <w:sz w:val="10"/>
                <w:szCs w:val="10"/>
                <w:color w:val="auto"/>
              </w:rPr>
              <w:t>proved reserves</w:t>
            </w:r>
          </w:p>
        </w:tc>
        <w:tc>
          <w:tcPr>
            <w:tcW w:w="24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89"/>
              <w:spacing w:after="0" w:line="104" w:lineRule="exact"/>
              <w:rPr>
                <w:sz w:val="20"/>
                <w:szCs w:val="20"/>
                <w:color w:val="auto"/>
              </w:rPr>
            </w:pPr>
            <w:r>
              <w:rPr>
                <w:rFonts w:ascii="Arial" w:cs="Arial" w:eastAsia="Arial" w:hAnsi="Arial"/>
                <w:sz w:val="10"/>
                <w:szCs w:val="10"/>
                <w:color w:val="auto"/>
              </w:rPr>
              <w:t>(23)</w:t>
            </w:r>
          </w:p>
        </w:tc>
        <w:tc>
          <w:tcPr>
            <w:tcW w:w="5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06"/>
        </w:trPr>
        <w:tc>
          <w:tcPr>
            <w:tcW w:w="3700" w:type="dxa"/>
            <w:vAlign w:val="bottom"/>
          </w:tcPr>
          <w:p>
            <w:pPr>
              <w:ind w:left="100"/>
              <w:spacing w:after="0" w:line="106" w:lineRule="exact"/>
              <w:rPr>
                <w:sz w:val="20"/>
                <w:szCs w:val="20"/>
                <w:color w:val="auto"/>
              </w:rPr>
            </w:pPr>
            <w:r>
              <w:rPr>
                <w:rFonts w:ascii="Arial" w:cs="Arial" w:eastAsia="Arial" w:hAnsi="Arial"/>
                <w:sz w:val="10"/>
                <w:szCs w:val="10"/>
                <w:color w:val="auto"/>
              </w:rPr>
              <w:t>Capitalized exploratory well costs charged to expense</w:t>
            </w:r>
          </w:p>
        </w:tc>
        <w:tc>
          <w:tcPr>
            <w:tcW w:w="240" w:type="dxa"/>
            <w:vAlign w:val="bottom"/>
          </w:tcPr>
          <w:p>
            <w:pPr>
              <w:spacing w:after="0"/>
              <w:rPr>
                <w:sz w:val="9"/>
                <w:szCs w:val="9"/>
                <w:color w:val="auto"/>
              </w:rPr>
            </w:pPr>
          </w:p>
        </w:tc>
        <w:tc>
          <w:tcPr>
            <w:tcW w:w="44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(136)</w:t>
            </w:r>
          </w:p>
        </w:tc>
        <w:tc>
          <w:tcPr>
            <w:tcW w:w="6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(42)</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20"/>
        </w:trPr>
        <w:tc>
          <w:tcPr>
            <w:tcW w:w="3700" w:type="dxa"/>
            <w:vAlign w:val="bottom"/>
          </w:tcPr>
          <w:p>
            <w:pPr>
              <w:ind w:left="100"/>
              <w:spacing w:after="0"/>
              <w:rPr>
                <w:sz w:val="20"/>
                <w:szCs w:val="20"/>
                <w:color w:val="auto"/>
              </w:rPr>
            </w:pPr>
            <w:r>
              <w:rPr>
                <w:rFonts w:ascii="Arial" w:cs="Arial" w:eastAsia="Arial" w:hAnsi="Arial"/>
                <w:sz w:val="10"/>
                <w:szCs w:val="10"/>
                <w:color w:val="auto"/>
              </w:rPr>
              <w:t>Other reductions*</w:t>
            </w:r>
          </w:p>
        </w:tc>
        <w:tc>
          <w:tcPr>
            <w:tcW w:w="240" w:type="dxa"/>
            <w:vAlign w:val="bottom"/>
          </w:tcPr>
          <w:p>
            <w:pPr>
              <w:spacing w:after="0"/>
              <w:rPr>
                <w:sz w:val="10"/>
                <w:szCs w:val="10"/>
                <w:color w:val="auto"/>
              </w:rPr>
            </w:pP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14"/>
        </w:trPr>
        <w:tc>
          <w:tcPr>
            <w:tcW w:w="37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Ending balance at December 31</w:t>
            </w:r>
          </w:p>
        </w:tc>
        <w:tc>
          <w:tcPr>
            <w:tcW w:w="2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2,118</w:t>
            </w:r>
          </w:p>
        </w:tc>
        <w:tc>
          <w:tcPr>
            <w:tcW w:w="60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$ 1,660</w:t>
            </w:r>
          </w:p>
        </w:tc>
        <w:tc>
          <w:tcPr>
            <w:tcW w:w="4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$ 1,239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Represent property sales and exchanges.</w:t>
      </w:r>
    </w:p>
    <w:p>
      <w:pPr>
        <w:spacing w:after="0" w:line="128" w:lineRule="exact"/>
        <w:rPr>
          <w:sz w:val="20"/>
          <w:szCs w:val="20"/>
          <w:color w:val="auto"/>
        </w:rPr>
      </w:pPr>
    </w:p>
    <w:p>
      <w:pPr>
        <w:ind w:right="180" w:firstLine="158"/>
        <w:spacing w:after="0" w:line="256" w:lineRule="auto"/>
        <w:rPr>
          <w:sz w:val="20"/>
          <w:szCs w:val="20"/>
          <w:color w:val="auto"/>
        </w:rPr>
      </w:pPr>
      <w:r>
        <w:rPr>
          <w:rFonts w:ascii="Arial" w:cs="Arial" w:eastAsia="Arial" w:hAnsi="Arial"/>
          <w:sz w:val="13"/>
          <w:szCs w:val="13"/>
          <w:color w:val="auto"/>
        </w:rPr>
        <w:t>The following table provides an aging of capitalized well costs and the number of projects for which exploratory well costs have been capitalized for a period greater than one year since the completion of drilling.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85"/>
              </w:rPr>
              <w:t>At December 31</w:t>
            </w:r>
          </w:p>
        </w:tc>
        <w:tc>
          <w:tcPr>
            <w:tcW w:w="0" w:type="dxa"/>
            <w:vAlign w:val="bottom"/>
          </w:tcPr>
          <w:p>
            <w:pPr>
              <w:spacing w:after="0"/>
              <w:rPr>
                <w:sz w:val="1"/>
                <w:szCs w:val="1"/>
                <w:color w:val="auto"/>
              </w:rPr>
            </w:pPr>
          </w:p>
        </w:tc>
      </w:tr>
      <w:tr>
        <w:trPr>
          <w:trHeight w:val="95"/>
        </w:trPr>
        <w:tc>
          <w:tcPr>
            <w:tcW w:w="386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38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90"/>
        </w:trPr>
        <w:tc>
          <w:tcPr>
            <w:tcW w:w="3860" w:type="dxa"/>
            <w:vAlign w:val="bottom"/>
          </w:tcPr>
          <w:p>
            <w:pPr>
              <w:spacing w:after="0" w:line="91" w:lineRule="exact"/>
              <w:rPr>
                <w:sz w:val="20"/>
                <w:szCs w:val="20"/>
                <w:color w:val="auto"/>
              </w:rPr>
            </w:pPr>
            <w:r>
              <w:rPr>
                <w:rFonts w:ascii="Arial" w:cs="Arial" w:eastAsia="Arial" w:hAnsi="Arial"/>
                <w:sz w:val="10"/>
                <w:szCs w:val="10"/>
                <w:color w:val="auto"/>
              </w:rPr>
              <w:t>Exploratory well costs capitalized for a period of one year or less</w:t>
            </w:r>
          </w:p>
        </w:tc>
        <w:tc>
          <w:tcPr>
            <w:tcW w:w="8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559</w:t>
            </w:r>
          </w:p>
        </w:tc>
        <w:tc>
          <w:tcPr>
            <w:tcW w:w="1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449</w:t>
            </w:r>
          </w:p>
        </w:tc>
        <w:tc>
          <w:tcPr>
            <w:tcW w:w="3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120"/>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Exploratory well costs capitalized for a period greater than one year</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1,559</w:t>
            </w:r>
          </w:p>
        </w:tc>
        <w:tc>
          <w:tcPr>
            <w:tcW w:w="18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1,211</w:t>
            </w:r>
          </w:p>
        </w:tc>
        <w:tc>
          <w:tcPr>
            <w:tcW w:w="38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907</w:t>
            </w:r>
          </w:p>
        </w:tc>
        <w:tc>
          <w:tcPr>
            <w:tcW w:w="0" w:type="dxa"/>
            <w:vAlign w:val="bottom"/>
          </w:tcPr>
          <w:p>
            <w:pPr>
              <w:spacing w:after="0"/>
              <w:rPr>
                <w:sz w:val="1"/>
                <w:szCs w:val="1"/>
                <w:color w:val="auto"/>
              </w:rPr>
            </w:pPr>
          </w:p>
        </w:tc>
      </w:tr>
      <w:tr>
        <w:trPr>
          <w:trHeight w:val="114"/>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Balance at December 31</w:t>
            </w:r>
          </w:p>
        </w:tc>
        <w:tc>
          <w:tcPr>
            <w:tcW w:w="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2,118</w:t>
            </w:r>
          </w:p>
        </w:tc>
        <w:tc>
          <w:tcPr>
            <w:tcW w:w="1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1,660</w:t>
            </w: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1,239</w:t>
            </w:r>
          </w:p>
        </w:tc>
        <w:tc>
          <w:tcPr>
            <w:tcW w:w="0" w:type="dxa"/>
            <w:vAlign w:val="bottom"/>
          </w:tcPr>
          <w:p>
            <w:pPr>
              <w:spacing w:after="0"/>
              <w:rPr>
                <w:sz w:val="1"/>
                <w:szCs w:val="1"/>
                <w:color w:val="auto"/>
              </w:rPr>
            </w:pPr>
          </w:p>
        </w:tc>
      </w:tr>
      <w:tr>
        <w:trPr>
          <w:trHeight w:val="103"/>
        </w:trPr>
        <w:tc>
          <w:tcPr>
            <w:tcW w:w="3860" w:type="dxa"/>
            <w:vAlign w:val="bottom"/>
          </w:tcPr>
          <w:p>
            <w:pPr>
              <w:spacing w:after="0" w:line="103" w:lineRule="exact"/>
              <w:rPr>
                <w:sz w:val="20"/>
                <w:szCs w:val="20"/>
                <w:color w:val="auto"/>
              </w:rPr>
            </w:pPr>
            <w:r>
              <w:rPr>
                <w:rFonts w:ascii="Arial" w:cs="Arial" w:eastAsia="Arial" w:hAnsi="Arial"/>
                <w:sz w:val="10"/>
                <w:szCs w:val="10"/>
                <w:color w:val="auto"/>
              </w:rPr>
              <w:t>Number of projects with exploratory well costs that have been capitalized for a period</w:t>
            </w:r>
          </w:p>
        </w:tc>
        <w:tc>
          <w:tcPr>
            <w:tcW w:w="80" w:type="dxa"/>
            <w:vAlign w:val="bottom"/>
          </w:tcPr>
          <w:p>
            <w:pPr>
              <w:spacing w:after="0"/>
              <w:rPr>
                <w:sz w:val="8"/>
                <w:szCs w:val="8"/>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50</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86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greater than one year*</w:t>
            </w:r>
          </w:p>
        </w:tc>
        <w:tc>
          <w:tcPr>
            <w:tcW w:w="8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right w:val="single" w:sz="8" w:color="0077C0"/>
            </w:tcBorders>
            <w:vMerge w:val="continue"/>
          </w:tcPr>
          <w:p>
            <w:pPr>
              <w:spacing w:after="0"/>
              <w:rPr>
                <w:sz w:val="11"/>
                <w:szCs w:val="11"/>
                <w:color w:val="auto"/>
              </w:rPr>
            </w:pPr>
          </w:p>
        </w:tc>
        <w:tc>
          <w:tcPr>
            <w:tcW w:w="18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54</w:t>
            </w:r>
          </w:p>
        </w:tc>
        <w:tc>
          <w:tcPr>
            <w:tcW w:w="38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Certain projects have multiple wells or fields or both.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97" w:lineRule="auto"/>
        <w:rPr>
          <w:sz w:val="20"/>
          <w:szCs w:val="20"/>
          <w:color w:val="auto"/>
        </w:rPr>
      </w:pPr>
      <w:r>
        <w:rPr>
          <w:rFonts w:ascii="Arial" w:cs="Arial" w:eastAsia="Arial" w:hAnsi="Arial"/>
          <w:sz w:val="11"/>
          <w:szCs w:val="11"/>
          <w:color w:val="auto"/>
        </w:rPr>
        <w:t>government approval of the plan of development received in fourth quarter 2008; (b) $73 (two projects) – continued unitization efforts on adjacent discoveries that span inter-national boundaries; (c) $49 (one project) – alignment of project stakeholders regarding scope and commercial strategy; (d) $46 (one project)</w:t>
      </w:r>
    </w:p>
    <w:p>
      <w:pPr>
        <w:ind w:right="60"/>
        <w:spacing w:after="0" w:line="267" w:lineRule="auto"/>
        <w:rPr>
          <w:sz w:val="20"/>
          <w:szCs w:val="20"/>
          <w:color w:val="auto"/>
        </w:rPr>
      </w:pPr>
      <w:r>
        <w:rPr>
          <w:rFonts w:ascii="Arial" w:cs="Arial" w:eastAsia="Arial" w:hAnsi="Arial"/>
          <w:sz w:val="12"/>
          <w:szCs w:val="12"/>
          <w:color w:val="auto"/>
        </w:rPr>
        <w:t>– subsurface and facilities engineering studies ongoing with front-end-engineering and design expected in late 2009; (e) $40 (one project) continued review of development options; (f) $91 – miscellaneous activities for 12 projects with smaller amounts suspended. While progress was being made on all 50 projects, the decision on the recognition of proved reserves under SEC rules in some cases may not occur for several years because of the complexity, scale and negotiations connected with the projects. The majority of these decisions are expected to occur in the next three years.</w:t>
      </w:r>
    </w:p>
    <w:p>
      <w:pPr>
        <w:spacing w:after="0" w:line="1" w:lineRule="exact"/>
        <w:rPr>
          <w:sz w:val="20"/>
          <w:szCs w:val="20"/>
          <w:color w:val="auto"/>
        </w:rPr>
      </w:pPr>
    </w:p>
    <w:p>
      <w:pPr>
        <w:ind w:right="40" w:firstLine="158"/>
        <w:spacing w:after="0" w:line="250" w:lineRule="auto"/>
        <w:rPr>
          <w:sz w:val="20"/>
          <w:szCs w:val="20"/>
          <w:color w:val="auto"/>
        </w:rPr>
      </w:pPr>
      <w:r>
        <w:rPr>
          <w:rFonts w:ascii="Arial" w:cs="Arial" w:eastAsia="Arial" w:hAnsi="Arial"/>
          <w:sz w:val="13"/>
          <w:szCs w:val="13"/>
          <w:color w:val="auto"/>
        </w:rPr>
        <w:t>The $1,559 of suspended well costs capitalized for a period greater than one year as of December 31, 2008, represents 195 exploratory wells in 50 projects. The tables below contain the aging of these costs on a well and project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Number</w:t>
            </w:r>
          </w:p>
        </w:tc>
      </w:tr>
      <w:tr>
        <w:trPr>
          <w:trHeight w:val="113"/>
        </w:trPr>
        <w:tc>
          <w:tcPr>
            <w:tcW w:w="3360" w:type="dxa"/>
            <w:vAlign w:val="bottom"/>
            <w:gridSpan w:val="2"/>
          </w:tcPr>
          <w:p>
            <w:pPr>
              <w:spacing w:after="0" w:line="113" w:lineRule="exact"/>
              <w:rPr>
                <w:sz w:val="20"/>
                <w:szCs w:val="20"/>
                <w:color w:val="auto"/>
              </w:rPr>
            </w:pPr>
            <w:r>
              <w:rPr>
                <w:rFonts w:ascii="Arial" w:cs="Arial" w:eastAsia="Arial" w:hAnsi="Arial"/>
                <w:sz w:val="10"/>
                <w:szCs w:val="10"/>
                <w:i w:val="1"/>
                <w:iCs w:val="1"/>
                <w:color w:val="auto"/>
              </w:rPr>
              <w:t>Aging based on drilling completion date of individual wells:</w:t>
            </w:r>
          </w:p>
        </w:tc>
        <w:tc>
          <w:tcPr>
            <w:tcW w:w="1540" w:type="dxa"/>
            <w:vAlign w:val="bottom"/>
            <w:gridSpan w:val="2"/>
          </w:tcPr>
          <w:p>
            <w:pPr>
              <w:ind w:left="1060"/>
              <w:spacing w:after="0" w:line="113" w:lineRule="exact"/>
              <w:rPr>
                <w:sz w:val="20"/>
                <w:szCs w:val="20"/>
                <w:color w:val="auto"/>
              </w:rPr>
            </w:pPr>
            <w:r>
              <w:rPr>
                <w:rFonts w:ascii="Arial" w:cs="Arial" w:eastAsia="Arial" w:hAnsi="Arial"/>
                <w:sz w:val="10"/>
                <w:szCs w:val="10"/>
                <w:color w:val="auto"/>
              </w:rPr>
              <w:t>Amount</w:t>
            </w:r>
          </w:p>
        </w:tc>
        <w:tc>
          <w:tcPr>
            <w:tcW w:w="560" w:type="dxa"/>
            <w:vAlign w:val="bottom"/>
          </w:tcPr>
          <w:p>
            <w:pPr>
              <w:jc w:val="right"/>
              <w:spacing w:after="0" w:line="113" w:lineRule="exact"/>
              <w:rPr>
                <w:sz w:val="20"/>
                <w:szCs w:val="20"/>
                <w:color w:val="auto"/>
              </w:rPr>
            </w:pPr>
            <w:r>
              <w:rPr>
                <w:rFonts w:ascii="Arial" w:cs="Arial" w:eastAsia="Arial" w:hAnsi="Arial"/>
                <w:sz w:val="10"/>
                <w:szCs w:val="10"/>
                <w:color w:val="auto"/>
              </w:rPr>
              <w:t>of wells</w:t>
            </w:r>
          </w:p>
        </w:tc>
      </w:tr>
      <w:tr>
        <w:trPr>
          <w:trHeight w:val="92"/>
        </w:trPr>
        <w:tc>
          <w:tcPr>
            <w:tcW w:w="20" w:type="dxa"/>
            <w:vAlign w:val="bottom"/>
          </w:tcPr>
          <w:p>
            <w:pPr>
              <w:spacing w:after="0"/>
              <w:rPr>
                <w:sz w:val="8"/>
                <w:szCs w:val="8"/>
                <w:color w:val="auto"/>
              </w:rPr>
            </w:pPr>
          </w:p>
        </w:tc>
        <w:tc>
          <w:tcPr>
            <w:tcW w:w="334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1992</w:t>
            </w:r>
          </w:p>
        </w:tc>
        <w:tc>
          <w:tcPr>
            <w:tcW w:w="1120" w:type="dxa"/>
            <w:vAlign w:val="bottom"/>
            <w:tcBorders>
              <w:top w:val="single" w:sz="8" w:color="0077C0"/>
            </w:tcBorders>
          </w:tcPr>
          <w:p>
            <w:pPr>
              <w:ind w:left="1060"/>
              <w:spacing w:after="0" w:line="92"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7</w:t>
            </w:r>
          </w:p>
        </w:tc>
        <w:tc>
          <w:tcPr>
            <w:tcW w:w="5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3</w:t>
            </w:r>
          </w:p>
        </w:tc>
      </w:tr>
      <w:tr>
        <w:trPr>
          <w:trHeight w:val="106"/>
        </w:trPr>
        <w:tc>
          <w:tcPr>
            <w:tcW w:w="20" w:type="dxa"/>
            <w:vAlign w:val="bottom"/>
          </w:tcPr>
          <w:p>
            <w:pPr>
              <w:spacing w:after="0"/>
              <w:rPr>
                <w:sz w:val="9"/>
                <w:szCs w:val="9"/>
                <w:color w:val="auto"/>
              </w:rPr>
            </w:pPr>
          </w:p>
        </w:tc>
        <w:tc>
          <w:tcPr>
            <w:tcW w:w="3340" w:type="dxa"/>
            <w:vAlign w:val="bottom"/>
          </w:tcPr>
          <w:p>
            <w:pPr>
              <w:ind w:left="80"/>
              <w:spacing w:after="0" w:line="106" w:lineRule="exact"/>
              <w:rPr>
                <w:sz w:val="20"/>
                <w:szCs w:val="20"/>
                <w:color w:val="auto"/>
              </w:rPr>
            </w:pPr>
            <w:r>
              <w:rPr>
                <w:rFonts w:ascii="Arial" w:cs="Arial" w:eastAsia="Arial" w:hAnsi="Arial"/>
                <w:sz w:val="10"/>
                <w:szCs w:val="10"/>
                <w:color w:val="auto"/>
              </w:rPr>
              <w:t>1994–1997</w:t>
            </w:r>
          </w:p>
        </w:tc>
        <w:tc>
          <w:tcPr>
            <w:tcW w:w="11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31</w:t>
            </w: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4</w:t>
            </w:r>
          </w:p>
        </w:tc>
      </w:tr>
      <w:tr>
        <w:trPr>
          <w:trHeight w:val="106"/>
        </w:trPr>
        <w:tc>
          <w:tcPr>
            <w:tcW w:w="20" w:type="dxa"/>
            <w:vAlign w:val="bottom"/>
          </w:tcPr>
          <w:p>
            <w:pPr>
              <w:spacing w:after="0"/>
              <w:rPr>
                <w:sz w:val="9"/>
                <w:szCs w:val="9"/>
                <w:color w:val="auto"/>
              </w:rPr>
            </w:pPr>
          </w:p>
        </w:tc>
        <w:tc>
          <w:tcPr>
            <w:tcW w:w="3340" w:type="dxa"/>
            <w:vAlign w:val="bottom"/>
          </w:tcPr>
          <w:p>
            <w:pPr>
              <w:ind w:left="80"/>
              <w:spacing w:after="0" w:line="106" w:lineRule="exact"/>
              <w:rPr>
                <w:sz w:val="20"/>
                <w:szCs w:val="20"/>
                <w:color w:val="auto"/>
              </w:rPr>
            </w:pPr>
            <w:r>
              <w:rPr>
                <w:rFonts w:ascii="Arial" w:cs="Arial" w:eastAsia="Arial" w:hAnsi="Arial"/>
                <w:sz w:val="10"/>
                <w:szCs w:val="10"/>
                <w:color w:val="auto"/>
              </w:rPr>
              <w:t>1998–2002</w:t>
            </w:r>
          </w:p>
        </w:tc>
        <w:tc>
          <w:tcPr>
            <w:tcW w:w="11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176</w:t>
            </w: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34</w:t>
            </w:r>
          </w:p>
        </w:tc>
      </w:tr>
      <w:tr>
        <w:trPr>
          <w:trHeight w:val="118"/>
        </w:trPr>
        <w:tc>
          <w:tcPr>
            <w:tcW w:w="20" w:type="dxa"/>
            <w:vAlign w:val="bottom"/>
          </w:tcPr>
          <w:p>
            <w:pPr>
              <w:spacing w:after="0"/>
              <w:rPr>
                <w:sz w:val="10"/>
                <w:szCs w:val="10"/>
                <w:color w:val="auto"/>
              </w:rPr>
            </w:pPr>
          </w:p>
        </w:tc>
        <w:tc>
          <w:tcPr>
            <w:tcW w:w="3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2003–2007</w:t>
            </w:r>
          </w:p>
        </w:tc>
        <w:tc>
          <w:tcPr>
            <w:tcW w:w="112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1,345</w:t>
            </w: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154</w:t>
            </w:r>
          </w:p>
        </w:tc>
      </w:tr>
      <w:tr>
        <w:trPr>
          <w:trHeight w:val="114"/>
        </w:trPr>
        <w:tc>
          <w:tcPr>
            <w:tcW w:w="20" w:type="dxa"/>
            <w:vAlign w:val="bottom"/>
            <w:tcBorders>
              <w:bottom w:val="single" w:sz="8" w:color="0077C0"/>
            </w:tcBorders>
          </w:tcPr>
          <w:p>
            <w:pPr>
              <w:spacing w:after="0"/>
              <w:rPr>
                <w:sz w:val="9"/>
                <w:szCs w:val="9"/>
                <w:color w:val="auto"/>
              </w:rPr>
            </w:pPr>
          </w:p>
        </w:tc>
        <w:tc>
          <w:tcPr>
            <w:tcW w:w="3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1540" w:type="dxa"/>
            <w:vAlign w:val="bottom"/>
            <w:tcBorders>
              <w:bottom w:val="single" w:sz="8" w:color="0077C0"/>
            </w:tcBorders>
            <w:gridSpan w:val="2"/>
          </w:tcPr>
          <w:p>
            <w:pPr>
              <w:jc w:val="right"/>
              <w:ind w:right="109"/>
              <w:spacing w:after="0" w:line="105" w:lineRule="exact"/>
              <w:rPr>
                <w:sz w:val="20"/>
                <w:szCs w:val="20"/>
                <w:color w:val="auto"/>
              </w:rPr>
            </w:pPr>
            <w:r>
              <w:rPr>
                <w:rFonts w:ascii="Arial" w:cs="Arial" w:eastAsia="Arial" w:hAnsi="Arial"/>
                <w:sz w:val="10"/>
                <w:szCs w:val="10"/>
                <w:color w:val="auto"/>
              </w:rPr>
              <w:t>$ 1,559</w:t>
            </w:r>
          </w:p>
        </w:tc>
        <w:tc>
          <w:tcPr>
            <w:tcW w:w="5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195</w:t>
            </w:r>
          </w:p>
        </w:tc>
      </w:tr>
      <w:tr>
        <w:trPr>
          <w:trHeight w:val="214"/>
        </w:trPr>
        <w:tc>
          <w:tcPr>
            <w:tcW w:w="3360" w:type="dxa"/>
            <w:vAlign w:val="bottom"/>
            <w:gridSpan w:val="2"/>
          </w:tcPr>
          <w:p>
            <w:pPr>
              <w:spacing w:after="0"/>
              <w:rPr>
                <w:sz w:val="20"/>
                <w:szCs w:val="20"/>
                <w:color w:val="auto"/>
              </w:rPr>
            </w:pPr>
            <w:r>
              <w:rPr>
                <w:rFonts w:ascii="Arial" w:cs="Arial" w:eastAsia="Arial" w:hAnsi="Arial"/>
                <w:sz w:val="10"/>
                <w:szCs w:val="10"/>
                <w:i w:val="1"/>
                <w:iCs w:val="1"/>
                <w:color w:val="auto"/>
              </w:rPr>
              <w:t>Aging based on drilling completion date of last</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Number</w:t>
            </w:r>
          </w:p>
        </w:tc>
      </w:tr>
      <w:tr>
        <w:trPr>
          <w:trHeight w:val="113"/>
        </w:trPr>
        <w:tc>
          <w:tcPr>
            <w:tcW w:w="3360" w:type="dxa"/>
            <w:vAlign w:val="bottom"/>
            <w:gridSpan w:val="2"/>
          </w:tcPr>
          <w:p>
            <w:pPr>
              <w:spacing w:after="0" w:line="113" w:lineRule="exact"/>
              <w:rPr>
                <w:sz w:val="20"/>
                <w:szCs w:val="20"/>
                <w:color w:val="auto"/>
              </w:rPr>
            </w:pPr>
            <w:r>
              <w:rPr>
                <w:rFonts w:ascii="Arial" w:cs="Arial" w:eastAsia="Arial" w:hAnsi="Arial"/>
                <w:sz w:val="10"/>
                <w:szCs w:val="10"/>
                <w:i w:val="1"/>
                <w:iCs w:val="1"/>
                <w:color w:val="auto"/>
              </w:rPr>
              <w:t>suspended well in project:</w:t>
            </w:r>
          </w:p>
        </w:tc>
        <w:tc>
          <w:tcPr>
            <w:tcW w:w="1540" w:type="dxa"/>
            <w:vAlign w:val="bottom"/>
            <w:gridSpan w:val="2"/>
          </w:tcPr>
          <w:p>
            <w:pPr>
              <w:ind w:left="1060"/>
              <w:spacing w:after="0" w:line="113" w:lineRule="exact"/>
              <w:rPr>
                <w:sz w:val="20"/>
                <w:szCs w:val="20"/>
                <w:color w:val="auto"/>
              </w:rPr>
            </w:pPr>
            <w:r>
              <w:rPr>
                <w:rFonts w:ascii="Arial" w:cs="Arial" w:eastAsia="Arial" w:hAnsi="Arial"/>
                <w:sz w:val="10"/>
                <w:szCs w:val="10"/>
                <w:color w:val="auto"/>
              </w:rPr>
              <w:t>Amount</w:t>
            </w:r>
          </w:p>
        </w:tc>
        <w:tc>
          <w:tcPr>
            <w:tcW w:w="560" w:type="dxa"/>
            <w:vAlign w:val="bottom"/>
          </w:tcPr>
          <w:p>
            <w:pPr>
              <w:jc w:val="right"/>
              <w:spacing w:after="0" w:line="113" w:lineRule="exact"/>
              <w:rPr>
                <w:sz w:val="20"/>
                <w:szCs w:val="20"/>
                <w:color w:val="auto"/>
              </w:rPr>
            </w:pPr>
            <w:r>
              <w:rPr>
                <w:rFonts w:ascii="Arial" w:cs="Arial" w:eastAsia="Arial" w:hAnsi="Arial"/>
                <w:sz w:val="10"/>
                <w:szCs w:val="10"/>
                <w:color w:val="auto"/>
              </w:rPr>
              <w:t>of projects</w:t>
            </w:r>
          </w:p>
        </w:tc>
      </w:tr>
      <w:tr>
        <w:trPr>
          <w:trHeight w:val="92"/>
        </w:trPr>
        <w:tc>
          <w:tcPr>
            <w:tcW w:w="20" w:type="dxa"/>
            <w:vAlign w:val="bottom"/>
          </w:tcPr>
          <w:p>
            <w:pPr>
              <w:spacing w:after="0"/>
              <w:rPr>
                <w:sz w:val="8"/>
                <w:szCs w:val="8"/>
                <w:color w:val="auto"/>
              </w:rPr>
            </w:pPr>
          </w:p>
        </w:tc>
        <w:tc>
          <w:tcPr>
            <w:tcW w:w="334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1992</w:t>
            </w:r>
          </w:p>
        </w:tc>
        <w:tc>
          <w:tcPr>
            <w:tcW w:w="1120" w:type="dxa"/>
            <w:vAlign w:val="bottom"/>
            <w:tcBorders>
              <w:top w:val="single" w:sz="8" w:color="0077C0"/>
            </w:tcBorders>
          </w:tcPr>
          <w:p>
            <w:pPr>
              <w:ind w:left="1060"/>
              <w:spacing w:after="0" w:line="92"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7</w:t>
            </w:r>
          </w:p>
        </w:tc>
        <w:tc>
          <w:tcPr>
            <w:tcW w:w="5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w:t>
            </w:r>
          </w:p>
        </w:tc>
      </w:tr>
      <w:tr>
        <w:trPr>
          <w:trHeight w:val="106"/>
        </w:trPr>
        <w:tc>
          <w:tcPr>
            <w:tcW w:w="336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1999</w:t>
            </w:r>
          </w:p>
        </w:tc>
        <w:tc>
          <w:tcPr>
            <w:tcW w:w="11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w:t>
            </w: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r>
      <w:tr>
        <w:trPr>
          <w:trHeight w:val="106"/>
        </w:trPr>
        <w:tc>
          <w:tcPr>
            <w:tcW w:w="336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2003</w:t>
            </w:r>
          </w:p>
        </w:tc>
        <w:tc>
          <w:tcPr>
            <w:tcW w:w="1120" w:type="dxa"/>
            <w:vAlign w:val="bottom"/>
          </w:tcPr>
          <w:p>
            <w:pPr>
              <w:spacing w:after="0"/>
              <w:rPr>
                <w:sz w:val="9"/>
                <w:szCs w:val="9"/>
                <w:color w:val="auto"/>
              </w:rPr>
            </w:pPr>
          </w:p>
        </w:tc>
        <w:tc>
          <w:tcPr>
            <w:tcW w:w="42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69</w:t>
            </w: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3</w:t>
            </w:r>
          </w:p>
        </w:tc>
      </w:tr>
      <w:tr>
        <w:trPr>
          <w:trHeight w:val="118"/>
        </w:trPr>
        <w:tc>
          <w:tcPr>
            <w:tcW w:w="20" w:type="dxa"/>
            <w:vAlign w:val="bottom"/>
          </w:tcPr>
          <w:p>
            <w:pPr>
              <w:spacing w:after="0"/>
              <w:rPr>
                <w:sz w:val="10"/>
                <w:szCs w:val="10"/>
                <w:color w:val="auto"/>
              </w:rPr>
            </w:pPr>
          </w:p>
        </w:tc>
        <w:tc>
          <w:tcPr>
            <w:tcW w:w="334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2004–2008</w:t>
            </w:r>
          </w:p>
        </w:tc>
        <w:tc>
          <w:tcPr>
            <w:tcW w:w="112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95"/>
              </w:rPr>
              <w:t>1,475</w:t>
            </w: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45</w:t>
            </w:r>
          </w:p>
        </w:tc>
      </w:tr>
      <w:tr>
        <w:trPr>
          <w:trHeight w:val="114"/>
        </w:trPr>
        <w:tc>
          <w:tcPr>
            <w:tcW w:w="20" w:type="dxa"/>
            <w:vAlign w:val="bottom"/>
            <w:tcBorders>
              <w:bottom w:val="single" w:sz="8" w:color="0077C0"/>
            </w:tcBorders>
          </w:tcPr>
          <w:p>
            <w:pPr>
              <w:spacing w:after="0"/>
              <w:rPr>
                <w:sz w:val="9"/>
                <w:szCs w:val="9"/>
                <w:color w:val="auto"/>
              </w:rPr>
            </w:pPr>
          </w:p>
        </w:tc>
        <w:tc>
          <w:tcPr>
            <w:tcW w:w="3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1540" w:type="dxa"/>
            <w:vAlign w:val="bottom"/>
            <w:tcBorders>
              <w:bottom w:val="single" w:sz="8" w:color="0077C0"/>
            </w:tcBorders>
            <w:gridSpan w:val="2"/>
          </w:tcPr>
          <w:p>
            <w:pPr>
              <w:jc w:val="right"/>
              <w:ind w:right="109"/>
              <w:spacing w:after="0" w:line="105" w:lineRule="exact"/>
              <w:rPr>
                <w:sz w:val="20"/>
                <w:szCs w:val="20"/>
                <w:color w:val="auto"/>
              </w:rPr>
            </w:pPr>
            <w:r>
              <w:rPr>
                <w:rFonts w:ascii="Arial" w:cs="Arial" w:eastAsia="Arial" w:hAnsi="Arial"/>
                <w:sz w:val="10"/>
                <w:szCs w:val="10"/>
                <w:color w:val="auto"/>
              </w:rPr>
              <w:t>$ 1,559</w:t>
            </w:r>
          </w:p>
        </w:tc>
        <w:tc>
          <w:tcPr>
            <w:tcW w:w="5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50</w:t>
            </w:r>
          </w:p>
        </w:tc>
      </w:tr>
    </w:tbl>
    <w:p>
      <w:pPr>
        <w:spacing w:after="0" w:line="68" w:lineRule="exact"/>
        <w:rPr>
          <w:sz w:val="20"/>
          <w:szCs w:val="20"/>
          <w:color w:val="auto"/>
        </w:rPr>
      </w:pPr>
    </w:p>
    <w:p>
      <w:pPr>
        <w:sectPr>
          <w:pgSz w:w="11900" w:h="16838" w:orient="portrait"/>
          <w:cols w:equalWidth="0" w:num="2">
            <w:col w:w="5480" w:space="480"/>
            <w:col w:w="5500"/>
          </w:cols>
          <w:pgMar w:left="220" w:top="338" w:right="219" w:bottom="1440" w:gutter="0" w:footer="0" w:header="0"/>
          <w:type w:val="continuous"/>
        </w:sectPr>
      </w:pPr>
    </w:p>
    <w:p>
      <w:pPr>
        <w:ind w:firstLine="160"/>
        <w:spacing w:after="0" w:line="303" w:lineRule="auto"/>
        <w:rPr>
          <w:sz w:val="20"/>
          <w:szCs w:val="20"/>
          <w:color w:val="auto"/>
        </w:rPr>
      </w:pPr>
      <w:r>
        <w:rPr>
          <w:rFonts w:ascii="Arial" w:cs="Arial" w:eastAsia="Arial" w:hAnsi="Arial"/>
          <w:sz w:val="11"/>
          <w:szCs w:val="11"/>
          <w:color w:val="auto"/>
        </w:rPr>
        <w:t>Of the $1,559 of exploratory well costs capitalized for more than one year at December 31, 2008, $874 (27 projects) is related to projects that had drilling activities under way or firmly planned for the near future. An additional $279 (four projects) is related to projects that had drilling activity during 2008. The $406 balance is related to 19 projects in areas requiring a major capital expenditure before production could begin and for which additional drilling efforts were not under way or firmly planned for the near future. Additional drilling was not deemed necessary because the presence of hydrocarbons had already been established, and other activities were in process to enable a future decision on project development.</w:t>
      </w:r>
    </w:p>
    <w:p>
      <w:pPr>
        <w:spacing w:after="0" w:line="93" w:lineRule="exact"/>
        <w:rPr>
          <w:sz w:val="20"/>
          <w:szCs w:val="20"/>
          <w:color w:val="auto"/>
        </w:rPr>
      </w:pPr>
    </w:p>
    <w:p>
      <w:pPr>
        <w:ind w:right="140" w:firstLine="158"/>
        <w:spacing w:after="0" w:line="267" w:lineRule="auto"/>
        <w:rPr>
          <w:sz w:val="20"/>
          <w:szCs w:val="20"/>
          <w:color w:val="auto"/>
        </w:rPr>
      </w:pPr>
      <w:r>
        <w:rPr>
          <w:rFonts w:ascii="Arial" w:cs="Arial" w:eastAsia="Arial" w:hAnsi="Arial"/>
          <w:sz w:val="13"/>
          <w:szCs w:val="13"/>
          <w:color w:val="auto"/>
        </w:rPr>
        <w:t>The projects for the $406 referenced above had the following activities associated with assessing the reserves and the projects’ economic viability: (a) $107 (two projects)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21</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Stock Options and Other Share-Based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Compensation expense for stock options for 2008, 2007 and 2006 was $168 ($109 after tax), $146 ($95</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after tax) and $125 ($81 after tax), respectively. In addition, compensation expense for stock appreciation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rights, performance units and restricted stock units was $132 ($86 after tax), $205 ($133 after tax) and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$113 ($73 after tax) for 2008, 2007 and 2006, respectively. No significant stock-based compensation cost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was capitalized at December 31, 2008 and 2007.</w:t>
      </w:r>
    </w:p>
    <w:p>
      <w:pPr>
        <w:spacing w:after="0" w:line="4" w:lineRule="exact"/>
        <w:rPr>
          <w:sz w:val="20"/>
          <w:szCs w:val="20"/>
          <w:color w:val="auto"/>
        </w:rPr>
      </w:pPr>
    </w:p>
    <w:p>
      <w:pPr>
        <w:jc w:val="both"/>
        <w:ind w:right="100" w:firstLine="160"/>
        <w:spacing w:after="0" w:line="281" w:lineRule="auto"/>
        <w:rPr>
          <w:sz w:val="20"/>
          <w:szCs w:val="20"/>
          <w:color w:val="auto"/>
        </w:rPr>
      </w:pPr>
      <w:r>
        <w:rPr>
          <w:rFonts w:ascii="Arial" w:cs="Arial" w:eastAsia="Arial" w:hAnsi="Arial"/>
          <w:sz w:val="12"/>
          <w:szCs w:val="12"/>
          <w:color w:val="auto"/>
        </w:rPr>
        <w:t>Cash received in payment for option exercises under all share-based payment arrangements for 2008, 2007 and 2006 was $404, $445 and $444, respectively. Actual tax benefits realized for the tax deductions from option exercises were $103, $94 and $91 for 2008, 2007 and 2006, respectively.</w:t>
      </w:r>
    </w:p>
    <w:p>
      <w:pPr>
        <w:spacing w:after="0" w:line="200" w:lineRule="exact"/>
        <w:rPr>
          <w:sz w:val="20"/>
          <w:szCs w:val="20"/>
          <w:color w:val="auto"/>
        </w:rPr>
      </w:pPr>
    </w:p>
    <w:p>
      <w:pPr>
        <w:sectPr>
          <w:pgSz w:w="11900" w:h="16838" w:orient="portrait"/>
          <w:cols w:equalWidth="0" w:num="2">
            <w:col w:w="5440" w:space="520"/>
            <w:col w:w="5500"/>
          </w:cols>
          <w:pgMar w:left="220" w:top="338" w:right="21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60"/>
        <w:spacing w:after="0"/>
        <w:rPr>
          <w:sz w:val="20"/>
          <w:szCs w:val="20"/>
          <w:color w:val="auto"/>
        </w:rPr>
      </w:pPr>
      <w:r>
        <w:rPr>
          <w:rFonts w:ascii="Arial" w:cs="Arial" w:eastAsia="Arial" w:hAnsi="Arial"/>
          <w:sz w:val="12"/>
          <w:szCs w:val="12"/>
          <w:color w:val="0077C0"/>
        </w:rPr>
        <w:t>Notes to the Consolidated Financial Statements</w:t>
      </w:r>
    </w:p>
    <w:p>
      <w:pPr>
        <w:jc w:val="right"/>
        <w:ind w:right="596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Stock Options and Other Share-Based Compensation - Continued</w:t>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right="200" w:firstLine="160"/>
        <w:spacing w:after="0" w:line="267" w:lineRule="auto"/>
        <w:rPr>
          <w:sz w:val="20"/>
          <w:szCs w:val="20"/>
          <w:color w:val="auto"/>
        </w:rPr>
      </w:pPr>
      <w:r>
        <w:rPr>
          <w:rFonts w:ascii="Arial" w:cs="Arial" w:eastAsia="Arial" w:hAnsi="Arial"/>
          <w:sz w:val="13"/>
          <w:szCs w:val="13"/>
          <w:color w:val="auto"/>
        </w:rPr>
        <w:t>Cash paid to settle performance units and stock appreciation rights was $136, $88 and $68 for 2008, 2007 and 2006, respectively.</w:t>
      </w:r>
    </w:p>
    <w:p>
      <w:pPr>
        <w:spacing w:after="0" w:line="109" w:lineRule="exact"/>
        <w:rPr>
          <w:sz w:val="20"/>
          <w:szCs w:val="20"/>
          <w:color w:val="auto"/>
        </w:rPr>
      </w:pPr>
    </w:p>
    <w:p>
      <w:pPr>
        <w:ind w:right="60"/>
        <w:spacing w:after="0" w:line="308" w:lineRule="auto"/>
        <w:rPr>
          <w:sz w:val="20"/>
          <w:szCs w:val="20"/>
          <w:color w:val="auto"/>
        </w:rPr>
      </w:pPr>
      <w:r>
        <w:rPr>
          <w:rFonts w:ascii="Arial" w:cs="Arial" w:eastAsia="Arial" w:hAnsi="Arial"/>
          <w:sz w:val="11"/>
          <w:szCs w:val="11"/>
          <w:i w:val="1"/>
          <w:iCs w:val="1"/>
          <w:color w:val="E51837"/>
        </w:rPr>
        <w:t xml:space="preserve">Chevron Long-Term Incentive Plan (LTIP) </w:t>
      </w:r>
      <w:r>
        <w:rPr>
          <w:rFonts w:ascii="Arial" w:cs="Arial" w:eastAsia="Arial" w:hAnsi="Arial"/>
          <w:sz w:val="11"/>
          <w:szCs w:val="11"/>
          <w:color w:val="000000"/>
        </w:rPr>
        <w:t>Awards under the LTIP may take the form of, but are not</w:t>
      </w:r>
      <w:r>
        <w:rPr>
          <w:rFonts w:ascii="Arial" w:cs="Arial" w:eastAsia="Arial" w:hAnsi="Arial"/>
          <w:sz w:val="11"/>
          <w:szCs w:val="11"/>
          <w:i w:val="1"/>
          <w:iCs w:val="1"/>
          <w:color w:val="E51837"/>
        </w:rPr>
        <w:t xml:space="preserve"> </w:t>
      </w:r>
      <w:r>
        <w:rPr>
          <w:rFonts w:ascii="Arial" w:cs="Arial" w:eastAsia="Arial" w:hAnsi="Arial"/>
          <w:sz w:val="11"/>
          <w:szCs w:val="11"/>
          <w:color w:val="000000"/>
        </w:rPr>
        <w:t>limited to, stock options, restricted stock, restricted stock units, stock appreciation rights, performance units and nonstock grants. From April 2004 through January 2014, no more than 160 million shares may be issued under the LTIP, and no more than 64 million of those shares may be in a form other than a stock option, stock appreciation right or award requiring full payment for shares by the award recipient.</w:t>
      </w:r>
    </w:p>
    <w:p>
      <w:pPr>
        <w:spacing w:after="0" w:line="82" w:lineRule="exact"/>
        <w:rPr>
          <w:sz w:val="20"/>
          <w:szCs w:val="20"/>
          <w:color w:val="auto"/>
        </w:rPr>
      </w:pPr>
    </w:p>
    <w:p>
      <w:pPr>
        <w:spacing w:after="0" w:line="272" w:lineRule="auto"/>
        <w:rPr>
          <w:sz w:val="20"/>
          <w:szCs w:val="20"/>
          <w:color w:val="auto"/>
        </w:rPr>
      </w:pPr>
      <w:r>
        <w:rPr>
          <w:rFonts w:ascii="Arial" w:cs="Arial" w:eastAsia="Arial" w:hAnsi="Arial"/>
          <w:sz w:val="12"/>
          <w:szCs w:val="12"/>
          <w:i w:val="1"/>
          <w:iCs w:val="1"/>
          <w:color w:val="E51837"/>
        </w:rPr>
        <w:t xml:space="preserve">Texaco Stock Incentive Plan (Texaco SIP) </w:t>
      </w:r>
      <w:r>
        <w:rPr>
          <w:rFonts w:ascii="Arial" w:cs="Arial" w:eastAsia="Arial" w:hAnsi="Arial"/>
          <w:sz w:val="12"/>
          <w:szCs w:val="12"/>
          <w:color w:val="000000"/>
        </w:rPr>
        <w:t>On the closing of the acquisition of Texaco in October 2001,</w:t>
      </w:r>
      <w:r>
        <w:rPr>
          <w:rFonts w:ascii="Arial" w:cs="Arial" w:eastAsia="Arial" w:hAnsi="Arial"/>
          <w:sz w:val="12"/>
          <w:szCs w:val="12"/>
          <w:i w:val="1"/>
          <w:iCs w:val="1"/>
          <w:color w:val="E51837"/>
        </w:rPr>
        <w:t xml:space="preserve"> </w:t>
      </w:r>
      <w:r>
        <w:rPr>
          <w:rFonts w:ascii="Arial" w:cs="Arial" w:eastAsia="Arial" w:hAnsi="Arial"/>
          <w:sz w:val="12"/>
          <w:szCs w:val="12"/>
          <w:color w:val="000000"/>
        </w:rPr>
        <w:t>outstanding options granted under the Texaco SIP were converted to Chevron options. These options, which have 10-year contractual lives extending into 2011, retained a provision for being restored. This provision enables a participant who exercises a stock option to receive new options equal to the number of shares exchanged or who has shares withheld to satisfy tax withholding obligations to receive new options equal to the number of shares exchanged or withheld. The restored options are fully exercisable six months after the date of grant, and the exercise price is the market value of the common stock on the day the restored option is granted. Beginning in 2007, restored options were granted under the LTIP. No further awards may be granted under the former Texaco plans.</w:t>
      </w:r>
    </w:p>
    <w:p>
      <w:pPr>
        <w:spacing w:after="0" w:line="101" w:lineRule="exact"/>
        <w:rPr>
          <w:sz w:val="20"/>
          <w:szCs w:val="20"/>
          <w:color w:val="auto"/>
        </w:rPr>
      </w:pPr>
    </w:p>
    <w:p>
      <w:pPr>
        <w:ind w:right="60"/>
        <w:spacing w:after="0" w:line="314" w:lineRule="auto"/>
        <w:rPr>
          <w:sz w:val="20"/>
          <w:szCs w:val="20"/>
          <w:color w:val="auto"/>
        </w:rPr>
      </w:pPr>
      <w:r>
        <w:rPr>
          <w:rFonts w:ascii="Arial" w:cs="Arial" w:eastAsia="Arial" w:hAnsi="Arial"/>
          <w:sz w:val="11"/>
          <w:szCs w:val="11"/>
          <w:i w:val="1"/>
          <w:iCs w:val="1"/>
          <w:color w:val="E51837"/>
        </w:rPr>
        <w:t xml:space="preserve">Unocal Share-Based Plans (Unocal Plans) </w:t>
      </w:r>
      <w:r>
        <w:rPr>
          <w:rFonts w:ascii="Arial" w:cs="Arial" w:eastAsia="Arial" w:hAnsi="Arial"/>
          <w:sz w:val="11"/>
          <w:szCs w:val="11"/>
          <w:color w:val="000000"/>
        </w:rPr>
        <w:t>When Chevron acquired Unocal in August 2005, outstanding</w:t>
      </w:r>
      <w:r>
        <w:rPr>
          <w:rFonts w:ascii="Arial" w:cs="Arial" w:eastAsia="Arial" w:hAnsi="Arial"/>
          <w:sz w:val="11"/>
          <w:szCs w:val="11"/>
          <w:i w:val="1"/>
          <w:iCs w:val="1"/>
          <w:color w:val="E51837"/>
        </w:rPr>
        <w:t xml:space="preserve"> </w:t>
      </w:r>
      <w:r>
        <w:rPr>
          <w:rFonts w:ascii="Arial" w:cs="Arial" w:eastAsia="Arial" w:hAnsi="Arial"/>
          <w:sz w:val="11"/>
          <w:szCs w:val="11"/>
          <w:color w:val="000000"/>
        </w:rPr>
        <w:t>stock options and stock appreciation rights granted under various Unocal Plans were exchanged for fully vested Chevron options and appreciation rights. These awards retained the same provisions as the original Unocal Plans. If not exercised, these awards will expire between early 2009 and early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180" w:firstLine="158"/>
        <w:spacing w:after="0" w:line="256" w:lineRule="auto"/>
        <w:rPr>
          <w:sz w:val="20"/>
          <w:szCs w:val="20"/>
          <w:color w:val="auto"/>
        </w:rPr>
      </w:pPr>
      <w:r>
        <w:rPr>
          <w:rFonts w:ascii="Arial" w:cs="Arial" w:eastAsia="Arial" w:hAnsi="Arial"/>
          <w:sz w:val="13"/>
          <w:szCs w:val="13"/>
          <w:color w:val="auto"/>
        </w:rPr>
        <w:t>The fair market values of stock options and stock appreciation rights granted in 2008, 2007 and 2006 were measured on the date of grant using the Black-Scholes option-pricing model, with the following weighted-average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0"/>
                <w:szCs w:val="10"/>
                <w:color w:val="auto"/>
                <w:w w:val="94"/>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Borders>
              <w:bottom w:val="single" w:sz="8" w:color="0077C0"/>
            </w:tcBorders>
          </w:tcPr>
          <w:p>
            <w:pPr>
              <w:spacing w:after="0"/>
              <w:rPr>
                <w:sz w:val="8"/>
                <w:szCs w:val="8"/>
                <w:color w:val="auto"/>
              </w:rPr>
            </w:pPr>
          </w:p>
        </w:tc>
        <w:tc>
          <w:tcPr>
            <w:tcW w:w="560" w:type="dxa"/>
            <w:vAlign w:val="bottom"/>
            <w:tcBorders>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jc w:val="right"/>
              <w:ind w:right="172"/>
              <w:spacing w:after="0" w:line="95" w:lineRule="exact"/>
              <w:rPr>
                <w:sz w:val="20"/>
                <w:szCs w:val="20"/>
                <w:color w:val="auto"/>
              </w:rPr>
            </w:pPr>
            <w:r>
              <w:rPr>
                <w:rFonts w:ascii="Arial" w:cs="Arial" w:eastAsia="Arial" w:hAnsi="Arial"/>
                <w:sz w:val="10"/>
                <w:szCs w:val="10"/>
                <w:b w:val="1"/>
                <w:bCs w:val="1"/>
                <w:color w:val="auto"/>
              </w:rPr>
              <w:t>2008</w:t>
            </w:r>
          </w:p>
        </w:tc>
        <w:tc>
          <w:tcPr>
            <w:tcW w:w="16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2007</w:t>
            </w:r>
          </w:p>
        </w:tc>
        <w:tc>
          <w:tcPr>
            <w:tcW w:w="220" w:type="dxa"/>
            <w:vAlign w:val="bottom"/>
            <w:tcBorders>
              <w:top w:val="single" w:sz="8" w:color="0077C0"/>
              <w:bottom w:val="single" w:sz="8" w:color="0077C0"/>
            </w:tcBorders>
          </w:tcPr>
          <w:p>
            <w:pPr>
              <w:spacing w:after="0"/>
              <w:rPr>
                <w:sz w:val="8"/>
                <w:szCs w:val="8"/>
                <w:color w:val="auto"/>
              </w:rPr>
            </w:pPr>
          </w:p>
        </w:tc>
        <w:tc>
          <w:tcPr>
            <w:tcW w:w="2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w w:val="98"/>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line="92" w:lineRule="exact"/>
              <w:rPr>
                <w:sz w:val="20"/>
                <w:szCs w:val="20"/>
                <w:color w:val="auto"/>
              </w:rPr>
            </w:pPr>
            <w:r>
              <w:rPr>
                <w:rFonts w:ascii="Arial" w:cs="Arial" w:eastAsia="Arial" w:hAnsi="Arial"/>
                <w:sz w:val="10"/>
                <w:szCs w:val="10"/>
                <w:b w:val="1"/>
                <w:bCs w:val="1"/>
                <w:color w:val="auto"/>
              </w:rPr>
              <w:t>Stock Options</w:t>
            </w:r>
          </w:p>
        </w:tc>
        <w:tc>
          <w:tcPr>
            <w:tcW w:w="1100" w:type="dxa"/>
            <w:vAlign w:val="bottom"/>
            <w:tcBorders>
              <w:right w:val="single" w:sz="8" w:color="0077C0"/>
            </w:tcBorders>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6.1</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00" w:type="dxa"/>
            <w:vAlign w:val="bottom"/>
          </w:tcPr>
          <w:p>
            <w:pPr>
              <w:ind w:left="80"/>
              <w:spacing w:after="0" w:line="104" w:lineRule="exact"/>
              <w:rPr>
                <w:sz w:val="20"/>
                <w:szCs w:val="20"/>
                <w:color w:val="auto"/>
              </w:rPr>
            </w:pPr>
            <w:r>
              <w:rPr>
                <w:rFonts w:ascii="Arial" w:cs="Arial" w:eastAsia="Arial" w:hAnsi="Arial"/>
                <w:sz w:val="10"/>
                <w:szCs w:val="10"/>
                <w:color w:val="auto"/>
              </w:rPr>
              <w:t>Expected term in years</w:t>
            </w:r>
            <w:r>
              <w:rPr>
                <w:rFonts w:ascii="Arial" w:cs="Arial" w:eastAsia="Arial" w:hAnsi="Arial"/>
                <w:sz w:val="8"/>
                <w:szCs w:val="8"/>
                <w:color w:val="auto"/>
              </w:rPr>
              <w:t>1</w:t>
            </w:r>
          </w:p>
        </w:tc>
        <w:tc>
          <w:tcPr>
            <w:tcW w:w="1100" w:type="dxa"/>
            <w:vAlign w:val="bottom"/>
            <w:tcBorders>
              <w:right w:val="single" w:sz="8" w:color="0077C0"/>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6.3</w:t>
            </w:r>
          </w:p>
        </w:tc>
        <w:tc>
          <w:tcPr>
            <w:tcW w:w="22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Arial" w:cs="Arial" w:eastAsia="Arial" w:hAnsi="Arial"/>
                <w:sz w:val="10"/>
                <w:szCs w:val="10"/>
                <w:color w:val="auto"/>
              </w:rPr>
              <w:t>6.4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Volatility</w:t>
            </w:r>
            <w:r>
              <w:rPr>
                <w:rFonts w:ascii="Arial" w:cs="Arial" w:eastAsia="Arial" w:hAnsi="Arial"/>
                <w:sz w:val="8"/>
                <w:szCs w:val="8"/>
                <w:color w:val="auto"/>
              </w:rPr>
              <w:t>2</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22.0%</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22.0%</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23.7%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Risk-free interest rate based on zero coupon U.S. treasury note</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3.0%</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4.5%</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Dividend yield</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2.7%</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3.2%</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tcPr>
          <w:p>
            <w:pPr>
              <w:ind w:left="80"/>
              <w:spacing w:after="0"/>
              <w:rPr>
                <w:sz w:val="20"/>
                <w:szCs w:val="20"/>
                <w:color w:val="auto"/>
              </w:rPr>
            </w:pPr>
            <w:r>
              <w:rPr>
                <w:rFonts w:ascii="Arial" w:cs="Arial" w:eastAsia="Arial" w:hAnsi="Arial"/>
                <w:sz w:val="10"/>
                <w:szCs w:val="10"/>
                <w:color w:val="auto"/>
              </w:rPr>
              <w:t>Weighted-average fair value per option granted</w:t>
            </w:r>
          </w:p>
        </w:tc>
        <w:tc>
          <w:tcPr>
            <w:tcW w:w="1100" w:type="dxa"/>
            <w:vAlign w:val="bottom"/>
            <w:tcBorders>
              <w:right w:val="single" w:sz="8" w:color="0077C0"/>
            </w:tcBorders>
            <w:gridSpan w:val="2"/>
          </w:tcPr>
          <w:p>
            <w:pPr>
              <w:jc w:val="right"/>
              <w:ind w:right="172"/>
              <w:spacing w:after="0"/>
              <w:rPr>
                <w:sz w:val="20"/>
                <w:szCs w:val="20"/>
                <w:color w:val="auto"/>
              </w:rPr>
            </w:pPr>
            <w:r>
              <w:rPr>
                <w:rFonts w:ascii="Arial" w:cs="Arial" w:eastAsia="Arial" w:hAnsi="Arial"/>
                <w:sz w:val="10"/>
                <w:szCs w:val="10"/>
                <w:b w:val="1"/>
                <w:bCs w:val="1"/>
                <w:color w:val="auto"/>
              </w:rPr>
              <w:t>$ 15.97</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rPr>
                <w:sz w:val="20"/>
                <w:szCs w:val="20"/>
                <w:color w:val="auto"/>
              </w:rPr>
            </w:pPr>
            <w:r>
              <w:rPr>
                <w:rFonts w:ascii="Arial" w:cs="Arial" w:eastAsia="Arial" w:hAnsi="Arial"/>
                <w:sz w:val="10"/>
                <w:szCs w:val="10"/>
                <w:color w:val="auto"/>
                <w:w w:val="95"/>
              </w:rPr>
              <w:t>15.27</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jc w:val="right"/>
              <w:spacing w:after="0"/>
              <w:rPr>
                <w:sz w:val="20"/>
                <w:szCs w:val="20"/>
                <w:color w:val="auto"/>
              </w:rPr>
            </w:pPr>
            <w:r>
              <w:rPr>
                <w:rFonts w:ascii="Arial" w:cs="Arial" w:eastAsia="Arial" w:hAnsi="Arial"/>
                <w:sz w:val="10"/>
                <w:szCs w:val="10"/>
                <w:color w:val="auto"/>
                <w:w w:val="87"/>
              </w:rPr>
              <w:t>12.74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20" w:type="dxa"/>
            <w:vAlign w:val="bottom"/>
            <w:gridSpan w:val="2"/>
          </w:tcPr>
          <w:p>
            <w:pPr>
              <w:spacing w:after="0"/>
              <w:rPr>
                <w:sz w:val="20"/>
                <w:szCs w:val="20"/>
                <w:color w:val="auto"/>
              </w:rPr>
            </w:pPr>
            <w:r>
              <w:rPr>
                <w:rFonts w:ascii="Arial" w:cs="Arial" w:eastAsia="Arial" w:hAnsi="Arial"/>
                <w:sz w:val="10"/>
                <w:szCs w:val="10"/>
                <w:b w:val="1"/>
                <w:bCs w:val="1"/>
                <w:color w:val="auto"/>
              </w:rPr>
              <w:t>Restored Options</w:t>
            </w:r>
          </w:p>
        </w:tc>
        <w:tc>
          <w:tcPr>
            <w:tcW w:w="1100" w:type="dxa"/>
            <w:vAlign w:val="bottom"/>
            <w:tcBorders>
              <w:right w:val="single" w:sz="8" w:color="0077C0"/>
            </w:tcBorders>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1.2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00" w:type="dxa"/>
            <w:vAlign w:val="bottom"/>
          </w:tcPr>
          <w:p>
            <w:pPr>
              <w:ind w:left="80"/>
              <w:spacing w:after="0" w:line="104" w:lineRule="exact"/>
              <w:rPr>
                <w:sz w:val="20"/>
                <w:szCs w:val="20"/>
                <w:color w:val="auto"/>
              </w:rPr>
            </w:pPr>
            <w:r>
              <w:rPr>
                <w:rFonts w:ascii="Arial" w:cs="Arial" w:eastAsia="Arial" w:hAnsi="Arial"/>
                <w:sz w:val="10"/>
                <w:szCs w:val="10"/>
                <w:color w:val="auto"/>
              </w:rPr>
              <w:t>Expected term in years</w:t>
            </w:r>
            <w:r>
              <w:rPr>
                <w:rFonts w:ascii="Arial" w:cs="Arial" w:eastAsia="Arial" w:hAnsi="Arial"/>
                <w:sz w:val="8"/>
                <w:szCs w:val="8"/>
                <w:color w:val="auto"/>
              </w:rPr>
              <w:t>1</w:t>
            </w:r>
          </w:p>
        </w:tc>
        <w:tc>
          <w:tcPr>
            <w:tcW w:w="1100" w:type="dxa"/>
            <w:vAlign w:val="bottom"/>
            <w:tcBorders>
              <w:right w:val="single" w:sz="8" w:color="0077C0"/>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1.6</w:t>
            </w:r>
          </w:p>
        </w:tc>
        <w:tc>
          <w:tcPr>
            <w:tcW w:w="220" w:type="dxa"/>
            <w:vAlign w:val="bottom"/>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Arial" w:cs="Arial" w:eastAsia="Arial" w:hAnsi="Arial"/>
                <w:sz w:val="10"/>
                <w:szCs w:val="10"/>
                <w:color w:val="auto"/>
              </w:rPr>
              <w:t>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Volatility</w:t>
            </w:r>
            <w:r>
              <w:rPr>
                <w:rFonts w:ascii="Arial" w:cs="Arial" w:eastAsia="Arial" w:hAnsi="Arial"/>
                <w:sz w:val="8"/>
                <w:szCs w:val="8"/>
                <w:color w:val="auto"/>
              </w:rPr>
              <w:t>2</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23.1%</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21.2%</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19.6%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Risk-free interest rate based on zero coupon U.S. treasury note</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1.9%</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4.5%</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00" w:type="dxa"/>
            <w:vAlign w:val="bottom"/>
          </w:tcPr>
          <w:p>
            <w:pPr>
              <w:ind w:left="80"/>
              <w:spacing w:after="0" w:line="106" w:lineRule="exact"/>
              <w:rPr>
                <w:sz w:val="20"/>
                <w:szCs w:val="20"/>
                <w:color w:val="auto"/>
              </w:rPr>
            </w:pPr>
            <w:r>
              <w:rPr>
                <w:rFonts w:ascii="Arial" w:cs="Arial" w:eastAsia="Arial" w:hAnsi="Arial"/>
                <w:sz w:val="10"/>
                <w:szCs w:val="10"/>
                <w:color w:val="auto"/>
              </w:rPr>
              <w:t>Dividend yield</w:t>
            </w:r>
          </w:p>
        </w:tc>
        <w:tc>
          <w:tcPr>
            <w:tcW w:w="1100" w:type="dxa"/>
            <w:vAlign w:val="bottom"/>
            <w:tcBorders>
              <w:right w:val="single" w:sz="8" w:color="0077C0"/>
            </w:tcBorders>
            <w:gridSpan w:val="2"/>
          </w:tcPr>
          <w:p>
            <w:pPr>
              <w:jc w:val="right"/>
              <w:ind w:right="72"/>
              <w:spacing w:after="0" w:line="106" w:lineRule="exact"/>
              <w:rPr>
                <w:sz w:val="20"/>
                <w:szCs w:val="20"/>
                <w:color w:val="auto"/>
              </w:rPr>
            </w:pPr>
            <w:r>
              <w:rPr>
                <w:rFonts w:ascii="Arial" w:cs="Arial" w:eastAsia="Arial" w:hAnsi="Arial"/>
                <w:sz w:val="10"/>
                <w:szCs w:val="10"/>
                <w:b w:val="1"/>
                <w:bCs w:val="1"/>
                <w:color w:val="auto"/>
              </w:rPr>
              <w:t>2.7%</w:t>
            </w:r>
          </w:p>
        </w:tc>
        <w:tc>
          <w:tcPr>
            <w:tcW w:w="16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3.2%</w:t>
            </w:r>
          </w:p>
        </w:tc>
        <w:tc>
          <w:tcPr>
            <w:tcW w:w="2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Weighted-average fair value per option granted</w:t>
            </w:r>
          </w:p>
        </w:tc>
        <w:tc>
          <w:tcPr>
            <w:tcW w:w="1100" w:type="dxa"/>
            <w:vAlign w:val="bottom"/>
            <w:tcBorders>
              <w:bottom w:val="single" w:sz="8" w:color="0077C0"/>
              <w:right w:val="single" w:sz="8" w:color="0077C0"/>
            </w:tcBorders>
            <w:gridSpan w:val="2"/>
          </w:tcPr>
          <w:p>
            <w:pPr>
              <w:jc w:val="right"/>
              <w:ind w:right="172"/>
              <w:spacing w:after="0"/>
              <w:rPr>
                <w:sz w:val="20"/>
                <w:szCs w:val="20"/>
                <w:color w:val="auto"/>
              </w:rPr>
            </w:pPr>
            <w:r>
              <w:rPr>
                <w:rFonts w:ascii="Arial" w:cs="Arial" w:eastAsia="Arial" w:hAnsi="Arial"/>
                <w:sz w:val="10"/>
                <w:szCs w:val="10"/>
                <w:b w:val="1"/>
                <w:bCs w:val="1"/>
                <w:color w:val="auto"/>
              </w:rPr>
              <w:t>$ 10.01</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8.61</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20" w:hanging="97"/>
        <w:spacing w:after="0"/>
        <w:tabs>
          <w:tab w:leader="none" w:pos="120" w:val="left"/>
        </w:tabs>
        <w:numPr>
          <w:ilvl w:val="0"/>
          <w:numId w:val="50"/>
        </w:numPr>
        <w:rPr>
          <w:rFonts w:ascii="Arial" w:cs="Arial" w:eastAsia="Arial" w:hAnsi="Arial"/>
          <w:sz w:val="8"/>
          <w:szCs w:val="8"/>
          <w:color w:val="auto"/>
        </w:rPr>
      </w:pPr>
      <w:r>
        <w:rPr>
          <w:rFonts w:ascii="Arial" w:cs="Arial" w:eastAsia="Arial" w:hAnsi="Arial"/>
          <w:sz w:val="9"/>
          <w:szCs w:val="9"/>
          <w:color w:val="auto"/>
        </w:rPr>
        <w:t>Expected term is based on historical exercise and post-vesting cancellation data.</w:t>
      </w:r>
    </w:p>
    <w:p>
      <w:pPr>
        <w:spacing w:after="0" w:line="9" w:lineRule="exact"/>
        <w:rPr>
          <w:sz w:val="20"/>
          <w:szCs w:val="20"/>
          <w:color w:val="auto"/>
        </w:rPr>
      </w:pPr>
    </w:p>
    <w:p>
      <w:pPr>
        <w:ind w:left="120" w:hanging="97"/>
        <w:spacing w:after="0"/>
        <w:tabs>
          <w:tab w:leader="none" w:pos="120" w:val="left"/>
        </w:tabs>
        <w:numPr>
          <w:ilvl w:val="0"/>
          <w:numId w:val="51"/>
        </w:numPr>
        <w:rPr>
          <w:rFonts w:ascii="Arial" w:cs="Arial" w:eastAsia="Arial" w:hAnsi="Arial"/>
          <w:sz w:val="8"/>
          <w:szCs w:val="8"/>
          <w:color w:val="auto"/>
        </w:rPr>
      </w:pPr>
      <w:r>
        <w:rPr>
          <w:rFonts w:ascii="Arial" w:cs="Arial" w:eastAsia="Arial" w:hAnsi="Arial"/>
          <w:sz w:val="9"/>
          <w:szCs w:val="9"/>
          <w:color w:val="auto"/>
        </w:rPr>
        <w:t>Volatility rate is based on historical stock prices over an appropriate period, generally equal to the expected term.</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summary of option activity during 2008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Arial" w:cs="Arial" w:eastAsia="Arial" w:hAnsi="Arial"/>
                <w:sz w:val="10"/>
                <w:szCs w:val="10"/>
                <w:color w:val="auto"/>
              </w:rPr>
              <w:t>Weighted-</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6"/>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00" w:type="dxa"/>
            <w:vAlign w:val="bottom"/>
            <w:gridSpan w:val="2"/>
          </w:tcPr>
          <w:p>
            <w:pPr>
              <w:ind w:left="140"/>
              <w:spacing w:after="0" w:line="106" w:lineRule="exact"/>
              <w:rPr>
                <w:sz w:val="20"/>
                <w:szCs w:val="20"/>
                <w:color w:val="auto"/>
              </w:rPr>
            </w:pPr>
            <w:r>
              <w:rPr>
                <w:rFonts w:ascii="Arial" w:cs="Arial" w:eastAsia="Arial" w:hAnsi="Arial"/>
                <w:sz w:val="10"/>
                <w:szCs w:val="10"/>
                <w:color w:val="auto"/>
              </w:rPr>
              <w:t>Weighted-</w:t>
            </w:r>
          </w:p>
        </w:tc>
        <w:tc>
          <w:tcPr>
            <w:tcW w:w="74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Average</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color w:val="auto"/>
                <w:w w:val="85"/>
              </w:rPr>
              <w:t>Average</w:t>
            </w:r>
          </w:p>
        </w:tc>
        <w:tc>
          <w:tcPr>
            <w:tcW w:w="74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Remaining</w:t>
            </w:r>
          </w:p>
        </w:tc>
        <w:tc>
          <w:tcPr>
            <w:tcW w:w="5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Aggregate</w:t>
            </w:r>
          </w:p>
        </w:tc>
        <w:tc>
          <w:tcPr>
            <w:tcW w:w="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Shares</w:t>
            </w:r>
          </w:p>
        </w:tc>
        <w:tc>
          <w:tcPr>
            <w:tcW w:w="200" w:type="dxa"/>
            <w:vAlign w:val="bottom"/>
          </w:tcPr>
          <w:p>
            <w:pPr>
              <w:spacing w:after="0"/>
              <w:rPr>
                <w:sz w:val="9"/>
                <w:szCs w:val="9"/>
                <w:color w:val="auto"/>
              </w:rPr>
            </w:pP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color w:val="auto"/>
                <w:w w:val="83"/>
              </w:rPr>
              <w:t>Exercise</w:t>
            </w:r>
          </w:p>
        </w:tc>
        <w:tc>
          <w:tcPr>
            <w:tcW w:w="74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Contractual</w:t>
            </w:r>
          </w:p>
        </w:tc>
        <w:tc>
          <w:tcPr>
            <w:tcW w:w="20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w w:val="92"/>
              </w:rPr>
              <w:t>Intrinsic</w:t>
            </w:r>
          </w:p>
        </w:tc>
        <w:tc>
          <w:tcPr>
            <w:tcW w:w="60" w:type="dxa"/>
            <w:vAlign w:val="bottom"/>
          </w:tcPr>
          <w:p>
            <w:pPr>
              <w:spacing w:after="0"/>
              <w:rPr>
                <w:sz w:val="9"/>
                <w:szCs w:val="9"/>
                <w:color w:val="auto"/>
              </w:rPr>
            </w:pPr>
          </w:p>
        </w:tc>
      </w:tr>
      <w:tr>
        <w:trPr>
          <w:trHeight w:val="113"/>
        </w:trPr>
        <w:tc>
          <w:tcPr>
            <w:tcW w:w="20" w:type="dxa"/>
            <w:vAlign w:val="bottom"/>
          </w:tcPr>
          <w:p>
            <w:pPr>
              <w:spacing w:after="0"/>
              <w:rPr>
                <w:sz w:val="9"/>
                <w:szCs w:val="9"/>
                <w:color w:val="auto"/>
              </w:rPr>
            </w:pPr>
          </w:p>
        </w:tc>
        <w:tc>
          <w:tcPr>
            <w:tcW w:w="1860" w:type="dxa"/>
            <w:vAlign w:val="bottom"/>
            <w:tcBorders>
              <w:bottom w:val="single" w:sz="8" w:color="0077C0"/>
            </w:tcBorders>
          </w:tcPr>
          <w:p>
            <w:pPr>
              <w:spacing w:after="0"/>
              <w:rPr>
                <w:sz w:val="9"/>
                <w:szCs w:val="9"/>
                <w:color w:val="auto"/>
              </w:rPr>
            </w:pPr>
          </w:p>
        </w:tc>
        <w:tc>
          <w:tcPr>
            <w:tcW w:w="1600" w:type="dxa"/>
            <w:vAlign w:val="bottom"/>
            <w:tcBorders>
              <w:bottom w:val="single" w:sz="8" w:color="0077C0"/>
            </w:tcBorders>
          </w:tcPr>
          <w:p>
            <w:pPr>
              <w:jc w:val="right"/>
              <w:ind w:right="109"/>
              <w:spacing w:after="0" w:line="113" w:lineRule="exact"/>
              <w:rPr>
                <w:sz w:val="20"/>
                <w:szCs w:val="20"/>
                <w:color w:val="auto"/>
              </w:rPr>
            </w:pPr>
            <w:r>
              <w:rPr>
                <w:rFonts w:ascii="Arial" w:cs="Arial" w:eastAsia="Arial" w:hAnsi="Arial"/>
                <w:sz w:val="10"/>
                <w:szCs w:val="10"/>
                <w:color w:val="auto"/>
              </w:rPr>
              <w:t>(Thousands)</w:t>
            </w:r>
          </w:p>
        </w:tc>
        <w:tc>
          <w:tcPr>
            <w:tcW w:w="20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10"/>
              <w:spacing w:after="0" w:line="113" w:lineRule="exact"/>
              <w:rPr>
                <w:sz w:val="20"/>
                <w:szCs w:val="20"/>
                <w:color w:val="auto"/>
              </w:rPr>
            </w:pPr>
            <w:r>
              <w:rPr>
                <w:rFonts w:ascii="Arial" w:cs="Arial" w:eastAsia="Arial" w:hAnsi="Arial"/>
                <w:sz w:val="10"/>
                <w:szCs w:val="10"/>
                <w:color w:val="auto"/>
              </w:rPr>
              <w:t>Price</w:t>
            </w:r>
          </w:p>
        </w:tc>
        <w:tc>
          <w:tcPr>
            <w:tcW w:w="740" w:type="dxa"/>
            <w:vAlign w:val="bottom"/>
            <w:tcBorders>
              <w:bottom w:val="single" w:sz="8" w:color="0077C0"/>
            </w:tcBorders>
          </w:tcPr>
          <w:p>
            <w:pPr>
              <w:jc w:val="right"/>
              <w:ind w:right="111"/>
              <w:spacing w:after="0" w:line="113" w:lineRule="exact"/>
              <w:rPr>
                <w:sz w:val="20"/>
                <w:szCs w:val="20"/>
                <w:color w:val="auto"/>
              </w:rPr>
            </w:pPr>
            <w:r>
              <w:rPr>
                <w:rFonts w:ascii="Arial" w:cs="Arial" w:eastAsia="Arial" w:hAnsi="Arial"/>
                <w:sz w:val="10"/>
                <w:szCs w:val="10"/>
                <w:color w:val="auto"/>
              </w:rPr>
              <w:t>Term</w:t>
            </w:r>
          </w:p>
        </w:tc>
        <w:tc>
          <w:tcPr>
            <w:tcW w:w="2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13" w:lineRule="exact"/>
              <w:rPr>
                <w:sz w:val="20"/>
                <w:szCs w:val="20"/>
                <w:color w:val="auto"/>
              </w:rPr>
            </w:pPr>
            <w:r>
              <w:rPr>
                <w:rFonts w:ascii="Arial" w:cs="Arial" w:eastAsia="Arial" w:hAnsi="Arial"/>
                <w:sz w:val="10"/>
                <w:szCs w:val="10"/>
                <w:color w:val="auto"/>
              </w:rPr>
              <w:t>Value</w:t>
            </w:r>
          </w:p>
        </w:tc>
        <w:tc>
          <w:tcPr>
            <w:tcW w:w="60" w:type="dxa"/>
            <w:vAlign w:val="bottom"/>
          </w:tcPr>
          <w:p>
            <w:pPr>
              <w:spacing w:after="0"/>
              <w:rPr>
                <w:sz w:val="9"/>
                <w:szCs w:val="9"/>
                <w:color w:val="auto"/>
              </w:rPr>
            </w:pPr>
          </w:p>
        </w:tc>
      </w:tr>
      <w:tr>
        <w:trPr>
          <w:trHeight w:val="167"/>
        </w:trPr>
        <w:tc>
          <w:tcPr>
            <w:tcW w:w="1880" w:type="dxa"/>
            <w:vAlign w:val="bottom"/>
            <w:gridSpan w:val="2"/>
          </w:tcPr>
          <w:p>
            <w:pPr>
              <w:spacing w:after="0"/>
              <w:rPr>
                <w:sz w:val="20"/>
                <w:szCs w:val="20"/>
                <w:color w:val="auto"/>
              </w:rPr>
            </w:pPr>
            <w:r>
              <w:rPr>
                <w:rFonts w:ascii="Arial" w:cs="Arial" w:eastAsia="Arial" w:hAnsi="Arial"/>
                <w:sz w:val="10"/>
                <w:szCs w:val="10"/>
                <w:b w:val="1"/>
                <w:bCs w:val="1"/>
                <w:color w:val="auto"/>
              </w:rPr>
              <w:t>Outstanding at</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08"/>
        </w:trPr>
        <w:tc>
          <w:tcPr>
            <w:tcW w:w="20" w:type="dxa"/>
            <w:vAlign w:val="bottom"/>
          </w:tcPr>
          <w:p>
            <w:pPr>
              <w:spacing w:after="0"/>
              <w:rPr>
                <w:sz w:val="9"/>
                <w:szCs w:val="9"/>
                <w:color w:val="auto"/>
              </w:rPr>
            </w:pPr>
          </w:p>
        </w:tc>
        <w:tc>
          <w:tcPr>
            <w:tcW w:w="1860" w:type="dxa"/>
            <w:vAlign w:val="bottom"/>
          </w:tcPr>
          <w:p>
            <w:pPr>
              <w:ind w:left="80"/>
              <w:spacing w:after="0" w:line="108" w:lineRule="exact"/>
              <w:rPr>
                <w:sz w:val="20"/>
                <w:szCs w:val="20"/>
                <w:color w:val="auto"/>
              </w:rPr>
            </w:pPr>
            <w:r>
              <w:rPr>
                <w:rFonts w:ascii="Arial" w:cs="Arial" w:eastAsia="Arial" w:hAnsi="Arial"/>
                <w:sz w:val="10"/>
                <w:szCs w:val="10"/>
                <w:b w:val="1"/>
                <w:bCs w:val="1"/>
                <w:color w:val="auto"/>
              </w:rPr>
              <w:t>January 1, 2008</w:t>
            </w:r>
          </w:p>
        </w:tc>
        <w:tc>
          <w:tcPr>
            <w:tcW w:w="1600" w:type="dxa"/>
            <w:vAlign w:val="bottom"/>
          </w:tcPr>
          <w:p>
            <w:pPr>
              <w:jc w:val="right"/>
              <w:ind w:right="109"/>
              <w:spacing w:after="0" w:line="108" w:lineRule="exact"/>
              <w:rPr>
                <w:sz w:val="20"/>
                <w:szCs w:val="20"/>
                <w:color w:val="auto"/>
              </w:rPr>
            </w:pPr>
            <w:r>
              <w:rPr>
                <w:rFonts w:ascii="Arial" w:cs="Arial" w:eastAsia="Arial" w:hAnsi="Arial"/>
                <w:sz w:val="10"/>
                <w:szCs w:val="10"/>
                <w:color w:val="auto"/>
              </w:rPr>
              <w:t>57,357</w:t>
            </w:r>
          </w:p>
        </w:tc>
        <w:tc>
          <w:tcPr>
            <w:tcW w:w="200" w:type="dxa"/>
            <w:vAlign w:val="bottom"/>
          </w:tcPr>
          <w:p>
            <w:pPr>
              <w:ind w:left="140"/>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0"/>
              <w:spacing w:after="0" w:line="108" w:lineRule="exact"/>
              <w:rPr>
                <w:sz w:val="20"/>
                <w:szCs w:val="20"/>
                <w:color w:val="auto"/>
              </w:rPr>
            </w:pPr>
            <w:r>
              <w:rPr>
                <w:rFonts w:ascii="Arial" w:cs="Arial" w:eastAsia="Arial" w:hAnsi="Arial"/>
                <w:sz w:val="10"/>
                <w:szCs w:val="10"/>
                <w:color w:val="auto"/>
              </w:rPr>
              <w:t>54.50</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1880" w:type="dxa"/>
            <w:vAlign w:val="bottom"/>
            <w:gridSpan w:val="2"/>
          </w:tcPr>
          <w:p>
            <w:pPr>
              <w:spacing w:after="0" w:line="106" w:lineRule="exact"/>
              <w:rPr>
                <w:sz w:val="20"/>
                <w:szCs w:val="20"/>
                <w:color w:val="auto"/>
              </w:rPr>
            </w:pPr>
            <w:r>
              <w:rPr>
                <w:rFonts w:ascii="Arial" w:cs="Arial" w:eastAsia="Arial" w:hAnsi="Arial"/>
                <w:sz w:val="10"/>
                <w:szCs w:val="10"/>
                <w:color w:val="auto"/>
              </w:rPr>
              <w:t>Granted</w:t>
            </w:r>
          </w:p>
        </w:tc>
        <w:tc>
          <w:tcPr>
            <w:tcW w:w="1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12,391</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84.98</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1880" w:type="dxa"/>
            <w:vAlign w:val="bottom"/>
            <w:gridSpan w:val="2"/>
          </w:tcPr>
          <w:p>
            <w:pPr>
              <w:spacing w:after="0" w:line="106" w:lineRule="exact"/>
              <w:rPr>
                <w:sz w:val="20"/>
                <w:szCs w:val="20"/>
                <w:color w:val="auto"/>
              </w:rPr>
            </w:pPr>
            <w:r>
              <w:rPr>
                <w:rFonts w:ascii="Arial" w:cs="Arial" w:eastAsia="Arial" w:hAnsi="Arial"/>
                <w:sz w:val="10"/>
                <w:szCs w:val="10"/>
                <w:color w:val="auto"/>
              </w:rPr>
              <w:t>Exercised</w:t>
            </w:r>
          </w:p>
        </w:tc>
        <w:tc>
          <w:tcPr>
            <w:tcW w:w="16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(10,758)</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53.69</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1880" w:type="dxa"/>
            <w:vAlign w:val="bottom"/>
            <w:gridSpan w:val="2"/>
          </w:tcPr>
          <w:p>
            <w:pPr>
              <w:spacing w:after="0" w:line="106" w:lineRule="exact"/>
              <w:rPr>
                <w:sz w:val="20"/>
                <w:szCs w:val="20"/>
                <w:color w:val="auto"/>
              </w:rPr>
            </w:pPr>
            <w:r>
              <w:rPr>
                <w:rFonts w:ascii="Arial" w:cs="Arial" w:eastAsia="Arial" w:hAnsi="Arial"/>
                <w:sz w:val="10"/>
                <w:szCs w:val="10"/>
                <w:color w:val="auto"/>
              </w:rPr>
              <w:t>Restored</w:t>
            </w:r>
          </w:p>
        </w:tc>
        <w:tc>
          <w:tcPr>
            <w:tcW w:w="1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1,196</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94.53</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1880" w:type="dxa"/>
            <w:vAlign w:val="bottom"/>
            <w:gridSpan w:val="2"/>
          </w:tcPr>
          <w:p>
            <w:pPr>
              <w:spacing w:after="0" w:line="104" w:lineRule="exact"/>
              <w:rPr>
                <w:sz w:val="20"/>
                <w:szCs w:val="20"/>
                <w:color w:val="auto"/>
              </w:rPr>
            </w:pPr>
            <w:r>
              <w:rPr>
                <w:rFonts w:ascii="Arial" w:cs="Arial" w:eastAsia="Arial" w:hAnsi="Arial"/>
                <w:sz w:val="10"/>
                <w:szCs w:val="10"/>
                <w:color w:val="auto"/>
              </w:rPr>
              <w:t>Forfeited</w:t>
            </w:r>
          </w:p>
        </w:tc>
        <w:tc>
          <w:tcPr>
            <w:tcW w:w="1600" w:type="dxa"/>
            <w:vAlign w:val="bottom"/>
          </w:tcPr>
          <w:p>
            <w:pPr>
              <w:jc w:val="right"/>
              <w:ind w:right="69"/>
              <w:spacing w:after="0" w:line="104" w:lineRule="exact"/>
              <w:rPr>
                <w:sz w:val="20"/>
                <w:szCs w:val="20"/>
                <w:color w:val="auto"/>
              </w:rPr>
            </w:pPr>
            <w:r>
              <w:rPr>
                <w:rFonts w:ascii="Arial" w:cs="Arial" w:eastAsia="Arial" w:hAnsi="Arial"/>
                <w:sz w:val="10"/>
                <w:szCs w:val="10"/>
                <w:color w:val="auto"/>
              </w:rPr>
              <w:t>(1,173)</w:t>
            </w:r>
          </w:p>
        </w:tc>
        <w:tc>
          <w:tcPr>
            <w:tcW w:w="200" w:type="dxa"/>
            <w:vAlign w:val="bottom"/>
          </w:tcPr>
          <w:p>
            <w:pPr>
              <w:ind w:left="140"/>
              <w:spacing w:after="0" w:line="104"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79.53</w:t>
            </w: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188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Outstanding at</w:t>
            </w: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86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December 31, 2008</w:t>
            </w:r>
          </w:p>
        </w:tc>
        <w:tc>
          <w:tcPr>
            <w:tcW w:w="16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59,013</w:t>
            </w:r>
          </w:p>
        </w:tc>
        <w:tc>
          <w:tcPr>
            <w:tcW w:w="2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61.36</w:t>
            </w:r>
          </w:p>
        </w:tc>
        <w:tc>
          <w:tcPr>
            <w:tcW w:w="740" w:type="dxa"/>
            <w:vAlign w:val="bottom"/>
            <w:tcBorders>
              <w:bottom w:val="single" w:sz="8" w:color="0077C0"/>
            </w:tcBorders>
          </w:tcPr>
          <w:p>
            <w:pPr>
              <w:jc w:val="right"/>
              <w:ind w:right="151"/>
              <w:spacing w:after="0"/>
              <w:rPr>
                <w:sz w:val="20"/>
                <w:szCs w:val="20"/>
                <w:color w:val="auto"/>
              </w:rPr>
            </w:pPr>
            <w:r>
              <w:rPr>
                <w:rFonts w:ascii="Arial" w:cs="Arial" w:eastAsia="Arial" w:hAnsi="Arial"/>
                <w:sz w:val="10"/>
                <w:szCs w:val="10"/>
                <w:color w:val="auto"/>
              </w:rPr>
              <w:t>6.5 yrs.</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883</w:t>
            </w:r>
          </w:p>
        </w:tc>
        <w:tc>
          <w:tcPr>
            <w:tcW w:w="60" w:type="dxa"/>
            <w:vAlign w:val="bottom"/>
            <w:tcBorders>
              <w:bottom w:val="single" w:sz="8" w:color="0077C0"/>
            </w:tcBorders>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1860" w:type="dxa"/>
            <w:vAlign w:val="bottom"/>
          </w:tcPr>
          <w:p>
            <w:pPr>
              <w:spacing w:after="0" w:line="101" w:lineRule="exact"/>
              <w:rPr>
                <w:sz w:val="20"/>
                <w:szCs w:val="20"/>
                <w:color w:val="auto"/>
              </w:rPr>
            </w:pPr>
            <w:r>
              <w:rPr>
                <w:rFonts w:ascii="Arial" w:cs="Arial" w:eastAsia="Arial" w:hAnsi="Arial"/>
                <w:sz w:val="10"/>
                <w:szCs w:val="10"/>
                <w:b w:val="1"/>
                <w:bCs w:val="1"/>
                <w:color w:val="auto"/>
              </w:rPr>
              <w:t>Exercisable at</w:t>
            </w: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186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December 31, 2008</w:t>
            </w:r>
          </w:p>
        </w:tc>
        <w:tc>
          <w:tcPr>
            <w:tcW w:w="16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36,934</w:t>
            </w:r>
          </w:p>
        </w:tc>
        <w:tc>
          <w:tcPr>
            <w:tcW w:w="2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51.51</w:t>
            </w:r>
          </w:p>
        </w:tc>
        <w:tc>
          <w:tcPr>
            <w:tcW w:w="740" w:type="dxa"/>
            <w:vAlign w:val="bottom"/>
            <w:tcBorders>
              <w:bottom w:val="single" w:sz="8" w:color="0077C0"/>
            </w:tcBorders>
          </w:tcPr>
          <w:p>
            <w:pPr>
              <w:jc w:val="right"/>
              <w:ind w:right="151"/>
              <w:spacing w:after="0"/>
              <w:rPr>
                <w:sz w:val="20"/>
                <w:szCs w:val="20"/>
                <w:color w:val="auto"/>
              </w:rPr>
            </w:pPr>
            <w:r>
              <w:rPr>
                <w:rFonts w:ascii="Arial" w:cs="Arial" w:eastAsia="Arial" w:hAnsi="Arial"/>
                <w:sz w:val="10"/>
                <w:szCs w:val="10"/>
                <w:color w:val="auto"/>
              </w:rPr>
              <w:t>5.2 yrs.</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838</w:t>
            </w:r>
          </w:p>
        </w:tc>
        <w:tc>
          <w:tcPr>
            <w:tcW w:w="60" w:type="dxa"/>
            <w:vAlign w:val="bottom"/>
            <w:tcBorders>
              <w:bottom w:val="single" w:sz="8" w:color="0077C0"/>
            </w:tcBorders>
          </w:tcPr>
          <w:p>
            <w:pPr>
              <w:spacing w:after="0"/>
              <w:rPr>
                <w:sz w:val="11"/>
                <w:szCs w:val="11"/>
                <w:color w:val="auto"/>
              </w:rPr>
            </w:pPr>
          </w:p>
        </w:tc>
      </w:tr>
    </w:tbl>
    <w:p>
      <w:pPr>
        <w:spacing w:after="0" w:line="126" w:lineRule="exact"/>
        <w:rPr>
          <w:sz w:val="20"/>
          <w:szCs w:val="20"/>
          <w:color w:val="auto"/>
        </w:rPr>
      </w:pPr>
    </w:p>
    <w:p>
      <w:pPr>
        <w:ind w:right="80" w:firstLine="158"/>
        <w:spacing w:after="0" w:line="288" w:lineRule="auto"/>
        <w:rPr>
          <w:sz w:val="20"/>
          <w:szCs w:val="20"/>
          <w:color w:val="auto"/>
        </w:rPr>
      </w:pPr>
      <w:r>
        <w:rPr>
          <w:rFonts w:ascii="Arial" w:cs="Arial" w:eastAsia="Arial" w:hAnsi="Arial"/>
          <w:sz w:val="12"/>
          <w:szCs w:val="12"/>
          <w:color w:val="auto"/>
        </w:rPr>
        <w:t>The total intrinsic value (i.e., the difference between the exercise price and the market price) of options exercised during 2008, 2007 and 2006 was $433, $423 and $281, respectively. During this period, the company continued its practice of issuing treasury shares upon exercise of these awards.</w:t>
      </w:r>
    </w:p>
    <w:p>
      <w:pPr>
        <w:spacing w:after="0" w:line="200" w:lineRule="exact"/>
        <w:rPr>
          <w:sz w:val="20"/>
          <w:szCs w:val="20"/>
          <w:color w:val="auto"/>
        </w:rPr>
      </w:pPr>
    </w:p>
    <w:p>
      <w:pPr>
        <w:sectPr>
          <w:pgSz w:w="11900" w:h="16838" w:orient="portrait"/>
          <w:cols w:equalWidth="0" w:num="2">
            <w:col w:w="5480" w:space="480"/>
            <w:col w:w="5520"/>
          </w:cols>
          <w:pgMar w:left="220" w:top="338" w:right="19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Stock Options and Other Share-Based Compensation - Continued</w:t>
      </w:r>
    </w:p>
    <w:p>
      <w:pPr>
        <w:sectPr>
          <w:pgSz w:w="11900" w:h="16838" w:orient="portrait"/>
          <w:cols w:equalWidth="0" w:num="1">
            <w:col w:w="11480"/>
          </w:cols>
          <w:pgMar w:left="220" w:top="339" w:right="1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firstLine="153"/>
        <w:spacing w:after="0" w:line="256" w:lineRule="auto"/>
        <w:rPr>
          <w:sz w:val="20"/>
          <w:szCs w:val="20"/>
          <w:color w:val="auto"/>
        </w:rPr>
      </w:pPr>
      <w:r>
        <w:rPr>
          <w:rFonts w:ascii="Arial" w:cs="Arial" w:eastAsia="Arial" w:hAnsi="Arial"/>
          <w:sz w:val="13"/>
          <w:szCs w:val="13"/>
          <w:color w:val="auto"/>
        </w:rPr>
        <w:t>As of December 31, 2008, there was $179 of total unrecognized before-tax compensation cost related to nonvested share-based compensation arrangements granted or restored under the plans. That cost is expected to be recognized over a weighted-average period of 1.9 years.</w:t>
      </w:r>
    </w:p>
    <w:p>
      <w:pPr>
        <w:spacing w:after="0" w:line="108" w:lineRule="exact"/>
        <w:rPr>
          <w:sz w:val="20"/>
          <w:szCs w:val="20"/>
          <w:color w:val="auto"/>
        </w:rPr>
      </w:pPr>
    </w:p>
    <w:p>
      <w:pPr>
        <w:ind w:right="60" w:firstLine="153"/>
        <w:spacing w:after="0" w:line="274" w:lineRule="auto"/>
        <w:rPr>
          <w:sz w:val="20"/>
          <w:szCs w:val="20"/>
          <w:color w:val="auto"/>
        </w:rPr>
      </w:pPr>
      <w:r>
        <w:rPr>
          <w:rFonts w:ascii="Arial" w:cs="Arial" w:eastAsia="Arial" w:hAnsi="Arial"/>
          <w:sz w:val="12"/>
          <w:szCs w:val="12"/>
          <w:color w:val="auto"/>
        </w:rPr>
        <w:t>At January 1, 2008, the number of LTIP performance units outstanding was equivalent to 2,225,015 shares. During 2008, 888,300 units were granted, 652,897 units vested with cash proceeds distributed to recipients and 59,863 units were forfeited. At December 31, 2008, units outstanding were 2,400,555, and the fair value of the liability recorded for these instruments was $201. In addition, outstanding stock appreciation rights and other awards that were granted under various LTIP and former Texaco and Unocal programs totaled approximately 1.4 million equivalent shares as of December 31, 2008. A liability of $35 was recorded for these awards.</w:t>
      </w:r>
    </w:p>
    <w:p>
      <w:pPr>
        <w:spacing w:after="0" w:line="98" w:lineRule="exact"/>
        <w:rPr>
          <w:sz w:val="20"/>
          <w:szCs w:val="20"/>
          <w:color w:val="auto"/>
        </w:rPr>
      </w:pPr>
    </w:p>
    <w:p>
      <w:pPr>
        <w:ind w:right="60"/>
        <w:spacing w:after="0" w:line="325" w:lineRule="auto"/>
        <w:rPr>
          <w:sz w:val="20"/>
          <w:szCs w:val="20"/>
          <w:color w:val="auto"/>
        </w:rPr>
      </w:pPr>
      <w:r>
        <w:rPr>
          <w:rFonts w:ascii="Arial" w:cs="Arial" w:eastAsia="Arial" w:hAnsi="Arial"/>
          <w:sz w:val="11"/>
          <w:szCs w:val="11"/>
          <w:i w:val="1"/>
          <w:iCs w:val="1"/>
          <w:color w:val="E51837"/>
        </w:rPr>
        <w:t xml:space="preserve">Broad-Based Employee Stock Options </w:t>
      </w:r>
      <w:r>
        <w:rPr>
          <w:rFonts w:ascii="Arial" w:cs="Arial" w:eastAsia="Arial" w:hAnsi="Arial"/>
          <w:sz w:val="11"/>
          <w:szCs w:val="11"/>
          <w:color w:val="000000"/>
        </w:rPr>
        <w:t>In addition to the plans described above, Chevron granted all</w:t>
      </w:r>
      <w:r>
        <w:rPr>
          <w:rFonts w:ascii="Arial" w:cs="Arial" w:eastAsia="Arial" w:hAnsi="Arial"/>
          <w:sz w:val="11"/>
          <w:szCs w:val="11"/>
          <w:i w:val="1"/>
          <w:iCs w:val="1"/>
          <w:color w:val="E51837"/>
        </w:rPr>
        <w:t xml:space="preserve"> </w:t>
      </w:r>
      <w:r>
        <w:rPr>
          <w:rFonts w:ascii="Arial" w:cs="Arial" w:eastAsia="Arial" w:hAnsi="Arial"/>
          <w:sz w:val="11"/>
          <w:szCs w:val="11"/>
          <w:color w:val="000000"/>
        </w:rPr>
        <w:t>eligible employees stock options or equivalents in 1998. The options vested in February 2000 and expired in February 2008. A total of 9,641,600 options were awarded with an exercise price of $38.16 per share.</w:t>
      </w:r>
    </w:p>
    <w:p>
      <w:pPr>
        <w:spacing w:after="0" w:line="82" w:lineRule="exact"/>
        <w:rPr>
          <w:sz w:val="20"/>
          <w:szCs w:val="20"/>
          <w:color w:val="auto"/>
        </w:rPr>
      </w:pPr>
    </w:p>
    <w:p>
      <w:pPr>
        <w:ind w:firstLine="158"/>
        <w:spacing w:after="0" w:line="250" w:lineRule="auto"/>
        <w:rPr>
          <w:sz w:val="20"/>
          <w:szCs w:val="20"/>
          <w:color w:val="auto"/>
        </w:rPr>
      </w:pPr>
      <w:r>
        <w:rPr>
          <w:rFonts w:ascii="Arial" w:cs="Arial" w:eastAsia="Arial" w:hAnsi="Arial"/>
          <w:sz w:val="13"/>
          <w:szCs w:val="13"/>
          <w:color w:val="auto"/>
        </w:rPr>
        <w:t>The fair value of each option on the date of grant was estimated at $9.54 using the Black-Scholes model for the preceding 10 years. The assumptions used in the model, based on a 10-year average, were: a risk-free interest rate of 7 percent, a dividend yield of 4.2 percent, an expected life of seven years and a volatility of 24.7 percent.</w:t>
      </w:r>
    </w:p>
    <w:p>
      <w:pPr>
        <w:spacing w:after="0" w:line="1" w:lineRule="exact"/>
        <w:rPr>
          <w:sz w:val="20"/>
          <w:szCs w:val="20"/>
          <w:color w:val="auto"/>
        </w:rPr>
      </w:pPr>
    </w:p>
    <w:p>
      <w:pPr>
        <w:ind w:right="60" w:firstLine="153"/>
        <w:spacing w:after="0" w:line="249" w:lineRule="auto"/>
        <w:rPr>
          <w:sz w:val="20"/>
          <w:szCs w:val="20"/>
          <w:color w:val="auto"/>
        </w:rPr>
      </w:pPr>
      <w:r>
        <w:rPr>
          <w:rFonts w:ascii="Arial" w:cs="Arial" w:eastAsia="Arial" w:hAnsi="Arial"/>
          <w:sz w:val="13"/>
          <w:szCs w:val="13"/>
          <w:color w:val="auto"/>
        </w:rPr>
        <w:t>At January 1, 2008, the number of broad-based employee stock options outstanding was 652,715. Through the conclusion of the program in February 2008, 396,875 shares were exercised and 255,840 shares were forfeited. The total intrinsic value of these options exercised during 2008, 2007 and 2006 was $18, $30, and $10, respectively.</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22</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Employee Benefit Plans</w:t>
      </w:r>
    </w:p>
    <w:p>
      <w:pPr>
        <w:ind w:right="20"/>
        <w:spacing w:after="0" w:line="268" w:lineRule="auto"/>
        <w:rPr>
          <w:sz w:val="20"/>
          <w:szCs w:val="20"/>
          <w:color w:val="auto"/>
        </w:rPr>
      </w:pPr>
      <w:r>
        <w:rPr>
          <w:rFonts w:ascii="Arial" w:cs="Arial" w:eastAsia="Arial" w:hAnsi="Arial"/>
          <w:sz w:val="12"/>
          <w:szCs w:val="12"/>
          <w:color w:val="auto"/>
        </w:rPr>
        <w:t>The company has defined-benefit pension plans for many employees. The company typically prefunds defined-benefit plans as required by local regulations or in certain situations where prefunding provides economic advantages. In the United States, all qualified plans are subject to the Employee Retirement Income Security Act (ERISA)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spacing w:after="0" w:line="2"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company also sponsors other postretirement (OPEB) plans that provide medical and dental benefits, as well as life insurance for some active and qualifying retired employees. The plans are unfunded, and the company and retirees share the costs. Medical coverage for Medicare-eligible retirees in the company’s main U.S. medical plan is secondary to Medicare (including Part D), and the increase to the company contribution for retiree medical coverage is limited to no more than 4 percent per year. Certain life insurance benefits are paid by the company.</w:t>
      </w:r>
    </w:p>
    <w:p>
      <w:pPr>
        <w:spacing w:after="0" w:line="1"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 xml:space="preserve">Effective December 31, 2006, the company implemented the recognition and measurement provisions of Financial Accounting Standards Board (FASB) Statement No. 158, </w:t>
      </w:r>
      <w:r>
        <w:rPr>
          <w:rFonts w:ascii="Arial" w:cs="Arial" w:eastAsia="Arial" w:hAnsi="Arial"/>
          <w:sz w:val="13"/>
          <w:szCs w:val="13"/>
          <w:i w:val="1"/>
          <w:iCs w:val="1"/>
          <w:color w:val="auto"/>
        </w:rPr>
        <w:t>Employers’ Accounting for Defined</w:t>
      </w:r>
      <w:r>
        <w:rPr>
          <w:rFonts w:ascii="Arial" w:cs="Arial" w:eastAsia="Arial" w:hAnsi="Arial"/>
          <w:sz w:val="13"/>
          <w:szCs w:val="13"/>
          <w:color w:val="auto"/>
        </w:rPr>
        <w:t xml:space="preserve"> </w:t>
      </w:r>
      <w:r>
        <w:rPr>
          <w:rFonts w:ascii="Arial" w:cs="Arial" w:eastAsia="Arial" w:hAnsi="Arial"/>
          <w:sz w:val="13"/>
          <w:szCs w:val="13"/>
          <w:i w:val="1"/>
          <w:iCs w:val="1"/>
          <w:color w:val="auto"/>
        </w:rPr>
        <w:t>Benefit Pension and Other Postretirement Plans, an amendment of FASB Statements No. 87, 88, 106 and 132(R)</w:t>
      </w:r>
      <w:r>
        <w:rPr>
          <w:rFonts w:ascii="Arial" w:cs="Arial" w:eastAsia="Arial" w:hAnsi="Arial"/>
          <w:sz w:val="13"/>
          <w:szCs w:val="13"/>
          <w:color w:val="auto"/>
        </w:rPr>
        <w:t>, which requires the recognition of the overfunded or underfunded status of each of its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pension and OPEB as an asset or liability, with the offset to “Accumulated other comprehensive loss.”</w:t>
      </w:r>
    </w:p>
    <w:p>
      <w:pPr>
        <w:spacing w:after="0" w:line="3" w:lineRule="exact"/>
        <w:rPr>
          <w:sz w:val="20"/>
          <w:szCs w:val="20"/>
          <w:color w:val="auto"/>
        </w:rPr>
      </w:pPr>
    </w:p>
    <w:p>
      <w:pPr>
        <w:ind w:right="40" w:firstLine="158"/>
        <w:spacing w:after="0" w:line="253" w:lineRule="auto"/>
        <w:rPr>
          <w:sz w:val="20"/>
          <w:szCs w:val="20"/>
          <w:color w:val="auto"/>
        </w:rPr>
      </w:pPr>
      <w:r>
        <w:rPr>
          <w:rFonts w:ascii="Arial" w:cs="Arial" w:eastAsia="Arial" w:hAnsi="Arial"/>
          <w:sz w:val="13"/>
          <w:szCs w:val="13"/>
          <w:color w:val="auto"/>
        </w:rPr>
        <w:t>The funded status of the company’s pension and other postretirement benefit plans for 2008 and 2007 is on the following page:</w:t>
      </w:r>
    </w:p>
    <w:p>
      <w:pPr>
        <w:spacing w:after="0" w:line="399" w:lineRule="exact"/>
        <w:rPr>
          <w:sz w:val="20"/>
          <w:szCs w:val="20"/>
          <w:color w:val="auto"/>
        </w:rPr>
      </w:pPr>
    </w:p>
    <w:p>
      <w:pPr>
        <w:sectPr>
          <w:pgSz w:w="11900" w:h="16838" w:orient="portrait"/>
          <w:cols w:equalWidth="0" w:num="2">
            <w:col w:w="5480" w:space="480"/>
            <w:col w:w="5520"/>
          </w:cols>
          <w:pgMar w:left="220" w:top="339" w:right="19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80"/>
        <w:spacing w:after="0"/>
        <w:rPr>
          <w:sz w:val="20"/>
          <w:szCs w:val="20"/>
          <w:color w:val="auto"/>
        </w:rPr>
      </w:pPr>
      <w:r>
        <w:rPr>
          <w:rFonts w:ascii="Arial" w:cs="Arial" w:eastAsia="Arial" w:hAnsi="Arial"/>
          <w:sz w:val="12"/>
          <w:szCs w:val="12"/>
          <w:color w:val="0077C0"/>
        </w:rPr>
        <w:t>Notes to the Consolidated Financial Statements</w:t>
      </w:r>
    </w:p>
    <w:p>
      <w:pPr>
        <w:ind w:left="348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22 </w:t>
      </w:r>
      <w:r>
        <w:rPr>
          <w:rFonts w:ascii="Arial" w:cs="Arial" w:eastAsia="Arial" w:hAnsi="Arial"/>
          <w:sz w:val="8"/>
          <w:szCs w:val="8"/>
          <w:color w:val="000000"/>
        </w:rPr>
        <w:t>Employee Benefit Plans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0"/>
                <w:szCs w:val="10"/>
                <w:color w:val="auto"/>
              </w:rPr>
              <w:t>Pension Benefits</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w w:val="87"/>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jc w:val="right"/>
              <w:ind w:right="309"/>
              <w:spacing w:after="0" w:line="95" w:lineRule="exact"/>
              <w:rPr>
                <w:sz w:val="20"/>
                <w:szCs w:val="20"/>
                <w:color w:val="auto"/>
              </w:rPr>
            </w:pPr>
            <w:r>
              <w:rPr>
                <w:rFonts w:ascii="Arial" w:cs="Arial" w:eastAsia="Arial" w:hAnsi="Arial"/>
                <w:sz w:val="10"/>
                <w:szCs w:val="10"/>
                <w:b w:val="1"/>
                <w:bCs w:val="1"/>
                <w:color w:val="auto"/>
              </w:rPr>
              <w:t>2008</w:t>
            </w:r>
          </w:p>
        </w:tc>
        <w:tc>
          <w:tcPr>
            <w:tcW w:w="48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0077C0"/>
            </w:tcBorders>
          </w:tcPr>
          <w:p>
            <w:pPr>
              <w:spacing w:after="0"/>
              <w:rPr>
                <w:sz w:val="8"/>
                <w:szCs w:val="8"/>
                <w:color w:val="auto"/>
              </w:rPr>
            </w:pPr>
          </w:p>
        </w:tc>
        <w:tc>
          <w:tcPr>
            <w:tcW w:w="1140" w:type="dxa"/>
            <w:vAlign w:val="bottom"/>
            <w:tcBorders>
              <w:bottom w:val="single" w:sz="8" w:color="0077C0"/>
            </w:tcBorders>
          </w:tcPr>
          <w:p>
            <w:pPr>
              <w:spacing w:after="0"/>
              <w:rPr>
                <w:sz w:val="8"/>
                <w:szCs w:val="8"/>
                <w:color w:val="auto"/>
              </w:rPr>
            </w:pPr>
          </w:p>
        </w:tc>
        <w:tc>
          <w:tcPr>
            <w:tcW w:w="240" w:type="dxa"/>
            <w:vAlign w:val="bottom"/>
            <w:tcBorders>
              <w:top w:val="single" w:sz="8" w:color="0077C0"/>
              <w:bottom w:val="single" w:sz="8" w:color="0077C0"/>
            </w:tcBorders>
          </w:tcPr>
          <w:p>
            <w:pPr>
              <w:spacing w:after="0"/>
              <w:rPr>
                <w:sz w:val="8"/>
                <w:szCs w:val="8"/>
                <w:color w:val="auto"/>
              </w:rPr>
            </w:pPr>
          </w:p>
        </w:tc>
        <w:tc>
          <w:tcPr>
            <w:tcW w:w="820" w:type="dxa"/>
            <w:vAlign w:val="bottom"/>
            <w:tcBorders>
              <w:top w:val="single" w:sz="8" w:color="0077C0"/>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U.S.</w:t>
            </w:r>
          </w:p>
        </w:tc>
        <w:tc>
          <w:tcPr>
            <w:tcW w:w="560" w:type="dxa"/>
            <w:vAlign w:val="bottom"/>
            <w:tcBorders>
              <w:top w:val="single" w:sz="8" w:color="0077C0"/>
              <w:bottom w:val="single" w:sz="8" w:color="0077C0"/>
            </w:tcBorders>
          </w:tcPr>
          <w:p>
            <w:pPr>
              <w:spacing w:after="0"/>
              <w:rPr>
                <w:sz w:val="8"/>
                <w:szCs w:val="8"/>
                <w:color w:val="auto"/>
              </w:rPr>
            </w:pPr>
          </w:p>
        </w:tc>
        <w:tc>
          <w:tcPr>
            <w:tcW w:w="820" w:type="dxa"/>
            <w:vAlign w:val="bottom"/>
            <w:tcBorders>
              <w:top w:val="single" w:sz="8" w:color="0077C0"/>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Int’l.</w:t>
            </w:r>
          </w:p>
        </w:tc>
        <w:tc>
          <w:tcPr>
            <w:tcW w:w="48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329"/>
              <w:spacing w:after="0" w:line="95" w:lineRule="exact"/>
              <w:rPr>
                <w:sz w:val="20"/>
                <w:szCs w:val="20"/>
                <w:color w:val="auto"/>
              </w:rPr>
            </w:pPr>
            <w:r>
              <w:rPr>
                <w:rFonts w:ascii="Arial" w:cs="Arial" w:eastAsia="Arial" w:hAnsi="Arial"/>
                <w:sz w:val="10"/>
                <w:szCs w:val="10"/>
                <w:color w:val="auto"/>
              </w:rPr>
              <w:t>U.S.</w:t>
            </w:r>
          </w:p>
        </w:tc>
        <w:tc>
          <w:tcPr>
            <w:tcW w:w="58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Int’l.</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28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5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860" w:type="dxa"/>
            <w:vAlign w:val="bottom"/>
          </w:tcPr>
          <w:p>
            <w:pPr>
              <w:spacing w:after="0" w:line="92" w:lineRule="exact"/>
              <w:rPr>
                <w:sz w:val="20"/>
                <w:szCs w:val="20"/>
                <w:color w:val="auto"/>
              </w:rPr>
            </w:pPr>
            <w:r>
              <w:rPr>
                <w:rFonts w:ascii="Arial" w:cs="Arial" w:eastAsia="Arial" w:hAnsi="Arial"/>
                <w:sz w:val="10"/>
                <w:szCs w:val="10"/>
                <w:b w:val="1"/>
                <w:bCs w:val="1"/>
                <w:color w:val="auto"/>
              </w:rPr>
              <w:t>Change in Benefit Obligation</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w:t>
            </w:r>
          </w:p>
        </w:tc>
        <w:tc>
          <w:tcPr>
            <w:tcW w:w="82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8,395</w:t>
            </w:r>
          </w:p>
        </w:tc>
        <w:tc>
          <w:tcPr>
            <w:tcW w:w="5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4,633</w:t>
            </w: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2"/>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2,939</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ind w:left="80"/>
              <w:spacing w:after="0" w:line="104" w:lineRule="exact"/>
              <w:rPr>
                <w:sz w:val="20"/>
                <w:szCs w:val="20"/>
                <w:color w:val="auto"/>
              </w:rPr>
            </w:pPr>
            <w:r>
              <w:rPr>
                <w:rFonts w:ascii="Arial" w:cs="Arial" w:eastAsia="Arial" w:hAnsi="Arial"/>
                <w:sz w:val="10"/>
                <w:szCs w:val="10"/>
                <w:color w:val="auto"/>
              </w:rPr>
              <w:t>Benefit obligation at January 1</w:t>
            </w:r>
          </w:p>
        </w:tc>
        <w:tc>
          <w:tcPr>
            <w:tcW w:w="13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8,792</w:t>
            </w:r>
          </w:p>
        </w:tc>
        <w:tc>
          <w:tcPr>
            <w:tcW w:w="58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4,207</w:t>
            </w:r>
          </w:p>
        </w:tc>
        <w:tc>
          <w:tcPr>
            <w:tcW w:w="3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3,257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Service cost</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250</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132</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260</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125</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44</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Interest cost</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499</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292</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483</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255</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178</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Plan participants’ contributions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9</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152</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Plan amendments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32</w:t>
            </w:r>
          </w:p>
        </w:tc>
        <w:tc>
          <w:tcPr>
            <w:tcW w:w="48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(301)</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97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Curtailments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8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(12)</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Actuarial gain</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(62)</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(104)</w:t>
            </w:r>
          </w:p>
        </w:tc>
        <w:tc>
          <w:tcPr>
            <w:tcW w:w="48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(131)</w:t>
            </w:r>
          </w:p>
        </w:tc>
        <w:tc>
          <w:tcPr>
            <w:tcW w:w="580" w:type="dxa"/>
            <w:vAlign w:val="bottom"/>
          </w:tcPr>
          <w:p>
            <w:pPr>
              <w:spacing w:after="0"/>
              <w:rPr>
                <w:sz w:val="9"/>
                <w:szCs w:val="9"/>
                <w:color w:val="auto"/>
              </w:rPr>
            </w:pPr>
          </w:p>
        </w:tc>
        <w:tc>
          <w:tcPr>
            <w:tcW w:w="8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(40)</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(14)</w:t>
            </w:r>
          </w:p>
        </w:tc>
        <w:tc>
          <w:tcPr>
            <w:tcW w:w="300" w:type="dxa"/>
            <w:vAlign w:val="bottom"/>
          </w:tcPr>
          <w:p>
            <w:pPr>
              <w:spacing w:after="0"/>
              <w:rPr>
                <w:sz w:val="9"/>
                <w:szCs w:val="9"/>
                <w:color w:val="auto"/>
              </w:rPr>
            </w:pP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(413)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Foreign currency exchange rate changes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(858)</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219</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(28)</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Benefits paid</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(955)</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(246)</w:t>
            </w:r>
          </w:p>
        </w:tc>
        <w:tc>
          <w:tcPr>
            <w:tcW w:w="48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(708)</w:t>
            </w:r>
          </w:p>
        </w:tc>
        <w:tc>
          <w:tcPr>
            <w:tcW w:w="580" w:type="dxa"/>
            <w:vAlign w:val="bottom"/>
          </w:tcPr>
          <w:p>
            <w:pPr>
              <w:spacing w:after="0"/>
              <w:rPr>
                <w:sz w:val="9"/>
                <w:szCs w:val="9"/>
                <w:color w:val="auto"/>
              </w:rPr>
            </w:pPr>
          </w:p>
        </w:tc>
        <w:tc>
          <w:tcPr>
            <w:tcW w:w="8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(225)</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(340)</w:t>
            </w:r>
          </w:p>
        </w:tc>
        <w:tc>
          <w:tcPr>
            <w:tcW w:w="300" w:type="dxa"/>
            <w:vAlign w:val="bottom"/>
          </w:tcPr>
          <w:p>
            <w:pPr>
              <w:spacing w:after="0"/>
              <w:rPr>
                <w:sz w:val="9"/>
                <w:szCs w:val="9"/>
                <w:color w:val="auto"/>
              </w:rPr>
            </w:pP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ind w:left="80"/>
              <w:spacing w:after="0"/>
              <w:rPr>
                <w:sz w:val="20"/>
                <w:szCs w:val="20"/>
                <w:color w:val="auto"/>
              </w:rPr>
            </w:pPr>
            <w:r>
              <w:rPr>
                <w:rFonts w:ascii="Arial" w:cs="Arial" w:eastAsia="Arial" w:hAnsi="Arial"/>
                <w:sz w:val="10"/>
                <w:szCs w:val="10"/>
                <w:color w:val="auto"/>
              </w:rPr>
              <w:t>Special termination benefits</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09"/>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w:t>
            </w:r>
          </w:p>
        </w:tc>
        <w:tc>
          <w:tcPr>
            <w:tcW w:w="480" w:type="dxa"/>
            <w:vAlign w:val="bottom"/>
          </w:tcPr>
          <w:p>
            <w:pPr>
              <w:spacing w:after="0"/>
              <w:rPr>
                <w:sz w:val="10"/>
                <w:szCs w:val="10"/>
                <w:color w:val="auto"/>
              </w:rPr>
            </w:pPr>
          </w:p>
        </w:tc>
        <w:tc>
          <w:tcPr>
            <w:tcW w:w="800" w:type="dxa"/>
            <w:vAlign w:val="bottom"/>
          </w:tcPr>
          <w:p>
            <w:pPr>
              <w:jc w:val="right"/>
              <w:ind w:right="329"/>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8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Benefit obligation at December 31</w:t>
            </w:r>
          </w:p>
        </w:tc>
        <w:tc>
          <w:tcPr>
            <w:tcW w:w="114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8,127</w:t>
            </w:r>
          </w:p>
        </w:tc>
        <w:tc>
          <w:tcPr>
            <w:tcW w:w="56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3,891</w:t>
            </w:r>
          </w:p>
        </w:tc>
        <w:tc>
          <w:tcPr>
            <w:tcW w:w="48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8,395</w:t>
            </w:r>
          </w:p>
        </w:tc>
        <w:tc>
          <w:tcPr>
            <w:tcW w:w="58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4,633</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2,931</w:t>
            </w:r>
          </w:p>
        </w:tc>
        <w:tc>
          <w:tcPr>
            <w:tcW w:w="30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2,939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88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Change in Plan Assets</w:t>
            </w: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7,918</w:t>
            </w:r>
          </w:p>
        </w:tc>
        <w:tc>
          <w:tcPr>
            <w:tcW w:w="560" w:type="dxa"/>
            <w:vAlign w:val="bottom"/>
          </w:tcPr>
          <w:p>
            <w:pPr>
              <w:spacing w:after="0"/>
              <w:rPr>
                <w:sz w:val="8"/>
                <w:szCs w:val="8"/>
                <w:color w:val="auto"/>
              </w:rPr>
            </w:pP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3,892</w:t>
            </w: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ind w:left="80"/>
              <w:spacing w:after="0" w:line="104" w:lineRule="exact"/>
              <w:rPr>
                <w:sz w:val="20"/>
                <w:szCs w:val="20"/>
                <w:color w:val="auto"/>
              </w:rPr>
            </w:pPr>
            <w:r>
              <w:rPr>
                <w:rFonts w:ascii="Arial" w:cs="Arial" w:eastAsia="Arial" w:hAnsi="Arial"/>
                <w:sz w:val="10"/>
                <w:szCs w:val="10"/>
                <w:color w:val="auto"/>
              </w:rPr>
              <w:t>Fair value of plan assets at January 1</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7,941</w:t>
            </w:r>
          </w:p>
        </w:tc>
        <w:tc>
          <w:tcPr>
            <w:tcW w:w="58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3,456</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Actual return on plan assets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(2,092)</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(655)</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607</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232</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Foreign currency exchange rate changes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(662)</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183</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Employer contributions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577</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262</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78</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239</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188</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ind w:left="80"/>
              <w:spacing w:after="0" w:line="106" w:lineRule="exact"/>
              <w:rPr>
                <w:sz w:val="20"/>
                <w:szCs w:val="20"/>
                <w:color w:val="auto"/>
              </w:rPr>
            </w:pPr>
            <w:r>
              <w:rPr>
                <w:rFonts w:ascii="Arial" w:cs="Arial" w:eastAsia="Arial" w:hAnsi="Arial"/>
                <w:sz w:val="10"/>
                <w:szCs w:val="10"/>
                <w:color w:val="auto"/>
              </w:rPr>
              <w:t>Plan participants’ contributions</w:t>
            </w: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9</w:t>
            </w:r>
          </w:p>
        </w:tc>
        <w:tc>
          <w:tcPr>
            <w:tcW w:w="480" w:type="dxa"/>
            <w:vAlign w:val="bottom"/>
          </w:tcPr>
          <w:p>
            <w:pPr>
              <w:spacing w:after="0"/>
              <w:rPr>
                <w:sz w:val="9"/>
                <w:szCs w:val="9"/>
                <w:color w:val="auto"/>
              </w:rPr>
            </w:pPr>
          </w:p>
        </w:tc>
        <w:tc>
          <w:tcPr>
            <w:tcW w:w="80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152</w:t>
            </w:r>
          </w:p>
        </w:tc>
        <w:tc>
          <w:tcPr>
            <w:tcW w:w="30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ind w:left="80"/>
              <w:spacing w:after="0"/>
              <w:rPr>
                <w:sz w:val="20"/>
                <w:szCs w:val="20"/>
                <w:color w:val="auto"/>
              </w:rPr>
            </w:pPr>
            <w:r>
              <w:rPr>
                <w:rFonts w:ascii="Arial" w:cs="Arial" w:eastAsia="Arial" w:hAnsi="Arial"/>
                <w:sz w:val="10"/>
                <w:szCs w:val="10"/>
                <w:color w:val="auto"/>
              </w:rPr>
              <w:t>Benefits paid</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9"/>
              <w:spacing w:after="0"/>
              <w:rPr>
                <w:sz w:val="20"/>
                <w:szCs w:val="20"/>
                <w:color w:val="auto"/>
              </w:rPr>
            </w:pPr>
            <w:r>
              <w:rPr>
                <w:rFonts w:ascii="Arial" w:cs="Arial" w:eastAsia="Arial" w:hAnsi="Arial"/>
                <w:sz w:val="10"/>
                <w:szCs w:val="10"/>
                <w:b w:val="1"/>
                <w:bCs w:val="1"/>
                <w:color w:val="auto"/>
              </w:rPr>
              <w:t>(955)</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(246)</w:t>
            </w:r>
          </w:p>
        </w:tc>
        <w:tc>
          <w:tcPr>
            <w:tcW w:w="480" w:type="dxa"/>
            <w:vAlign w:val="bottom"/>
          </w:tcPr>
          <w:p>
            <w:pPr>
              <w:spacing w:after="0"/>
              <w:rPr>
                <w:sz w:val="10"/>
                <w:szCs w:val="10"/>
                <w:color w:val="auto"/>
              </w:rPr>
            </w:pP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(708)</w:t>
            </w:r>
          </w:p>
        </w:tc>
        <w:tc>
          <w:tcPr>
            <w:tcW w:w="58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color w:val="auto"/>
              </w:rPr>
              <w:t>(225)</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(340)</w:t>
            </w:r>
          </w:p>
        </w:tc>
        <w:tc>
          <w:tcPr>
            <w:tcW w:w="30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8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Fair value of plan assets at December 31</w:t>
            </w:r>
          </w:p>
        </w:tc>
        <w:tc>
          <w:tcPr>
            <w:tcW w:w="114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5,448</w:t>
            </w:r>
          </w:p>
        </w:tc>
        <w:tc>
          <w:tcPr>
            <w:tcW w:w="56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2,600</w:t>
            </w:r>
          </w:p>
        </w:tc>
        <w:tc>
          <w:tcPr>
            <w:tcW w:w="48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7,918</w:t>
            </w:r>
          </w:p>
        </w:tc>
        <w:tc>
          <w:tcPr>
            <w:tcW w:w="58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3,892</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8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Funded Status at December 31</w:t>
            </w:r>
          </w:p>
        </w:tc>
        <w:tc>
          <w:tcPr>
            <w:tcW w:w="138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Pr>
          <w:p>
            <w:pPr>
              <w:jc w:val="right"/>
              <w:ind w:right="289"/>
              <w:spacing w:after="0" w:line="105" w:lineRule="exact"/>
              <w:rPr>
                <w:sz w:val="20"/>
                <w:szCs w:val="20"/>
                <w:color w:val="auto"/>
              </w:rPr>
            </w:pPr>
            <w:r>
              <w:rPr>
                <w:rFonts w:ascii="Arial" w:cs="Arial" w:eastAsia="Arial" w:hAnsi="Arial"/>
                <w:sz w:val="10"/>
                <w:szCs w:val="10"/>
                <w:b w:val="1"/>
                <w:bCs w:val="1"/>
                <w:color w:val="auto"/>
              </w:rPr>
              <w:t>(2,679)</w:t>
            </w:r>
          </w:p>
        </w:tc>
        <w:tc>
          <w:tcPr>
            <w:tcW w:w="56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(1,291)</w:t>
            </w:r>
          </w:p>
        </w:tc>
        <w:tc>
          <w:tcPr>
            <w:tcW w:w="48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line="105" w:lineRule="exact"/>
              <w:rPr>
                <w:sz w:val="20"/>
                <w:szCs w:val="20"/>
                <w:color w:val="auto"/>
              </w:rPr>
            </w:pPr>
            <w:r>
              <w:rPr>
                <w:rFonts w:ascii="Arial" w:cs="Arial" w:eastAsia="Arial" w:hAnsi="Arial"/>
                <w:sz w:val="10"/>
                <w:szCs w:val="10"/>
                <w:color w:val="auto"/>
              </w:rPr>
              <w:t>(477)</w:t>
            </w:r>
          </w:p>
        </w:tc>
        <w:tc>
          <w:tcPr>
            <w:tcW w:w="580" w:type="dxa"/>
            <w:vAlign w:val="bottom"/>
          </w:tcPr>
          <w:p>
            <w:pPr>
              <w:jc w:val="right"/>
              <w:ind w:right="150"/>
              <w:spacing w:after="0" w:line="105"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5" w:lineRule="exact"/>
              <w:rPr>
                <w:sz w:val="20"/>
                <w:szCs w:val="20"/>
                <w:color w:val="auto"/>
              </w:rPr>
            </w:pPr>
            <w:r>
              <w:rPr>
                <w:rFonts w:ascii="Arial" w:cs="Arial" w:eastAsia="Arial" w:hAnsi="Arial"/>
                <w:sz w:val="10"/>
                <w:szCs w:val="10"/>
                <w:color w:val="auto"/>
              </w:rPr>
              <w:t>(741)</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(2,931)</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5" w:lineRule="exact"/>
              <w:rPr>
                <w:sz w:val="20"/>
                <w:szCs w:val="20"/>
                <w:color w:val="auto"/>
              </w:rPr>
            </w:pPr>
            <w:r>
              <w:rPr>
                <w:rFonts w:ascii="Arial" w:cs="Arial" w:eastAsia="Arial" w:hAnsi="Arial"/>
                <w:sz w:val="10"/>
                <w:szCs w:val="10"/>
                <w:color w:val="auto"/>
              </w:rPr>
              <w:t>(2,939)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60" w:type="dxa"/>
            <w:vAlign w:val="bottom"/>
            <w:shd w:val="clear" w:color="auto" w:fill="0077C0"/>
          </w:tcPr>
          <w:p>
            <w:pPr>
              <w:spacing w:after="0"/>
              <w:rPr>
                <w:sz w:val="2"/>
                <w:szCs w:val="2"/>
                <w:color w:val="auto"/>
              </w:rPr>
            </w:pPr>
          </w:p>
        </w:tc>
        <w:tc>
          <w:tcPr>
            <w:tcW w:w="114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440" w:type="dxa"/>
            <w:vAlign w:val="bottom"/>
            <w:shd w:val="clear" w:color="auto" w:fill="0077C0"/>
          </w:tcPr>
          <w:p>
            <w:pPr>
              <w:spacing w:after="0"/>
              <w:rPr>
                <w:sz w:val="2"/>
                <w:szCs w:val="2"/>
                <w:color w:val="auto"/>
              </w:rPr>
            </w:pPr>
          </w:p>
        </w:tc>
        <w:tc>
          <w:tcPr>
            <w:tcW w:w="360" w:type="dxa"/>
            <w:vAlign w:val="bottom"/>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00" w:type="dxa"/>
            <w:vAlign w:val="bottom"/>
            <w:tcBorders>
              <w:right w:val="single" w:sz="8" w:color="0077C0"/>
            </w:tcBorders>
            <w:shd w:val="clear" w:color="auto" w:fill="0077C0"/>
          </w:tcPr>
          <w:p>
            <w:pPr>
              <w:spacing w:after="0"/>
              <w:rPr>
                <w:sz w:val="2"/>
                <w:szCs w:val="2"/>
                <w:color w:val="auto"/>
              </w:rPr>
            </w:pPr>
          </w:p>
        </w:tc>
        <w:tc>
          <w:tcPr>
            <w:tcW w:w="300" w:type="dxa"/>
            <w:vAlign w:val="bottom"/>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Amounts recognized on the Consolidated Balance Sheet for the company’s pension and other postretirement benefit plans at December 31, 2008 and 2007, include: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gridSpan w:val="4"/>
          </w:tcPr>
          <w:p>
            <w:pPr>
              <w:jc w:val="right"/>
              <w:ind w:right="360"/>
              <w:spacing w:after="0"/>
              <w:rPr>
                <w:sz w:val="20"/>
                <w:szCs w:val="20"/>
                <w:color w:val="auto"/>
              </w:rPr>
            </w:pPr>
            <w:r>
              <w:rPr>
                <w:rFonts w:ascii="Arial" w:cs="Arial" w:eastAsia="Arial" w:hAnsi="Arial"/>
                <w:sz w:val="10"/>
                <w:szCs w:val="10"/>
                <w:color w:val="auto"/>
              </w:rPr>
              <w:t>Pension Benefits</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w w:val="87"/>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jc w:val="right"/>
              <w:ind w:right="310"/>
              <w:spacing w:after="0" w:line="95"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top w:val="single" w:sz="8" w:color="0077C0"/>
            </w:tcBorders>
          </w:tcPr>
          <w:p>
            <w:pPr>
              <w:spacing w:after="0"/>
              <w:rPr>
                <w:sz w:val="8"/>
                <w:szCs w:val="8"/>
                <w:color w:val="auto"/>
              </w:rPr>
            </w:pPr>
          </w:p>
        </w:tc>
        <w:tc>
          <w:tcPr>
            <w:tcW w:w="78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gridSpan w:val="2"/>
          </w:tcPr>
          <w:p>
            <w:pPr>
              <w:jc w:val="right"/>
              <w:ind w:right="20"/>
              <w:spacing w:after="0" w:line="95" w:lineRule="exact"/>
              <w:rPr>
                <w:sz w:val="20"/>
                <w:szCs w:val="20"/>
                <w:color w:val="auto"/>
              </w:rPr>
            </w:pPr>
            <w:r>
              <w:rPr>
                <w:rFonts w:ascii="Arial" w:cs="Arial" w:eastAsia="Arial" w:hAnsi="Arial"/>
                <w:sz w:val="10"/>
                <w:szCs w:val="10"/>
                <w:color w:val="auto"/>
              </w:rPr>
              <w:t>2007</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Borders>
              <w:bottom w:val="single" w:sz="8" w:color="0077C0"/>
            </w:tcBorders>
          </w:tcPr>
          <w:p>
            <w:pPr>
              <w:spacing w:after="0"/>
              <w:rPr>
                <w:sz w:val="8"/>
                <w:szCs w:val="8"/>
                <w:color w:val="auto"/>
              </w:rPr>
            </w:pPr>
          </w:p>
        </w:tc>
        <w:tc>
          <w:tcPr>
            <w:tcW w:w="1160" w:type="dxa"/>
            <w:vAlign w:val="bottom"/>
            <w:tcBorders>
              <w:bottom w:val="single" w:sz="8" w:color="0077C0"/>
            </w:tcBorders>
          </w:tcPr>
          <w:p>
            <w:pPr>
              <w:spacing w:after="0"/>
              <w:rPr>
                <w:sz w:val="8"/>
                <w:szCs w:val="8"/>
                <w:color w:val="auto"/>
              </w:rPr>
            </w:pPr>
          </w:p>
        </w:tc>
        <w:tc>
          <w:tcPr>
            <w:tcW w:w="240" w:type="dxa"/>
            <w:vAlign w:val="bottom"/>
            <w:tcBorders>
              <w:top w:val="single" w:sz="8" w:color="0077C0"/>
              <w:bottom w:val="single" w:sz="8" w:color="0077C0"/>
            </w:tcBorders>
          </w:tcPr>
          <w:p>
            <w:pPr>
              <w:spacing w:after="0"/>
              <w:rPr>
                <w:sz w:val="8"/>
                <w:szCs w:val="8"/>
                <w:color w:val="auto"/>
              </w:rPr>
            </w:pPr>
          </w:p>
        </w:tc>
        <w:tc>
          <w:tcPr>
            <w:tcW w:w="820" w:type="dxa"/>
            <w:vAlign w:val="bottom"/>
            <w:tcBorders>
              <w:top w:val="single" w:sz="8" w:color="0077C0"/>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U.S.</w:t>
            </w:r>
          </w:p>
        </w:tc>
        <w:tc>
          <w:tcPr>
            <w:tcW w:w="560" w:type="dxa"/>
            <w:vAlign w:val="bottom"/>
            <w:tcBorders>
              <w:top w:val="single" w:sz="8" w:color="0077C0"/>
              <w:bottom w:val="single" w:sz="8" w:color="0077C0"/>
            </w:tcBorders>
          </w:tcPr>
          <w:p>
            <w:pPr>
              <w:spacing w:after="0"/>
              <w:rPr>
                <w:sz w:val="8"/>
                <w:szCs w:val="8"/>
                <w:color w:val="auto"/>
              </w:rPr>
            </w:pPr>
          </w:p>
        </w:tc>
        <w:tc>
          <w:tcPr>
            <w:tcW w:w="820" w:type="dxa"/>
            <w:vAlign w:val="bottom"/>
            <w:tcBorders>
              <w:top w:val="single" w:sz="8" w:color="0077C0"/>
              <w:bottom w:val="single" w:sz="8" w:color="0077C0"/>
            </w:tcBorders>
          </w:tcPr>
          <w:p>
            <w:pPr>
              <w:jc w:val="right"/>
              <w:ind w:right="310"/>
              <w:spacing w:after="0" w:line="95" w:lineRule="exact"/>
              <w:rPr>
                <w:sz w:val="20"/>
                <w:szCs w:val="20"/>
                <w:color w:val="auto"/>
              </w:rPr>
            </w:pPr>
            <w:r>
              <w:rPr>
                <w:rFonts w:ascii="Arial" w:cs="Arial" w:eastAsia="Arial" w:hAnsi="Arial"/>
                <w:sz w:val="10"/>
                <w:szCs w:val="10"/>
                <w:color w:val="auto"/>
              </w:rPr>
              <w:t>Int’l.</w:t>
            </w:r>
          </w:p>
        </w:tc>
        <w:tc>
          <w:tcPr>
            <w:tcW w:w="500" w:type="dxa"/>
            <w:vAlign w:val="bottom"/>
            <w:tcBorders>
              <w:top w:val="single" w:sz="8" w:color="0077C0"/>
              <w:bottom w:val="single" w:sz="8" w:color="0077C0"/>
            </w:tcBorders>
          </w:tcPr>
          <w:p>
            <w:pPr>
              <w:spacing w:after="0"/>
              <w:rPr>
                <w:sz w:val="8"/>
                <w:szCs w:val="8"/>
                <w:color w:val="auto"/>
              </w:rPr>
            </w:pPr>
          </w:p>
        </w:tc>
        <w:tc>
          <w:tcPr>
            <w:tcW w:w="780" w:type="dxa"/>
            <w:vAlign w:val="bottom"/>
            <w:tcBorders>
              <w:top w:val="single" w:sz="8" w:color="0077C0"/>
              <w:bottom w:val="single" w:sz="8" w:color="0077C0"/>
            </w:tcBorders>
          </w:tcPr>
          <w:p>
            <w:pPr>
              <w:jc w:val="right"/>
              <w:ind w:right="329"/>
              <w:spacing w:after="0" w:line="95" w:lineRule="exact"/>
              <w:rPr>
                <w:sz w:val="20"/>
                <w:szCs w:val="20"/>
                <w:color w:val="auto"/>
              </w:rPr>
            </w:pPr>
            <w:r>
              <w:rPr>
                <w:rFonts w:ascii="Arial" w:cs="Arial" w:eastAsia="Arial" w:hAnsi="Arial"/>
                <w:sz w:val="10"/>
                <w:szCs w:val="10"/>
                <w:color w:val="auto"/>
              </w:rPr>
              <w:t>U.S.</w:t>
            </w:r>
          </w:p>
        </w:tc>
        <w:tc>
          <w:tcPr>
            <w:tcW w:w="60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gridSpan w:val="2"/>
          </w:tcPr>
          <w:p>
            <w:pPr>
              <w:jc w:val="right"/>
              <w:ind w:right="20"/>
              <w:spacing w:after="0" w:line="95" w:lineRule="exact"/>
              <w:rPr>
                <w:sz w:val="20"/>
                <w:szCs w:val="20"/>
                <w:color w:val="auto"/>
              </w:rPr>
            </w:pPr>
            <w:r>
              <w:rPr>
                <w:rFonts w:ascii="Arial" w:cs="Arial" w:eastAsia="Arial" w:hAnsi="Arial"/>
                <w:sz w:val="10"/>
                <w:szCs w:val="10"/>
                <w:color w:val="auto"/>
              </w:rPr>
              <w:t>Int’l.</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289"/>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5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840" w:type="dxa"/>
            <w:vAlign w:val="bottom"/>
          </w:tcPr>
          <w:p>
            <w:pPr>
              <w:ind w:left="80"/>
              <w:spacing w:after="0" w:line="91" w:lineRule="exact"/>
              <w:rPr>
                <w:sz w:val="20"/>
                <w:szCs w:val="20"/>
                <w:color w:val="auto"/>
              </w:rPr>
            </w:pPr>
            <w:r>
              <w:rPr>
                <w:rFonts w:ascii="Arial" w:cs="Arial" w:eastAsia="Arial" w:hAnsi="Arial"/>
                <w:sz w:val="10"/>
                <w:szCs w:val="10"/>
                <w:color w:val="auto"/>
              </w:rPr>
              <w:t>Deferred charges and other assets</w:t>
            </w:r>
          </w:p>
        </w:tc>
        <w:tc>
          <w:tcPr>
            <w:tcW w:w="1400" w:type="dxa"/>
            <w:vAlign w:val="bottom"/>
            <w:gridSpan w:val="2"/>
          </w:tcPr>
          <w:p>
            <w:pPr>
              <w:jc w:val="right"/>
              <w:ind w:right="180"/>
              <w:spacing w:after="0" w:line="91" w:lineRule="exact"/>
              <w:rPr>
                <w:sz w:val="20"/>
                <w:szCs w:val="20"/>
                <w:color w:val="auto"/>
              </w:rPr>
            </w:pPr>
            <w:r>
              <w:rPr>
                <w:rFonts w:ascii="Arial" w:cs="Arial" w:eastAsia="Arial" w:hAnsi="Arial"/>
                <w:sz w:val="10"/>
                <w:szCs w:val="10"/>
                <w:b w:val="1"/>
                <w:bCs w:val="1"/>
                <w:color w:val="auto"/>
              </w:rPr>
              <w:t>$</w:t>
            </w:r>
          </w:p>
        </w:tc>
        <w:tc>
          <w:tcPr>
            <w:tcW w:w="820" w:type="dxa"/>
            <w:vAlign w:val="bottom"/>
          </w:tcPr>
          <w:p>
            <w:pPr>
              <w:jc w:val="right"/>
              <w:ind w:right="309"/>
              <w:spacing w:after="0" w:line="91" w:lineRule="exact"/>
              <w:rPr>
                <w:sz w:val="20"/>
                <w:szCs w:val="20"/>
                <w:color w:val="auto"/>
              </w:rPr>
            </w:pPr>
            <w:r>
              <w:rPr>
                <w:rFonts w:ascii="Arial" w:cs="Arial" w:eastAsia="Arial" w:hAnsi="Arial"/>
                <w:sz w:val="10"/>
                <w:szCs w:val="10"/>
                <w:b w:val="1"/>
                <w:bCs w:val="1"/>
                <w:color w:val="auto"/>
              </w:rPr>
              <w:t>6</w:t>
            </w:r>
          </w:p>
        </w:tc>
        <w:tc>
          <w:tcPr>
            <w:tcW w:w="56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tcPr>
          <w:p>
            <w:pPr>
              <w:jc w:val="right"/>
              <w:ind w:right="310"/>
              <w:spacing w:after="0" w:line="91" w:lineRule="exact"/>
              <w:rPr>
                <w:sz w:val="20"/>
                <w:szCs w:val="20"/>
                <w:color w:val="auto"/>
              </w:rPr>
            </w:pPr>
            <w:r>
              <w:rPr>
                <w:rFonts w:ascii="Arial" w:cs="Arial" w:eastAsia="Arial" w:hAnsi="Arial"/>
                <w:sz w:val="10"/>
                <w:szCs w:val="10"/>
                <w:b w:val="1"/>
                <w:bCs w:val="1"/>
                <w:color w:val="auto"/>
              </w:rPr>
              <w:t>31</w:t>
            </w:r>
          </w:p>
        </w:tc>
        <w:tc>
          <w:tcPr>
            <w:tcW w:w="500" w:type="dxa"/>
            <w:vAlign w:val="bottom"/>
          </w:tcPr>
          <w:p>
            <w:pPr>
              <w:jc w:val="right"/>
              <w:ind w:right="189"/>
              <w:spacing w:after="0" w:line="91"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329"/>
              <w:spacing w:after="0" w:line="91" w:lineRule="exact"/>
              <w:rPr>
                <w:sz w:val="20"/>
                <w:szCs w:val="20"/>
                <w:color w:val="auto"/>
              </w:rPr>
            </w:pPr>
            <w:r>
              <w:rPr>
                <w:rFonts w:ascii="Arial" w:cs="Arial" w:eastAsia="Arial" w:hAnsi="Arial"/>
                <w:sz w:val="10"/>
                <w:szCs w:val="10"/>
                <w:color w:val="auto"/>
              </w:rPr>
              <w:t>181</w:t>
            </w:r>
          </w:p>
        </w:tc>
        <w:tc>
          <w:tcPr>
            <w:tcW w:w="600" w:type="dxa"/>
            <w:vAlign w:val="bottom"/>
          </w:tcPr>
          <w:p>
            <w:pPr>
              <w:jc w:val="right"/>
              <w:ind w:right="170"/>
              <w:spacing w:after="0" w:line="91"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279</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w:t>
            </w: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40" w:type="dxa"/>
            <w:vAlign w:val="bottom"/>
          </w:tcPr>
          <w:p>
            <w:pPr>
              <w:ind w:left="80"/>
              <w:spacing w:after="0" w:line="106" w:lineRule="exact"/>
              <w:rPr>
                <w:sz w:val="20"/>
                <w:szCs w:val="20"/>
                <w:color w:val="auto"/>
              </w:rPr>
            </w:pPr>
            <w:r>
              <w:rPr>
                <w:rFonts w:ascii="Arial" w:cs="Arial" w:eastAsia="Arial" w:hAnsi="Arial"/>
                <w:sz w:val="10"/>
                <w:szCs w:val="10"/>
                <w:color w:val="auto"/>
              </w:rPr>
              <w:t>Accrued liabilities</w:t>
            </w: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(72)</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70"/>
              <w:spacing w:after="0" w:line="106" w:lineRule="exact"/>
              <w:rPr>
                <w:sz w:val="20"/>
                <w:szCs w:val="20"/>
                <w:color w:val="auto"/>
              </w:rPr>
            </w:pPr>
            <w:r>
              <w:rPr>
                <w:rFonts w:ascii="Arial" w:cs="Arial" w:eastAsia="Arial" w:hAnsi="Arial"/>
                <w:sz w:val="10"/>
                <w:szCs w:val="10"/>
                <w:b w:val="1"/>
                <w:bCs w:val="1"/>
                <w:color w:val="auto"/>
              </w:rPr>
              <w:t>(61)</w:t>
            </w:r>
          </w:p>
        </w:tc>
        <w:tc>
          <w:tcPr>
            <w:tcW w:w="500" w:type="dxa"/>
            <w:vAlign w:val="bottom"/>
          </w:tcPr>
          <w:p>
            <w:pPr>
              <w:spacing w:after="0"/>
              <w:rPr>
                <w:sz w:val="9"/>
                <w:szCs w:val="9"/>
                <w:color w:val="auto"/>
              </w:rPr>
            </w:pPr>
          </w:p>
        </w:tc>
        <w:tc>
          <w:tcPr>
            <w:tcW w:w="7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(68)</w:t>
            </w:r>
          </w:p>
        </w:tc>
        <w:tc>
          <w:tcPr>
            <w:tcW w:w="600" w:type="dxa"/>
            <w:vAlign w:val="bottom"/>
          </w:tcPr>
          <w:p>
            <w:pPr>
              <w:spacing w:after="0"/>
              <w:rPr>
                <w:sz w:val="9"/>
                <w:szCs w:val="9"/>
                <w:color w:val="auto"/>
              </w:rPr>
            </w:pPr>
          </w:p>
        </w:tc>
        <w:tc>
          <w:tcPr>
            <w:tcW w:w="780" w:type="dxa"/>
            <w:vAlign w:val="bottom"/>
            <w:gridSpan w:val="3"/>
          </w:tcPr>
          <w:p>
            <w:pPr>
              <w:jc w:val="right"/>
              <w:ind w:right="340"/>
              <w:spacing w:after="0" w:line="106" w:lineRule="exact"/>
              <w:rPr>
                <w:sz w:val="20"/>
                <w:szCs w:val="20"/>
                <w:color w:val="auto"/>
              </w:rPr>
            </w:pPr>
            <w:r>
              <w:rPr>
                <w:rFonts w:ascii="Arial" w:cs="Arial" w:eastAsia="Arial" w:hAnsi="Arial"/>
                <w:sz w:val="10"/>
                <w:szCs w:val="10"/>
                <w:color w:val="auto"/>
              </w:rPr>
              <w:t>(55)</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(209)</w:t>
            </w:r>
          </w:p>
        </w:tc>
        <w:tc>
          <w:tcPr>
            <w:tcW w:w="300" w:type="dxa"/>
            <w:vAlign w:val="bottom"/>
          </w:tcPr>
          <w:p>
            <w:pPr>
              <w:spacing w:after="0"/>
              <w:rPr>
                <w:sz w:val="9"/>
                <w:szCs w:val="9"/>
                <w:color w:val="auto"/>
              </w:rPr>
            </w:pP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tcPr>
          <w:p>
            <w:pPr>
              <w:ind w:left="80"/>
              <w:spacing w:after="0"/>
              <w:rPr>
                <w:sz w:val="20"/>
                <w:szCs w:val="20"/>
                <w:color w:val="auto"/>
              </w:rPr>
            </w:pPr>
            <w:r>
              <w:rPr>
                <w:rFonts w:ascii="Arial" w:cs="Arial" w:eastAsia="Arial" w:hAnsi="Arial"/>
                <w:sz w:val="10"/>
                <w:szCs w:val="10"/>
                <w:color w:val="auto"/>
              </w:rPr>
              <w:t>Reserves for employee benefit plans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9"/>
              <w:spacing w:after="0"/>
              <w:rPr>
                <w:sz w:val="20"/>
                <w:szCs w:val="20"/>
                <w:color w:val="auto"/>
              </w:rPr>
            </w:pPr>
            <w:r>
              <w:rPr>
                <w:rFonts w:ascii="Arial" w:cs="Arial" w:eastAsia="Arial" w:hAnsi="Arial"/>
                <w:sz w:val="10"/>
                <w:szCs w:val="10"/>
                <w:b w:val="1"/>
                <w:bCs w:val="1"/>
                <w:color w:val="auto"/>
              </w:rPr>
              <w:t>(2,613)</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270"/>
              <w:spacing w:after="0"/>
              <w:rPr>
                <w:sz w:val="20"/>
                <w:szCs w:val="20"/>
                <w:color w:val="auto"/>
              </w:rPr>
            </w:pPr>
            <w:r>
              <w:rPr>
                <w:rFonts w:ascii="Arial" w:cs="Arial" w:eastAsia="Arial" w:hAnsi="Arial"/>
                <w:sz w:val="10"/>
                <w:szCs w:val="10"/>
                <w:b w:val="1"/>
                <w:bCs w:val="1"/>
                <w:color w:val="auto"/>
              </w:rPr>
              <w:t>(1,261)</w:t>
            </w:r>
          </w:p>
        </w:tc>
        <w:tc>
          <w:tcPr>
            <w:tcW w:w="500" w:type="dxa"/>
            <w:vAlign w:val="bottom"/>
          </w:tcPr>
          <w:p>
            <w:pPr>
              <w:spacing w:after="0"/>
              <w:rPr>
                <w:sz w:val="10"/>
                <w:szCs w:val="10"/>
                <w:color w:val="auto"/>
              </w:rPr>
            </w:pPr>
          </w:p>
        </w:tc>
        <w:tc>
          <w:tcPr>
            <w:tcW w:w="780" w:type="dxa"/>
            <w:vAlign w:val="bottom"/>
          </w:tcPr>
          <w:p>
            <w:pPr>
              <w:jc w:val="right"/>
              <w:ind w:right="289"/>
              <w:spacing w:after="0"/>
              <w:rPr>
                <w:sz w:val="20"/>
                <w:szCs w:val="20"/>
                <w:color w:val="auto"/>
              </w:rPr>
            </w:pPr>
            <w:r>
              <w:rPr>
                <w:rFonts w:ascii="Arial" w:cs="Arial" w:eastAsia="Arial" w:hAnsi="Arial"/>
                <w:sz w:val="10"/>
                <w:szCs w:val="10"/>
                <w:color w:val="auto"/>
              </w:rPr>
              <w:t>(590)</w:t>
            </w:r>
          </w:p>
        </w:tc>
        <w:tc>
          <w:tcPr>
            <w:tcW w:w="600" w:type="dxa"/>
            <w:vAlign w:val="bottom"/>
          </w:tcPr>
          <w:p>
            <w:pPr>
              <w:spacing w:after="0"/>
              <w:rPr>
                <w:sz w:val="10"/>
                <w:szCs w:val="10"/>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0"/>
                <w:szCs w:val="10"/>
                <w:color w:val="auto"/>
              </w:rPr>
              <w:t>(965)</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(2,722)</w:t>
            </w:r>
          </w:p>
        </w:tc>
        <w:tc>
          <w:tcPr>
            <w:tcW w:w="30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(2,732)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Net amount recognized at December 31</w:t>
            </w:r>
          </w:p>
        </w:tc>
        <w:tc>
          <w:tcPr>
            <w:tcW w:w="1400" w:type="dxa"/>
            <w:vAlign w:val="bottom"/>
            <w:tcBorders>
              <w:top w:val="single" w:sz="8" w:color="0077C0"/>
              <w:bottom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(2,679)</w:t>
            </w:r>
          </w:p>
        </w:tc>
        <w:tc>
          <w:tcPr>
            <w:tcW w:w="56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bottom w:val="single" w:sz="8" w:color="0077C0"/>
              <w:right w:val="single" w:sz="8" w:color="0077C0"/>
            </w:tcBorders>
          </w:tcPr>
          <w:p>
            <w:pPr>
              <w:jc w:val="right"/>
              <w:ind w:right="270"/>
              <w:spacing w:after="0" w:line="105" w:lineRule="exact"/>
              <w:rPr>
                <w:sz w:val="20"/>
                <w:szCs w:val="20"/>
                <w:color w:val="auto"/>
              </w:rPr>
            </w:pPr>
            <w:r>
              <w:rPr>
                <w:rFonts w:ascii="Arial" w:cs="Arial" w:eastAsia="Arial" w:hAnsi="Arial"/>
                <w:sz w:val="10"/>
                <w:szCs w:val="10"/>
                <w:b w:val="1"/>
                <w:bCs w:val="1"/>
                <w:color w:val="auto"/>
              </w:rPr>
              <w:t>(1,291)</w:t>
            </w:r>
          </w:p>
        </w:tc>
        <w:tc>
          <w:tcPr>
            <w:tcW w:w="5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w:t>
            </w:r>
          </w:p>
        </w:tc>
        <w:tc>
          <w:tcPr>
            <w:tcW w:w="78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(477)</w:t>
            </w:r>
          </w:p>
        </w:tc>
        <w:tc>
          <w:tcPr>
            <w:tcW w:w="600" w:type="dxa"/>
            <w:vAlign w:val="bottom"/>
            <w:tcBorders>
              <w:top w:val="single" w:sz="8" w:color="0077C0"/>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(741)</w:t>
            </w:r>
          </w:p>
        </w:tc>
        <w:tc>
          <w:tcPr>
            <w:tcW w:w="360" w:type="dxa"/>
            <w:vAlign w:val="bottom"/>
            <w:tcBorders>
              <w:bottom w:val="single" w:sz="8" w:color="0077C0"/>
            </w:tcBorders>
            <w:gridSpan w:val="2"/>
          </w:tcPr>
          <w:p>
            <w:pPr>
              <w:spacing w:after="0"/>
              <w:rPr>
                <w:sz w:val="9"/>
                <w:szCs w:val="9"/>
                <w:color w:val="auto"/>
              </w:rPr>
            </w:pPr>
          </w:p>
        </w:tc>
        <w:tc>
          <w:tcPr>
            <w:tcW w:w="320" w:type="dxa"/>
            <w:vAlign w:val="bottom"/>
            <w:tcBorders>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77C0"/>
              <w:bottom w:val="single" w:sz="8" w:color="0077C0"/>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(2,931)</w:t>
            </w: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(2,939)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00" w:firstLine="153"/>
        <w:spacing w:after="0" w:line="267" w:lineRule="auto"/>
        <w:rPr>
          <w:sz w:val="20"/>
          <w:szCs w:val="20"/>
          <w:color w:val="auto"/>
        </w:rPr>
      </w:pPr>
      <w:r>
        <w:rPr>
          <w:rFonts w:ascii="Arial" w:cs="Arial" w:eastAsia="Arial" w:hAnsi="Arial"/>
          <w:sz w:val="13"/>
          <w:szCs w:val="13"/>
          <w:color w:val="auto"/>
        </w:rPr>
        <w:t>Amounts recognized on a before-tax basis in “Accumulated other comprehensive loss” for the company’s pension and OPEB postretirement plans were $5,831 and $2,990 at the end of 2008 and 2007. These amounts consisted of: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spacing w:after="0"/>
              <w:rPr>
                <w:sz w:val="10"/>
                <w:szCs w:val="10"/>
                <w:color w:val="auto"/>
              </w:rPr>
            </w:pPr>
          </w:p>
        </w:tc>
        <w:tc>
          <w:tcPr>
            <w:tcW w:w="10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Pension Benefits</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w w:val="87"/>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jc w:val="right"/>
              <w:ind w:right="310"/>
              <w:spacing w:after="0" w:line="95" w:lineRule="exact"/>
              <w:rPr>
                <w:sz w:val="20"/>
                <w:szCs w:val="20"/>
                <w:color w:val="auto"/>
              </w:rPr>
            </w:pPr>
            <w:r>
              <w:rPr>
                <w:rFonts w:ascii="Arial" w:cs="Arial" w:eastAsia="Arial" w:hAnsi="Arial"/>
                <w:sz w:val="10"/>
                <w:szCs w:val="10"/>
                <w:b w:val="1"/>
                <w:bCs w:val="1"/>
                <w:color w:val="auto"/>
              </w:rPr>
              <w:t>2008</w:t>
            </w: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10"/>
                <w:szCs w:val="10"/>
                <w:color w:val="auto"/>
              </w:rPr>
              <w:t>2007</w:t>
            </w: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Borders>
              <w:bottom w:val="single" w:sz="8" w:color="0077C0"/>
            </w:tcBorders>
          </w:tcPr>
          <w:p>
            <w:pPr>
              <w:spacing w:after="0"/>
              <w:rPr>
                <w:sz w:val="8"/>
                <w:szCs w:val="8"/>
                <w:color w:val="auto"/>
              </w:rPr>
            </w:pPr>
          </w:p>
        </w:tc>
        <w:tc>
          <w:tcPr>
            <w:tcW w:w="1300" w:type="dxa"/>
            <w:vAlign w:val="bottom"/>
            <w:tcBorders>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310"/>
              <w:spacing w:after="0" w:line="95" w:lineRule="exact"/>
              <w:rPr>
                <w:sz w:val="20"/>
                <w:szCs w:val="20"/>
                <w:color w:val="auto"/>
              </w:rPr>
            </w:pPr>
            <w:r>
              <w:rPr>
                <w:rFonts w:ascii="Arial" w:cs="Arial" w:eastAsia="Arial" w:hAnsi="Arial"/>
                <w:sz w:val="10"/>
                <w:szCs w:val="10"/>
                <w:color w:val="auto"/>
              </w:rPr>
              <w:t>U.S.</w:t>
            </w:r>
          </w:p>
        </w:tc>
        <w:tc>
          <w:tcPr>
            <w:tcW w:w="58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310"/>
              <w:spacing w:after="0" w:line="95" w:lineRule="exact"/>
              <w:rPr>
                <w:sz w:val="20"/>
                <w:szCs w:val="20"/>
                <w:color w:val="auto"/>
              </w:rPr>
            </w:pPr>
            <w:r>
              <w:rPr>
                <w:rFonts w:ascii="Arial" w:cs="Arial" w:eastAsia="Arial" w:hAnsi="Arial"/>
                <w:sz w:val="10"/>
                <w:szCs w:val="10"/>
                <w:color w:val="auto"/>
              </w:rPr>
              <w:t>Int’l.</w:t>
            </w:r>
          </w:p>
        </w:tc>
        <w:tc>
          <w:tcPr>
            <w:tcW w:w="480" w:type="dxa"/>
            <w:vAlign w:val="bottom"/>
            <w:tcBorders>
              <w:top w:val="single" w:sz="8" w:color="0077C0"/>
              <w:bottom w:val="single" w:sz="8" w:color="0077C0"/>
            </w:tcBorders>
          </w:tcPr>
          <w:p>
            <w:pPr>
              <w:spacing w:after="0"/>
              <w:rPr>
                <w:sz w:val="8"/>
                <w:szCs w:val="8"/>
                <w:color w:val="auto"/>
              </w:rPr>
            </w:pPr>
          </w:p>
        </w:tc>
        <w:tc>
          <w:tcPr>
            <w:tcW w:w="800" w:type="dxa"/>
            <w:vAlign w:val="bottom"/>
            <w:tcBorders>
              <w:top w:val="single" w:sz="8" w:color="0077C0"/>
              <w:bottom w:val="single" w:sz="8" w:color="0077C0"/>
            </w:tcBorders>
          </w:tcPr>
          <w:p>
            <w:pPr>
              <w:jc w:val="right"/>
              <w:ind w:right="330"/>
              <w:spacing w:after="0" w:line="95" w:lineRule="exact"/>
              <w:rPr>
                <w:sz w:val="20"/>
                <w:szCs w:val="20"/>
                <w:color w:val="auto"/>
              </w:rPr>
            </w:pPr>
            <w:r>
              <w:rPr>
                <w:rFonts w:ascii="Arial" w:cs="Arial" w:eastAsia="Arial" w:hAnsi="Arial"/>
                <w:sz w:val="10"/>
                <w:szCs w:val="10"/>
                <w:color w:val="auto"/>
              </w:rPr>
              <w:t>U.S.</w:t>
            </w:r>
          </w:p>
        </w:tc>
        <w:tc>
          <w:tcPr>
            <w:tcW w:w="58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Int’l.</w:t>
            </w:r>
          </w:p>
        </w:tc>
        <w:tc>
          <w:tcPr>
            <w:tcW w:w="680" w:type="dxa"/>
            <w:vAlign w:val="bottom"/>
          </w:tcPr>
          <w:p>
            <w:pPr>
              <w:spacing w:after="0"/>
              <w:rPr>
                <w:sz w:val="8"/>
                <w:szCs w:val="8"/>
                <w:color w:val="auto"/>
              </w:rPr>
            </w:pPr>
          </w:p>
        </w:tc>
        <w:tc>
          <w:tcPr>
            <w:tcW w:w="280" w:type="dxa"/>
            <w:vAlign w:val="bottom"/>
            <w:tcBorders>
              <w:top w:val="single" w:sz="8" w:color="0077C0"/>
              <w:bottom w:val="single" w:sz="8" w:color="0077C0"/>
            </w:tcBorders>
          </w:tcPr>
          <w:p>
            <w:pPr>
              <w:spacing w:after="0"/>
              <w:rPr>
                <w:sz w:val="8"/>
                <w:szCs w:val="8"/>
                <w:color w:val="auto"/>
              </w:rPr>
            </w:pPr>
          </w:p>
        </w:tc>
        <w:tc>
          <w:tcPr>
            <w:tcW w:w="760" w:type="dxa"/>
            <w:vAlign w:val="bottom"/>
            <w:tcBorders>
              <w:top w:val="single" w:sz="8" w:color="0077C0"/>
              <w:bottom w:val="single" w:sz="8" w:color="0077C0"/>
            </w:tcBorders>
          </w:tcPr>
          <w:p>
            <w:pPr>
              <w:jc w:val="right"/>
              <w:ind w:right="290"/>
              <w:spacing w:after="0" w:line="95" w:lineRule="exact"/>
              <w:rPr>
                <w:sz w:val="20"/>
                <w:szCs w:val="20"/>
                <w:color w:val="auto"/>
              </w:rPr>
            </w:pPr>
            <w:r>
              <w:rPr>
                <w:rFonts w:ascii="Arial" w:cs="Arial" w:eastAsia="Arial" w:hAnsi="Arial"/>
                <w:sz w:val="10"/>
                <w:szCs w:val="10"/>
                <w:b w:val="1"/>
                <w:bCs w:val="1"/>
                <w:color w:val="auto"/>
              </w:rPr>
              <w:t>2008</w:t>
            </w:r>
          </w:p>
        </w:tc>
        <w:tc>
          <w:tcPr>
            <w:tcW w:w="300" w:type="dxa"/>
            <w:vAlign w:val="bottom"/>
            <w:tcBorders>
              <w:top w:val="single" w:sz="8" w:color="0077C0"/>
              <w:bottom w:val="single" w:sz="8" w:color="0077C0"/>
            </w:tcBorders>
          </w:tcPr>
          <w:p>
            <w:pPr>
              <w:spacing w:after="0"/>
              <w:rPr>
                <w:sz w:val="8"/>
                <w:szCs w:val="8"/>
                <w:color w:val="auto"/>
              </w:rPr>
            </w:pPr>
          </w:p>
        </w:tc>
        <w:tc>
          <w:tcPr>
            <w:tcW w:w="5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00" w:type="dxa"/>
            <w:vAlign w:val="bottom"/>
          </w:tcPr>
          <w:p>
            <w:pPr>
              <w:ind w:left="80"/>
              <w:spacing w:after="0" w:line="91" w:lineRule="exact"/>
              <w:rPr>
                <w:sz w:val="20"/>
                <w:szCs w:val="20"/>
                <w:color w:val="auto"/>
              </w:rPr>
            </w:pPr>
            <w:r>
              <w:rPr>
                <w:rFonts w:ascii="Arial" w:cs="Arial" w:eastAsia="Arial" w:hAnsi="Arial"/>
                <w:sz w:val="10"/>
                <w:szCs w:val="10"/>
                <w:color w:val="auto"/>
              </w:rPr>
              <w:t>Net actuarial loss</w:t>
            </w:r>
          </w:p>
        </w:tc>
        <w:tc>
          <w:tcPr>
            <w:tcW w:w="1560" w:type="dxa"/>
            <w:vAlign w:val="bottom"/>
            <w:gridSpan w:val="2"/>
          </w:tcPr>
          <w:p>
            <w:pPr>
              <w:jc w:val="right"/>
              <w:ind w:right="200"/>
              <w:spacing w:after="0" w:line="91"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310"/>
              <w:spacing w:after="0" w:line="91" w:lineRule="exact"/>
              <w:rPr>
                <w:sz w:val="20"/>
                <w:szCs w:val="20"/>
                <w:color w:val="auto"/>
              </w:rPr>
            </w:pPr>
            <w:r>
              <w:rPr>
                <w:rFonts w:ascii="Arial" w:cs="Arial" w:eastAsia="Arial" w:hAnsi="Arial"/>
                <w:sz w:val="10"/>
                <w:szCs w:val="10"/>
                <w:b w:val="1"/>
                <w:bCs w:val="1"/>
                <w:color w:val="auto"/>
              </w:rPr>
              <w:t>3,797</w:t>
            </w:r>
          </w:p>
        </w:tc>
        <w:tc>
          <w:tcPr>
            <w:tcW w:w="58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tcPr>
          <w:p>
            <w:pPr>
              <w:jc w:val="right"/>
              <w:ind w:right="310"/>
              <w:spacing w:after="0" w:line="91" w:lineRule="exact"/>
              <w:rPr>
                <w:sz w:val="20"/>
                <w:szCs w:val="20"/>
                <w:color w:val="auto"/>
              </w:rPr>
            </w:pPr>
            <w:r>
              <w:rPr>
                <w:rFonts w:ascii="Arial" w:cs="Arial" w:eastAsia="Arial" w:hAnsi="Arial"/>
                <w:sz w:val="10"/>
                <w:szCs w:val="10"/>
                <w:b w:val="1"/>
                <w:bCs w:val="1"/>
                <w:color w:val="auto"/>
              </w:rPr>
              <w:t>1,804</w:t>
            </w:r>
          </w:p>
        </w:tc>
        <w:tc>
          <w:tcPr>
            <w:tcW w:w="480" w:type="dxa"/>
            <w:vAlign w:val="bottom"/>
          </w:tcPr>
          <w:p>
            <w:pPr>
              <w:jc w:val="right"/>
              <w:ind w:right="169"/>
              <w:spacing w:after="0" w:line="91"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30"/>
              <w:spacing w:after="0" w:line="91" w:lineRule="exact"/>
              <w:rPr>
                <w:sz w:val="20"/>
                <w:szCs w:val="20"/>
                <w:color w:val="auto"/>
              </w:rPr>
            </w:pPr>
            <w:r>
              <w:rPr>
                <w:rFonts w:ascii="Arial" w:cs="Arial" w:eastAsia="Arial" w:hAnsi="Arial"/>
                <w:sz w:val="10"/>
                <w:szCs w:val="10"/>
                <w:color w:val="auto"/>
              </w:rPr>
              <w:t>1,539</w:t>
            </w:r>
          </w:p>
        </w:tc>
        <w:tc>
          <w:tcPr>
            <w:tcW w:w="580" w:type="dxa"/>
            <w:vAlign w:val="bottom"/>
          </w:tcPr>
          <w:p>
            <w:pPr>
              <w:jc w:val="right"/>
              <w:ind w:right="150"/>
              <w:spacing w:after="0" w:line="91"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91" w:lineRule="exact"/>
              <w:rPr>
                <w:sz w:val="20"/>
                <w:szCs w:val="20"/>
                <w:color w:val="auto"/>
              </w:rPr>
            </w:pPr>
            <w:r>
              <w:rPr>
                <w:rFonts w:ascii="Arial" w:cs="Arial" w:eastAsia="Arial" w:hAnsi="Arial"/>
                <w:sz w:val="10"/>
                <w:szCs w:val="10"/>
                <w:color w:val="auto"/>
              </w:rPr>
              <w:t>1,237</w:t>
            </w:r>
          </w:p>
        </w:tc>
        <w:tc>
          <w:tcPr>
            <w:tcW w:w="680" w:type="dxa"/>
            <w:vAlign w:val="bottom"/>
          </w:tcPr>
          <w:p>
            <w:pPr>
              <w:spacing w:after="0"/>
              <w:rPr>
                <w:sz w:val="7"/>
                <w:szCs w:val="7"/>
                <w:color w:val="auto"/>
              </w:rPr>
            </w:pPr>
          </w:p>
        </w:tc>
        <w:tc>
          <w:tcPr>
            <w:tcW w:w="280" w:type="dxa"/>
            <w:vAlign w:val="bottom"/>
          </w:tcPr>
          <w:p>
            <w:pPr>
              <w:jc w:val="right"/>
              <w:ind w:right="169"/>
              <w:spacing w:after="0" w:line="91" w:lineRule="exact"/>
              <w:rPr>
                <w:sz w:val="20"/>
                <w:szCs w:val="20"/>
                <w:color w:val="auto"/>
              </w:rPr>
            </w:pPr>
            <w:r>
              <w:rPr>
                <w:rFonts w:ascii="Arial" w:cs="Arial" w:eastAsia="Arial" w:hAnsi="Arial"/>
                <w:sz w:val="10"/>
                <w:szCs w:val="10"/>
                <w:b w:val="1"/>
                <w:bCs w:val="1"/>
                <w:color w:val="auto"/>
                <w:w w:val="71"/>
              </w:rPr>
              <w:t>$</w:t>
            </w:r>
          </w:p>
        </w:tc>
        <w:tc>
          <w:tcPr>
            <w:tcW w:w="760" w:type="dxa"/>
            <w:vAlign w:val="bottom"/>
            <w:tcBorders>
              <w:right w:val="single" w:sz="8" w:color="0077C0"/>
            </w:tcBorders>
          </w:tcPr>
          <w:p>
            <w:pPr>
              <w:jc w:val="right"/>
              <w:ind w:right="290"/>
              <w:spacing w:after="0" w:line="91" w:lineRule="exact"/>
              <w:rPr>
                <w:sz w:val="20"/>
                <w:szCs w:val="20"/>
                <w:color w:val="auto"/>
              </w:rPr>
            </w:pPr>
            <w:r>
              <w:rPr>
                <w:rFonts w:ascii="Arial" w:cs="Arial" w:eastAsia="Arial" w:hAnsi="Arial"/>
                <w:sz w:val="10"/>
                <w:szCs w:val="10"/>
                <w:b w:val="1"/>
                <w:bCs w:val="1"/>
                <w:color w:val="auto"/>
              </w:rPr>
              <w:t>410</w:t>
            </w: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91" w:lineRule="exact"/>
              <w:rPr>
                <w:sz w:val="20"/>
                <w:szCs w:val="20"/>
                <w:color w:val="auto"/>
              </w:rPr>
            </w:pPr>
            <w:r>
              <w:rPr>
                <w:rFonts w:ascii="Arial" w:cs="Arial" w:eastAsia="Arial" w:hAnsi="Arial"/>
                <w:sz w:val="10"/>
                <w:szCs w:val="10"/>
                <w:color w:val="auto"/>
              </w:rPr>
              <w:t>490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Pr>
          <w:p>
            <w:pPr>
              <w:ind w:left="80"/>
              <w:spacing w:after="0"/>
              <w:rPr>
                <w:sz w:val="20"/>
                <w:szCs w:val="20"/>
                <w:color w:val="auto"/>
              </w:rPr>
            </w:pPr>
            <w:r>
              <w:rPr>
                <w:rFonts w:ascii="Arial" w:cs="Arial" w:eastAsia="Arial" w:hAnsi="Arial"/>
                <w:sz w:val="10"/>
                <w:szCs w:val="10"/>
                <w:color w:val="auto"/>
              </w:rPr>
              <w:t>Prior-service (credit) costs</w:t>
            </w: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b w:val="1"/>
                <w:bCs w:val="1"/>
                <w:color w:val="auto"/>
              </w:rPr>
              <w:t>(68)</w:t>
            </w:r>
          </w:p>
        </w:tc>
        <w:tc>
          <w:tcPr>
            <w:tcW w:w="580" w:type="dxa"/>
            <w:vAlign w:val="bottom"/>
          </w:tcPr>
          <w:p>
            <w:pPr>
              <w:spacing w:after="0"/>
              <w:rPr>
                <w:sz w:val="10"/>
                <w:szCs w:val="10"/>
                <w:color w:val="auto"/>
              </w:rPr>
            </w:pPr>
          </w:p>
        </w:tc>
        <w:tc>
          <w:tcPr>
            <w:tcW w:w="800" w:type="dxa"/>
            <w:vAlign w:val="bottom"/>
            <w:tcBorders>
              <w:right w:val="single" w:sz="8" w:color="0077C0"/>
            </w:tcBorders>
          </w:tcPr>
          <w:p>
            <w:pPr>
              <w:jc w:val="right"/>
              <w:ind w:right="310"/>
              <w:spacing w:after="0"/>
              <w:rPr>
                <w:sz w:val="20"/>
                <w:szCs w:val="20"/>
                <w:color w:val="auto"/>
              </w:rPr>
            </w:pPr>
            <w:r>
              <w:rPr>
                <w:rFonts w:ascii="Arial" w:cs="Arial" w:eastAsia="Arial" w:hAnsi="Arial"/>
                <w:sz w:val="10"/>
                <w:szCs w:val="10"/>
                <w:b w:val="1"/>
                <w:bCs w:val="1"/>
                <w:color w:val="auto"/>
              </w:rPr>
              <w:t>211</w:t>
            </w:r>
          </w:p>
        </w:tc>
        <w:tc>
          <w:tcPr>
            <w:tcW w:w="48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color w:val="auto"/>
              </w:rPr>
              <w:t>(75)</w:t>
            </w:r>
          </w:p>
        </w:tc>
        <w:tc>
          <w:tcPr>
            <w:tcW w:w="5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203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right w:val="single" w:sz="8" w:color="0077C0"/>
            </w:tcBorders>
          </w:tcPr>
          <w:p>
            <w:pPr>
              <w:jc w:val="right"/>
              <w:ind w:right="270"/>
              <w:spacing w:after="0"/>
              <w:rPr>
                <w:sz w:val="20"/>
                <w:szCs w:val="20"/>
                <w:color w:val="auto"/>
              </w:rPr>
            </w:pPr>
            <w:r>
              <w:rPr>
                <w:rFonts w:ascii="Arial" w:cs="Arial" w:eastAsia="Arial" w:hAnsi="Arial"/>
                <w:sz w:val="10"/>
                <w:szCs w:val="10"/>
                <w:b w:val="1"/>
                <w:bCs w:val="1"/>
                <w:color w:val="auto"/>
              </w:rPr>
              <w:t>(323)</w:t>
            </w:r>
          </w:p>
        </w:tc>
        <w:tc>
          <w:tcPr>
            <w:tcW w:w="30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(404)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recognized at December 31</w:t>
            </w:r>
          </w:p>
        </w:tc>
        <w:tc>
          <w:tcPr>
            <w:tcW w:w="1560" w:type="dxa"/>
            <w:vAlign w:val="bottom"/>
            <w:tcBorders>
              <w:top w:val="single" w:sz="8" w:color="0077C0"/>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3,729</w:t>
            </w:r>
          </w:p>
        </w:tc>
        <w:tc>
          <w:tcPr>
            <w:tcW w:w="58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bottom w:val="single" w:sz="8" w:color="0077C0"/>
              <w:right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2,015</w:t>
            </w: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0077C0"/>
              <w:bottom w:val="single" w:sz="8" w:color="0077C0"/>
            </w:tcBorders>
          </w:tcPr>
          <w:p>
            <w:pPr>
              <w:jc w:val="right"/>
              <w:ind w:right="330"/>
              <w:spacing w:after="0" w:line="105" w:lineRule="exact"/>
              <w:rPr>
                <w:sz w:val="20"/>
                <w:szCs w:val="20"/>
                <w:color w:val="auto"/>
              </w:rPr>
            </w:pPr>
            <w:r>
              <w:rPr>
                <w:rFonts w:ascii="Arial" w:cs="Arial" w:eastAsia="Arial" w:hAnsi="Arial"/>
                <w:sz w:val="10"/>
                <w:szCs w:val="10"/>
                <w:color w:val="auto"/>
              </w:rPr>
              <w:t>1,464</w:t>
            </w:r>
          </w:p>
        </w:tc>
        <w:tc>
          <w:tcPr>
            <w:tcW w:w="580" w:type="dxa"/>
            <w:vAlign w:val="bottom"/>
            <w:tcBorders>
              <w:top w:val="single" w:sz="8" w:color="0077C0"/>
              <w:bottom w:val="single" w:sz="8" w:color="0077C0"/>
            </w:tcBorders>
          </w:tcPr>
          <w:p>
            <w:pPr>
              <w:jc w:val="right"/>
              <w:ind w:right="15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1,440</w:t>
            </w:r>
          </w:p>
        </w:tc>
        <w:tc>
          <w:tcPr>
            <w:tcW w:w="680" w:type="dxa"/>
            <w:vAlign w:val="bottom"/>
            <w:tcBorders>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77C0"/>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87</w:t>
            </w: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accumulated benefit obligations for all U.S. and international pension plans were $7,376 and $3,273, respectively, at December 31, 2008, and $7,712 and $4,000, respectively, at December 31, 2007.</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Information for U.S. and international pension plans with an accumulated benefit obligation in excess of plan assets at December 31, 2008 and 2007, was: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0"/>
                <w:szCs w:val="10"/>
                <w:color w:val="auto"/>
              </w:rPr>
              <w:t>Pension Benefits</w:t>
            </w:r>
          </w:p>
        </w:tc>
      </w:tr>
      <w:tr>
        <w:trPr>
          <w:trHeight w:val="95"/>
        </w:trPr>
        <w:tc>
          <w:tcPr>
            <w:tcW w:w="3200" w:type="dxa"/>
            <w:vAlign w:val="bottom"/>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660" w:type="dxa"/>
            <w:vAlign w:val="bottom"/>
            <w:tcBorders>
              <w:top w:val="single" w:sz="8" w:color="0077C0"/>
              <w:bottom w:val="single" w:sz="8" w:color="0077C0"/>
            </w:tcBorders>
          </w:tcPr>
          <w:p>
            <w:pPr>
              <w:jc w:val="right"/>
              <w:ind w:right="110"/>
              <w:spacing w:after="0" w:line="95" w:lineRule="exact"/>
              <w:rPr>
                <w:sz w:val="20"/>
                <w:szCs w:val="20"/>
                <w:color w:val="auto"/>
              </w:rPr>
            </w:pPr>
            <w:r>
              <w:rPr>
                <w:rFonts w:ascii="Arial" w:cs="Arial" w:eastAsia="Arial" w:hAnsi="Arial"/>
                <w:sz w:val="10"/>
                <w:szCs w:val="10"/>
                <w:b w:val="1"/>
                <w:bCs w:val="1"/>
                <w:color w:val="auto"/>
              </w:rPr>
              <w:t>2008</w:t>
            </w:r>
          </w:p>
        </w:tc>
        <w:tc>
          <w:tcPr>
            <w:tcW w:w="60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0" w:type="dxa"/>
            <w:vAlign w:val="bottom"/>
          </w:tcPr>
          <w:p>
            <w:pPr>
              <w:spacing w:after="0"/>
              <w:rPr>
                <w:sz w:val="8"/>
                <w:szCs w:val="8"/>
                <w:color w:val="auto"/>
              </w:rPr>
            </w:pPr>
          </w:p>
        </w:tc>
      </w:tr>
      <w:tr>
        <w:trPr>
          <w:trHeight w:val="95"/>
        </w:trPr>
        <w:tc>
          <w:tcPr>
            <w:tcW w:w="320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130"/>
              <w:spacing w:after="0" w:line="95" w:lineRule="exact"/>
              <w:rPr>
                <w:sz w:val="20"/>
                <w:szCs w:val="20"/>
                <w:color w:val="auto"/>
              </w:rPr>
            </w:pPr>
            <w:r>
              <w:rPr>
                <w:rFonts w:ascii="Arial" w:cs="Arial" w:eastAsia="Arial" w:hAnsi="Arial"/>
                <w:sz w:val="10"/>
                <w:szCs w:val="10"/>
                <w:color w:val="auto"/>
              </w:rPr>
              <w:t>U.S.</w:t>
            </w:r>
          </w:p>
        </w:tc>
        <w:tc>
          <w:tcPr>
            <w:tcW w:w="660" w:type="dxa"/>
            <w:vAlign w:val="bottom"/>
            <w:tcBorders>
              <w:bottom w:val="single" w:sz="8" w:color="0077C0"/>
            </w:tcBorders>
          </w:tcPr>
          <w:p>
            <w:pPr>
              <w:jc w:val="right"/>
              <w:ind w:right="110"/>
              <w:spacing w:after="0" w:line="95" w:lineRule="exact"/>
              <w:rPr>
                <w:sz w:val="20"/>
                <w:szCs w:val="20"/>
                <w:color w:val="auto"/>
              </w:rPr>
            </w:pPr>
            <w:r>
              <w:rPr>
                <w:rFonts w:ascii="Arial" w:cs="Arial" w:eastAsia="Arial" w:hAnsi="Arial"/>
                <w:sz w:val="10"/>
                <w:szCs w:val="10"/>
                <w:color w:val="auto"/>
              </w:rPr>
              <w:t>Int’l.</w:t>
            </w:r>
          </w:p>
        </w:tc>
        <w:tc>
          <w:tcPr>
            <w:tcW w:w="600" w:type="dxa"/>
            <w:vAlign w:val="bottom"/>
            <w:tcBorders>
              <w:bottom w:val="single" w:sz="8" w:color="0077C0"/>
            </w:tcBorders>
          </w:tcPr>
          <w:p>
            <w:pPr>
              <w:jc w:val="right"/>
              <w:ind w:right="110"/>
              <w:spacing w:after="0" w:line="95" w:lineRule="exact"/>
              <w:rPr>
                <w:sz w:val="20"/>
                <w:szCs w:val="20"/>
                <w:color w:val="auto"/>
              </w:rPr>
            </w:pPr>
            <w:r>
              <w:rPr>
                <w:rFonts w:ascii="Arial" w:cs="Arial" w:eastAsia="Arial" w:hAnsi="Arial"/>
                <w:sz w:val="10"/>
                <w:szCs w:val="10"/>
                <w:color w:val="auto"/>
              </w:rPr>
              <w:t>U.S.</w:t>
            </w:r>
          </w:p>
        </w:tc>
        <w:tc>
          <w:tcPr>
            <w:tcW w:w="48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Int’l.</w:t>
            </w:r>
          </w:p>
        </w:tc>
        <w:tc>
          <w:tcPr>
            <w:tcW w:w="20" w:type="dxa"/>
            <w:vAlign w:val="bottom"/>
          </w:tcPr>
          <w:p>
            <w:pPr>
              <w:spacing w:after="0"/>
              <w:rPr>
                <w:sz w:val="8"/>
                <w:szCs w:val="8"/>
                <w:color w:val="auto"/>
              </w:rPr>
            </w:pPr>
          </w:p>
        </w:tc>
      </w:tr>
      <w:tr>
        <w:trPr>
          <w:trHeight w:val="90"/>
        </w:trPr>
        <w:tc>
          <w:tcPr>
            <w:tcW w:w="3200" w:type="dxa"/>
            <w:vAlign w:val="bottom"/>
          </w:tcPr>
          <w:p>
            <w:pPr>
              <w:ind w:left="100"/>
              <w:spacing w:after="0" w:line="91" w:lineRule="exact"/>
              <w:rPr>
                <w:sz w:val="20"/>
                <w:szCs w:val="20"/>
                <w:color w:val="auto"/>
              </w:rPr>
            </w:pPr>
            <w:r>
              <w:rPr>
                <w:rFonts w:ascii="Arial" w:cs="Arial" w:eastAsia="Arial" w:hAnsi="Arial"/>
                <w:sz w:val="10"/>
                <w:szCs w:val="10"/>
                <w:color w:val="auto"/>
              </w:rPr>
              <w:t>Projected benefit obligations</w:t>
            </w:r>
          </w:p>
        </w:tc>
        <w:tc>
          <w:tcPr>
            <w:tcW w:w="520" w:type="dxa"/>
            <w:vAlign w:val="bottom"/>
          </w:tcPr>
          <w:p>
            <w:pPr>
              <w:jc w:val="right"/>
              <w:ind w:right="130"/>
              <w:spacing w:after="0" w:line="91" w:lineRule="exact"/>
              <w:rPr>
                <w:sz w:val="20"/>
                <w:szCs w:val="20"/>
                <w:color w:val="auto"/>
              </w:rPr>
            </w:pPr>
            <w:r>
              <w:rPr>
                <w:rFonts w:ascii="Arial" w:cs="Arial" w:eastAsia="Arial" w:hAnsi="Arial"/>
                <w:sz w:val="10"/>
                <w:szCs w:val="10"/>
                <w:b w:val="1"/>
                <w:bCs w:val="1"/>
                <w:color w:val="auto"/>
                <w:w w:val="95"/>
              </w:rPr>
              <w:t>$ 8,121</w:t>
            </w:r>
          </w:p>
        </w:tc>
        <w:tc>
          <w:tcPr>
            <w:tcW w:w="66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$ 2,906</w:t>
            </w:r>
          </w:p>
        </w:tc>
        <w:tc>
          <w:tcPr>
            <w:tcW w:w="600" w:type="dxa"/>
            <w:vAlign w:val="bottom"/>
          </w:tcPr>
          <w:p>
            <w:pPr>
              <w:jc w:val="right"/>
              <w:ind w:right="110"/>
              <w:spacing w:after="0" w:line="91" w:lineRule="exact"/>
              <w:rPr>
                <w:sz w:val="20"/>
                <w:szCs w:val="20"/>
                <w:color w:val="auto"/>
              </w:rPr>
            </w:pPr>
            <w:r>
              <w:rPr>
                <w:rFonts w:ascii="Arial" w:cs="Arial" w:eastAsia="Arial" w:hAnsi="Arial"/>
                <w:sz w:val="10"/>
                <w:szCs w:val="10"/>
                <w:color w:val="auto"/>
              </w:rPr>
              <w:t>$   678</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$ 1,089</w:t>
            </w:r>
          </w:p>
        </w:tc>
        <w:tc>
          <w:tcPr>
            <w:tcW w:w="20" w:type="dxa"/>
            <w:vAlign w:val="bottom"/>
          </w:tcPr>
          <w:p>
            <w:pPr>
              <w:spacing w:after="0"/>
              <w:rPr>
                <w:sz w:val="7"/>
                <w:szCs w:val="7"/>
                <w:color w:val="auto"/>
              </w:rPr>
            </w:pPr>
          </w:p>
        </w:tc>
      </w:tr>
      <w:tr>
        <w:trPr>
          <w:trHeight w:val="106"/>
        </w:trPr>
        <w:tc>
          <w:tcPr>
            <w:tcW w:w="3200" w:type="dxa"/>
            <w:vAlign w:val="bottom"/>
          </w:tcPr>
          <w:p>
            <w:pPr>
              <w:ind w:left="100"/>
              <w:spacing w:after="0" w:line="106" w:lineRule="exact"/>
              <w:rPr>
                <w:sz w:val="20"/>
                <w:szCs w:val="20"/>
                <w:color w:val="auto"/>
              </w:rPr>
            </w:pPr>
            <w:r>
              <w:rPr>
                <w:rFonts w:ascii="Arial" w:cs="Arial" w:eastAsia="Arial" w:hAnsi="Arial"/>
                <w:sz w:val="10"/>
                <w:szCs w:val="10"/>
                <w:color w:val="auto"/>
              </w:rPr>
              <w:t>Accumulated benefit obligations</w:t>
            </w:r>
          </w:p>
        </w:tc>
        <w:tc>
          <w:tcPr>
            <w:tcW w:w="52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7,371</w:t>
            </w:r>
          </w:p>
        </w:tc>
        <w:tc>
          <w:tcPr>
            <w:tcW w:w="66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2,539</w:t>
            </w:r>
          </w:p>
        </w:tc>
        <w:tc>
          <w:tcPr>
            <w:tcW w:w="60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638</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926</w:t>
            </w:r>
          </w:p>
        </w:tc>
        <w:tc>
          <w:tcPr>
            <w:tcW w:w="20" w:type="dxa"/>
            <w:vAlign w:val="bottom"/>
          </w:tcPr>
          <w:p>
            <w:pPr>
              <w:spacing w:after="0"/>
              <w:rPr>
                <w:sz w:val="9"/>
                <w:szCs w:val="9"/>
                <w:color w:val="auto"/>
              </w:rPr>
            </w:pPr>
          </w:p>
        </w:tc>
      </w:tr>
      <w:tr>
        <w:trPr>
          <w:trHeight w:val="129"/>
        </w:trPr>
        <w:tc>
          <w:tcPr>
            <w:tcW w:w="320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rPr>
              <w:t>Fair value of plan assets</w:t>
            </w:r>
          </w:p>
        </w:tc>
        <w:tc>
          <w:tcPr>
            <w:tcW w:w="52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5,436</w:t>
            </w:r>
          </w:p>
        </w:tc>
        <w:tc>
          <w:tcPr>
            <w:tcW w:w="66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1,698</w:t>
            </w:r>
          </w:p>
        </w:tc>
        <w:tc>
          <w:tcPr>
            <w:tcW w:w="6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271</w:t>
            </w:r>
          </w:p>
        </w:tc>
        <w:tc>
          <w:tcPr>
            <w:tcW w:w="20" w:type="dxa"/>
            <w:vAlign w:val="bottom"/>
          </w:tcPr>
          <w:p>
            <w:pPr>
              <w:spacing w:after="0"/>
              <w:rPr>
                <w:sz w:val="11"/>
                <w:szCs w:val="1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00"/>
          </w:cols>
          <w:pgMar w:left="220" w:top="338" w:right="27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22 </w:t>
      </w:r>
      <w:r>
        <w:rPr>
          <w:rFonts w:ascii="Arial" w:cs="Arial" w:eastAsia="Arial" w:hAnsi="Arial"/>
          <w:sz w:val="8"/>
          <w:szCs w:val="8"/>
          <w:color w:val="000000"/>
        </w:rPr>
        <w:t>Employee Benefit Plans - Continued</w:t>
      </w:r>
    </w:p>
    <w:p>
      <w:pPr>
        <w:spacing w:after="0" w:line="327" w:lineRule="exact"/>
        <w:rPr>
          <w:sz w:val="20"/>
          <w:szCs w:val="20"/>
          <w:color w:val="auto"/>
        </w:rPr>
      </w:pPr>
    </w:p>
    <w:p>
      <w:pPr>
        <w:ind w:firstLine="158"/>
        <w:spacing w:after="0" w:line="267" w:lineRule="auto"/>
        <w:rPr>
          <w:sz w:val="20"/>
          <w:szCs w:val="20"/>
          <w:color w:val="auto"/>
        </w:rPr>
      </w:pPr>
      <w:r>
        <w:rPr>
          <w:rFonts w:ascii="Arial" w:cs="Arial" w:eastAsia="Arial" w:hAnsi="Arial"/>
          <w:sz w:val="13"/>
          <w:szCs w:val="13"/>
          <w:color w:val="auto"/>
        </w:rPr>
        <w:t>The components of net periodic benefit cost for 2008, 2007 and 2006 and amounts recognized in other comprehensive income for 2008 and 2007 are shown in the table below. For 2008 and 2007, changes in pension plan assets and benefit obligations were recognized as changes in other comprehensive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0"/>
                <w:szCs w:val="10"/>
                <w:color w:val="auto"/>
              </w:rPr>
              <w:t>Pension Benefits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gridSpan w:val="3"/>
            <w:vMerge w:val="restart"/>
          </w:tcPr>
          <w:p>
            <w:pPr>
              <w:ind w:left="200"/>
              <w:spacing w:after="0"/>
              <w:rPr>
                <w:sz w:val="20"/>
                <w:szCs w:val="20"/>
                <w:color w:val="auto"/>
              </w:rPr>
            </w:pPr>
            <w:r>
              <w:rPr>
                <w:rFonts w:ascii="Arial" w:cs="Arial" w:eastAsia="Arial" w:hAnsi="Arial"/>
                <w:sz w:val="10"/>
                <w:szCs w:val="10"/>
                <w:color w:val="auto"/>
                <w:w w:val="90"/>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209"/>
              <w:spacing w:after="0" w:line="95" w:lineRule="exact"/>
              <w:rPr>
                <w:sz w:val="20"/>
                <w:szCs w:val="20"/>
                <w:color w:val="auto"/>
              </w:rPr>
            </w:pPr>
            <w:r>
              <w:rPr>
                <w:rFonts w:ascii="Arial" w:cs="Arial" w:eastAsia="Arial" w:hAnsi="Arial"/>
                <w:sz w:val="10"/>
                <w:szCs w:val="10"/>
                <w:b w:val="1"/>
                <w:bCs w:val="1"/>
                <w:color w:val="auto"/>
              </w:rPr>
              <w:t>2008</w:t>
            </w:r>
          </w:p>
        </w:tc>
        <w:tc>
          <w:tcPr>
            <w:tcW w:w="3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209"/>
              <w:spacing w:after="0" w:line="95" w:lineRule="exact"/>
              <w:rPr>
                <w:sz w:val="20"/>
                <w:szCs w:val="20"/>
                <w:color w:val="auto"/>
              </w:rPr>
            </w:pPr>
            <w:r>
              <w:rPr>
                <w:rFonts w:ascii="Arial" w:cs="Arial" w:eastAsia="Arial" w:hAnsi="Arial"/>
                <w:sz w:val="10"/>
                <w:szCs w:val="10"/>
                <w:color w:val="auto"/>
              </w:rPr>
              <w:t>2007</w:t>
            </w:r>
          </w:p>
        </w:tc>
        <w:tc>
          <w:tcPr>
            <w:tcW w:w="4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0077C0"/>
            </w:tcBorders>
          </w:tcPr>
          <w:p>
            <w:pPr>
              <w:spacing w:after="0"/>
              <w:rPr>
                <w:sz w:val="8"/>
                <w:szCs w:val="8"/>
                <w:color w:val="auto"/>
              </w:rPr>
            </w:pPr>
          </w:p>
        </w:tc>
        <w:tc>
          <w:tcPr>
            <w:tcW w:w="200" w:type="dxa"/>
            <w:vAlign w:val="bottom"/>
            <w:tcBorders>
              <w:top w:val="single" w:sz="8" w:color="0077C0"/>
              <w:bottom w:val="single" w:sz="8" w:color="0077C0"/>
            </w:tcBorders>
          </w:tcPr>
          <w:p>
            <w:pPr>
              <w:spacing w:after="0"/>
              <w:rPr>
                <w:sz w:val="8"/>
                <w:szCs w:val="8"/>
                <w:color w:val="auto"/>
              </w:rPr>
            </w:pPr>
          </w:p>
        </w:tc>
        <w:tc>
          <w:tcPr>
            <w:tcW w:w="62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U.S.</w:t>
            </w:r>
          </w:p>
        </w:tc>
        <w:tc>
          <w:tcPr>
            <w:tcW w:w="440" w:type="dxa"/>
            <w:vAlign w:val="bottom"/>
            <w:tcBorders>
              <w:top w:val="single" w:sz="8" w:color="0077C0"/>
              <w:bottom w:val="single" w:sz="8" w:color="0077C0"/>
            </w:tcBorders>
          </w:tcPr>
          <w:p>
            <w:pPr>
              <w:spacing w:after="0"/>
              <w:rPr>
                <w:sz w:val="8"/>
                <w:szCs w:val="8"/>
                <w:color w:val="auto"/>
              </w:rPr>
            </w:pPr>
          </w:p>
        </w:tc>
        <w:tc>
          <w:tcPr>
            <w:tcW w:w="600" w:type="dxa"/>
            <w:vAlign w:val="bottom"/>
            <w:tcBorders>
              <w:top w:val="single" w:sz="8" w:color="0077C0"/>
              <w:bottom w:val="single" w:sz="8" w:color="0077C0"/>
            </w:tcBorders>
          </w:tcPr>
          <w:p>
            <w:pPr>
              <w:jc w:val="right"/>
              <w:ind w:right="209"/>
              <w:spacing w:after="0" w:line="95" w:lineRule="exact"/>
              <w:rPr>
                <w:sz w:val="20"/>
                <w:szCs w:val="20"/>
                <w:color w:val="auto"/>
              </w:rPr>
            </w:pPr>
            <w:r>
              <w:rPr>
                <w:rFonts w:ascii="Arial" w:cs="Arial" w:eastAsia="Arial" w:hAnsi="Arial"/>
                <w:sz w:val="10"/>
                <w:szCs w:val="10"/>
                <w:color w:val="auto"/>
              </w:rPr>
              <w:t>Int’l.</w:t>
            </w:r>
          </w:p>
        </w:tc>
        <w:tc>
          <w:tcPr>
            <w:tcW w:w="320" w:type="dxa"/>
            <w:vAlign w:val="bottom"/>
            <w:tcBorders>
              <w:top w:val="single" w:sz="8" w:color="0077C0"/>
              <w:bottom w:val="single" w:sz="8" w:color="0077C0"/>
            </w:tcBorders>
          </w:tcPr>
          <w:p>
            <w:pPr>
              <w:spacing w:after="0"/>
              <w:rPr>
                <w:sz w:val="8"/>
                <w:szCs w:val="8"/>
                <w:color w:val="auto"/>
              </w:rPr>
            </w:pPr>
          </w:p>
        </w:tc>
        <w:tc>
          <w:tcPr>
            <w:tcW w:w="6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U.S.</w:t>
            </w:r>
          </w:p>
        </w:tc>
        <w:tc>
          <w:tcPr>
            <w:tcW w:w="440" w:type="dxa"/>
            <w:vAlign w:val="bottom"/>
            <w:tcBorders>
              <w:top w:val="single" w:sz="8" w:color="0077C0"/>
              <w:bottom w:val="single" w:sz="8" w:color="0077C0"/>
            </w:tcBorders>
          </w:tcPr>
          <w:p>
            <w:pPr>
              <w:spacing w:after="0"/>
              <w:rPr>
                <w:sz w:val="8"/>
                <w:szCs w:val="8"/>
                <w:color w:val="auto"/>
              </w:rPr>
            </w:pPr>
          </w:p>
        </w:tc>
        <w:tc>
          <w:tcPr>
            <w:tcW w:w="6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Int’l.</w:t>
            </w:r>
          </w:p>
        </w:tc>
        <w:tc>
          <w:tcPr>
            <w:tcW w:w="440" w:type="dxa"/>
            <w:vAlign w:val="bottom"/>
            <w:tcBorders>
              <w:top w:val="single" w:sz="8" w:color="0077C0"/>
              <w:bottom w:val="single" w:sz="8" w:color="0077C0"/>
            </w:tcBorders>
          </w:tcPr>
          <w:p>
            <w:pPr>
              <w:spacing w:after="0"/>
              <w:rPr>
                <w:sz w:val="8"/>
                <w:szCs w:val="8"/>
                <w:color w:val="auto"/>
              </w:rPr>
            </w:pPr>
          </w:p>
        </w:tc>
        <w:tc>
          <w:tcPr>
            <w:tcW w:w="56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U.S.</w:t>
            </w:r>
          </w:p>
        </w:tc>
        <w:tc>
          <w:tcPr>
            <w:tcW w:w="460" w:type="dxa"/>
            <w:vAlign w:val="bottom"/>
            <w:tcBorders>
              <w:top w:val="single" w:sz="8" w:color="0077C0"/>
              <w:bottom w:val="single" w:sz="8" w:color="0077C0"/>
            </w:tcBorders>
          </w:tcPr>
          <w:p>
            <w:pPr>
              <w:spacing w:after="0"/>
              <w:rPr>
                <w:sz w:val="8"/>
                <w:szCs w:val="8"/>
                <w:color w:val="auto"/>
              </w:rPr>
            </w:pPr>
          </w:p>
        </w:tc>
        <w:tc>
          <w:tcPr>
            <w:tcW w:w="3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Int’l.</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top w:val="single" w:sz="8" w:color="0077C0"/>
              <w:bottom w:val="single" w:sz="8" w:color="0077C0"/>
            </w:tcBorders>
          </w:tcPr>
          <w:p>
            <w:pPr>
              <w:spacing w:after="0"/>
              <w:rPr>
                <w:sz w:val="8"/>
                <w:szCs w:val="8"/>
                <w:color w:val="auto"/>
              </w:rPr>
            </w:pPr>
          </w:p>
        </w:tc>
        <w:tc>
          <w:tcPr>
            <w:tcW w:w="6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b w:val="1"/>
                <w:bCs w:val="1"/>
                <w:color w:val="auto"/>
              </w:rPr>
              <w:t>2008</w:t>
            </w:r>
          </w:p>
        </w:tc>
        <w:tc>
          <w:tcPr>
            <w:tcW w:w="320" w:type="dxa"/>
            <w:vAlign w:val="bottom"/>
            <w:tcBorders>
              <w:top w:val="single" w:sz="8" w:color="0077C0"/>
              <w:bottom w:val="single" w:sz="8" w:color="0077C0"/>
            </w:tcBorders>
          </w:tcPr>
          <w:p>
            <w:pPr>
              <w:spacing w:after="0"/>
              <w:rPr>
                <w:sz w:val="8"/>
                <w:szCs w:val="8"/>
                <w:color w:val="auto"/>
              </w:rPr>
            </w:pPr>
          </w:p>
        </w:tc>
        <w:tc>
          <w:tcPr>
            <w:tcW w:w="6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2007</w:t>
            </w:r>
          </w:p>
        </w:tc>
        <w:tc>
          <w:tcPr>
            <w:tcW w:w="42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b w:val="1"/>
                <w:bCs w:val="1"/>
                <w:color w:val="0077C0"/>
              </w:rPr>
              <w:t>Net Periodic Benefit Cost</w:t>
            </w:r>
          </w:p>
        </w:tc>
        <w:tc>
          <w:tcPr>
            <w:tcW w:w="200" w:type="dxa"/>
            <w:vAlign w:val="bottom"/>
            <w:vMerge w:val="restart"/>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6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250</w:t>
            </w: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600" w:type="dxa"/>
            <w:vAlign w:val="bottom"/>
            <w:tcBorders>
              <w:right w:val="single" w:sz="8" w:color="0077C0"/>
            </w:tcBorders>
            <w:vMerge w:val="restart"/>
          </w:tcPr>
          <w:p>
            <w:pPr>
              <w:jc w:val="right"/>
              <w:ind w:right="209"/>
              <w:spacing w:after="0"/>
              <w:rPr>
                <w:sz w:val="20"/>
                <w:szCs w:val="20"/>
                <w:color w:val="auto"/>
              </w:rPr>
            </w:pPr>
            <w:r>
              <w:rPr>
                <w:rFonts w:ascii="Arial" w:cs="Arial" w:eastAsia="Arial" w:hAnsi="Arial"/>
                <w:sz w:val="10"/>
                <w:szCs w:val="10"/>
                <w:b w:val="1"/>
                <w:bCs w:val="1"/>
                <w:color w:val="auto"/>
              </w:rPr>
              <w:t>132</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t>
            </w:r>
          </w:p>
        </w:tc>
        <w:tc>
          <w:tcPr>
            <w:tcW w:w="600" w:type="dxa"/>
            <w:vAlign w:val="bottom"/>
            <w:tcBorders>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44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80"/>
              <w:spacing w:after="0" w:line="104" w:lineRule="exact"/>
              <w:rPr>
                <w:sz w:val="20"/>
                <w:szCs w:val="20"/>
                <w:color w:val="auto"/>
              </w:rPr>
            </w:pPr>
            <w:r>
              <w:rPr>
                <w:rFonts w:ascii="Arial" w:cs="Arial" w:eastAsia="Arial" w:hAnsi="Arial"/>
                <w:sz w:val="10"/>
                <w:szCs w:val="10"/>
                <w:color w:val="auto"/>
              </w:rPr>
              <w:t>Service cost</w:t>
            </w: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32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260</w:t>
            </w: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125</w:t>
            </w: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234</w:t>
            </w:r>
          </w:p>
        </w:tc>
        <w:tc>
          <w:tcPr>
            <w:tcW w:w="46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98</w:t>
            </w: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32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49</w:t>
            </w:r>
          </w:p>
        </w:tc>
        <w:tc>
          <w:tcPr>
            <w:tcW w:w="420" w:type="dxa"/>
            <w:vAlign w:val="bottom"/>
          </w:tcPr>
          <w:p>
            <w:pPr>
              <w:ind w:left="200"/>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Interest cost</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499</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292</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483</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255</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468</w:t>
            </w:r>
          </w:p>
        </w:tc>
        <w:tc>
          <w:tcPr>
            <w:tcW w:w="46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214</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178</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184</w:t>
            </w:r>
          </w:p>
        </w:tc>
        <w:tc>
          <w:tcPr>
            <w:tcW w:w="42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181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Expected return on plan assets</w:t>
            </w:r>
          </w:p>
        </w:tc>
        <w:tc>
          <w:tcPr>
            <w:tcW w:w="20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(593)</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(273)</w:t>
            </w:r>
          </w:p>
        </w:tc>
        <w:tc>
          <w:tcPr>
            <w:tcW w:w="32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(578)</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(266)</w:t>
            </w:r>
          </w:p>
        </w:tc>
        <w:tc>
          <w:tcPr>
            <w:tcW w:w="440" w:type="dxa"/>
            <w:vAlign w:val="bottom"/>
          </w:tcPr>
          <w:p>
            <w:pPr>
              <w:spacing w:after="0"/>
              <w:rPr>
                <w:sz w:val="9"/>
                <w:szCs w:val="9"/>
                <w:color w:val="auto"/>
              </w:rPr>
            </w:pPr>
          </w:p>
        </w:tc>
        <w:tc>
          <w:tcPr>
            <w:tcW w:w="5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(550)</w:t>
            </w:r>
          </w:p>
        </w:tc>
        <w:tc>
          <w:tcPr>
            <w:tcW w:w="460" w:type="dxa"/>
            <w:vAlign w:val="bottom"/>
          </w:tcPr>
          <w:p>
            <w:pPr>
              <w:spacing w:after="0"/>
              <w:rPr>
                <w:sz w:val="9"/>
                <w:szCs w:val="9"/>
                <w:color w:val="auto"/>
              </w:rPr>
            </w:pPr>
          </w:p>
        </w:tc>
        <w:tc>
          <w:tcPr>
            <w:tcW w:w="6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(227)</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Amortization of transitional assets</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Amortization of prior-service (credits) costs</w:t>
            </w:r>
          </w:p>
        </w:tc>
        <w:tc>
          <w:tcPr>
            <w:tcW w:w="20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(7)</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24</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46</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17</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46</w:t>
            </w:r>
          </w:p>
        </w:tc>
        <w:tc>
          <w:tcPr>
            <w:tcW w:w="46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14</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(81)</w:t>
            </w:r>
          </w:p>
        </w:tc>
        <w:tc>
          <w:tcPr>
            <w:tcW w:w="3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(81)</w:t>
            </w:r>
          </w:p>
        </w:tc>
        <w:tc>
          <w:tcPr>
            <w:tcW w:w="42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Recognized actuarial losses</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60</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77</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128</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82</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149</w:t>
            </w:r>
          </w:p>
        </w:tc>
        <w:tc>
          <w:tcPr>
            <w:tcW w:w="46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69</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38</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81</w:t>
            </w:r>
          </w:p>
        </w:tc>
        <w:tc>
          <w:tcPr>
            <w:tcW w:w="42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97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Settlement losses</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306</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2</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65</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w:t>
            </w:r>
          </w:p>
        </w:tc>
        <w:tc>
          <w:tcPr>
            <w:tcW w:w="46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Curtailment losses</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ind w:left="80"/>
              <w:spacing w:after="0"/>
              <w:rPr>
                <w:sz w:val="20"/>
                <w:szCs w:val="20"/>
                <w:color w:val="auto"/>
              </w:rPr>
            </w:pPr>
            <w:r>
              <w:rPr>
                <w:rFonts w:ascii="Arial" w:cs="Arial" w:eastAsia="Arial" w:hAnsi="Arial"/>
                <w:sz w:val="10"/>
                <w:szCs w:val="10"/>
                <w:color w:val="auto"/>
              </w:rPr>
              <w:t>Special termination benefit recognition</w:t>
            </w:r>
          </w:p>
        </w:tc>
        <w:tc>
          <w:tcPr>
            <w:tcW w:w="2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600" w:type="dxa"/>
            <w:vAlign w:val="bottom"/>
            <w:tcBorders>
              <w:right w:val="single" w:sz="8" w:color="0077C0"/>
            </w:tcBorders>
          </w:tcPr>
          <w:p>
            <w:pPr>
              <w:jc w:val="right"/>
              <w:ind w:right="209"/>
              <w:spacing w:after="0"/>
              <w:rPr>
                <w:sz w:val="20"/>
                <w:szCs w:val="20"/>
                <w:color w:val="auto"/>
              </w:rPr>
            </w:pPr>
            <w:r>
              <w:rPr>
                <w:rFonts w:ascii="Arial" w:cs="Arial" w:eastAsia="Arial" w:hAnsi="Arial"/>
                <w:sz w:val="10"/>
                <w:szCs w:val="10"/>
                <w:b w:val="1"/>
                <w:bCs w:val="1"/>
                <w:color w:val="auto"/>
              </w:rPr>
              <w:t>1</w:t>
            </w:r>
          </w:p>
        </w:tc>
        <w:tc>
          <w:tcPr>
            <w:tcW w:w="32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600" w:type="dxa"/>
            <w:vAlign w:val="bottom"/>
          </w:tcPr>
          <w:p>
            <w:pPr>
              <w:jc w:val="right"/>
              <w:ind w:right="209"/>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5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7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periodic benefit cost</w:t>
            </w:r>
          </w:p>
        </w:tc>
        <w:tc>
          <w:tcPr>
            <w:tcW w:w="20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515</w:t>
            </w:r>
          </w:p>
        </w:tc>
        <w:tc>
          <w:tcPr>
            <w:tcW w:w="44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right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255</w:t>
            </w:r>
          </w:p>
        </w:tc>
        <w:tc>
          <w:tcPr>
            <w:tcW w:w="3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404</w:t>
            </w:r>
          </w:p>
        </w:tc>
        <w:tc>
          <w:tcPr>
            <w:tcW w:w="44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216</w:t>
            </w:r>
          </w:p>
        </w:tc>
        <w:tc>
          <w:tcPr>
            <w:tcW w:w="440" w:type="dxa"/>
            <w:vAlign w:val="bottom"/>
            <w:tcBorders>
              <w:top w:val="single" w:sz="8" w:color="0077C0"/>
              <w:bottom w:val="single" w:sz="8" w:color="0077C0"/>
            </w:tcBorders>
          </w:tcPr>
          <w:p>
            <w:pPr>
              <w:spacing w:after="0"/>
              <w:rPr>
                <w:sz w:val="9"/>
                <w:szCs w:val="9"/>
                <w:color w:val="auto"/>
              </w:rPr>
            </w:pPr>
          </w:p>
        </w:tc>
        <w:tc>
          <w:tcPr>
            <w:tcW w:w="5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417</w:t>
            </w:r>
          </w:p>
        </w:tc>
        <w:tc>
          <w:tcPr>
            <w:tcW w:w="46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169</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right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179</w:t>
            </w:r>
          </w:p>
        </w:tc>
        <w:tc>
          <w:tcPr>
            <w:tcW w:w="3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233</w:t>
            </w:r>
          </w:p>
        </w:tc>
        <w:tc>
          <w:tcPr>
            <w:tcW w:w="42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760" w:type="dxa"/>
            <w:vAlign w:val="bottom"/>
            <w:gridSpan w:val="2"/>
          </w:tcPr>
          <w:p>
            <w:pPr>
              <w:spacing w:after="0" w:line="92" w:lineRule="exact"/>
              <w:rPr>
                <w:sz w:val="20"/>
                <w:szCs w:val="20"/>
                <w:color w:val="auto"/>
              </w:rPr>
            </w:pPr>
            <w:r>
              <w:rPr>
                <w:rFonts w:ascii="Arial" w:cs="Arial" w:eastAsia="Arial" w:hAnsi="Arial"/>
                <w:sz w:val="10"/>
                <w:szCs w:val="10"/>
                <w:b w:val="1"/>
                <w:bCs w:val="1"/>
                <w:color w:val="0077C0"/>
              </w:rPr>
              <w:t>Changes Recognized in Other Comprehensive Income</w:t>
            </w:r>
          </w:p>
        </w:tc>
        <w:tc>
          <w:tcPr>
            <w:tcW w:w="200" w:type="dxa"/>
            <w:vAlign w:val="bottom"/>
          </w:tcPr>
          <w:p>
            <w:pPr>
              <w:spacing w:after="0"/>
              <w:rPr>
                <w:sz w:val="8"/>
                <w:szCs w:val="8"/>
                <w:color w:val="auto"/>
              </w:rPr>
            </w:pPr>
          </w:p>
        </w:tc>
        <w:tc>
          <w:tcPr>
            <w:tcW w:w="6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2,624</w:t>
            </w:r>
          </w:p>
        </w:tc>
        <w:tc>
          <w:tcPr>
            <w:tcW w:w="440" w:type="dxa"/>
            <w:vAlign w:val="bottom"/>
          </w:tcPr>
          <w:p>
            <w:pPr>
              <w:spacing w:after="0"/>
              <w:rPr>
                <w:sz w:val="8"/>
                <w:szCs w:val="8"/>
                <w:color w:val="auto"/>
              </w:rPr>
            </w:pPr>
          </w:p>
        </w:tc>
        <w:tc>
          <w:tcPr>
            <w:tcW w:w="600" w:type="dxa"/>
            <w:vAlign w:val="bottom"/>
            <w:tcBorders>
              <w:right w:val="single" w:sz="8" w:color="0077C0"/>
            </w:tcBorders>
            <w:vMerge w:val="restart"/>
          </w:tcPr>
          <w:p>
            <w:pPr>
              <w:jc w:val="right"/>
              <w:ind w:right="209"/>
              <w:spacing w:after="0"/>
              <w:rPr>
                <w:sz w:val="20"/>
                <w:szCs w:val="20"/>
                <w:color w:val="auto"/>
              </w:rPr>
            </w:pPr>
            <w:r>
              <w:rPr>
                <w:rFonts w:ascii="Arial" w:cs="Arial" w:eastAsia="Arial" w:hAnsi="Arial"/>
                <w:sz w:val="10"/>
                <w:szCs w:val="10"/>
                <w:b w:val="1"/>
                <w:bCs w:val="1"/>
                <w:color w:val="auto"/>
              </w:rPr>
              <w:t>646</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right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(42)</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80"/>
              <w:spacing w:after="0" w:line="104" w:lineRule="exact"/>
              <w:rPr>
                <w:sz w:val="20"/>
                <w:szCs w:val="20"/>
                <w:color w:val="auto"/>
              </w:rPr>
            </w:pPr>
            <w:r>
              <w:rPr>
                <w:rFonts w:ascii="Arial" w:cs="Arial" w:eastAsia="Arial" w:hAnsi="Arial"/>
                <w:sz w:val="10"/>
                <w:szCs w:val="10"/>
                <w:color w:val="auto"/>
              </w:rPr>
              <w:t>Net actuarial loss (gain) during period</w:t>
            </w: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(160)</w:t>
            </w:r>
          </w:p>
        </w:tc>
        <w:tc>
          <w:tcPr>
            <w:tcW w:w="440" w:type="dxa"/>
            <w:vAlign w:val="bottom"/>
          </w:tcPr>
          <w:p>
            <w:pPr>
              <w:spacing w:after="0"/>
              <w:rPr>
                <w:sz w:val="9"/>
                <w:szCs w:val="9"/>
                <w:color w:val="auto"/>
              </w:rPr>
            </w:pPr>
          </w:p>
        </w:tc>
        <w:tc>
          <w:tcPr>
            <w:tcW w:w="60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31</w:t>
            </w:r>
          </w:p>
        </w:tc>
        <w:tc>
          <w:tcPr>
            <w:tcW w:w="440" w:type="dxa"/>
            <w:vAlign w:val="bottom"/>
          </w:tcPr>
          <w:p>
            <w:pPr>
              <w:spacing w:after="0"/>
              <w:rPr>
                <w:sz w:val="9"/>
                <w:szCs w:val="9"/>
                <w:color w:val="auto"/>
              </w:rPr>
            </w:pPr>
          </w:p>
        </w:tc>
        <w:tc>
          <w:tcPr>
            <w:tcW w:w="56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20" w:type="dxa"/>
            <w:vAlign w:val="bottom"/>
            <w:gridSpan w:val="2"/>
          </w:tcPr>
          <w:p>
            <w:pPr>
              <w:jc w:val="right"/>
              <w:ind w:right="260"/>
              <w:spacing w:after="0" w:line="10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(401)</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Amortization of actuarial loss</w:t>
            </w:r>
          </w:p>
        </w:tc>
        <w:tc>
          <w:tcPr>
            <w:tcW w:w="20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(366)</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(79)</w:t>
            </w:r>
          </w:p>
        </w:tc>
        <w:tc>
          <w:tcPr>
            <w:tcW w:w="32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(193)</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(82)</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(38)</w:t>
            </w:r>
          </w:p>
        </w:tc>
        <w:tc>
          <w:tcPr>
            <w:tcW w:w="3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(81)</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Prior service cost (credit) during period</w:t>
            </w: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209"/>
              <w:spacing w:after="0" w:line="106" w:lineRule="exact"/>
              <w:rPr>
                <w:sz w:val="20"/>
                <w:szCs w:val="20"/>
                <w:color w:val="auto"/>
              </w:rPr>
            </w:pPr>
            <w:r>
              <w:rPr>
                <w:rFonts w:ascii="Arial" w:cs="Arial" w:eastAsia="Arial" w:hAnsi="Arial"/>
                <w:sz w:val="10"/>
                <w:szCs w:val="10"/>
                <w:b w:val="1"/>
                <w:bCs w:val="1"/>
                <w:color w:val="auto"/>
              </w:rPr>
              <w:t>32</w:t>
            </w:r>
          </w:p>
        </w:tc>
        <w:tc>
          <w:tcPr>
            <w:tcW w:w="32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(301)</w:t>
            </w:r>
          </w:p>
        </w:tc>
        <w:tc>
          <w:tcPr>
            <w:tcW w:w="4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97</w:t>
            </w:r>
          </w:p>
        </w:tc>
        <w:tc>
          <w:tcPr>
            <w:tcW w:w="440" w:type="dxa"/>
            <w:vAlign w:val="bottom"/>
          </w:tcPr>
          <w:p>
            <w:pPr>
              <w:spacing w:after="0"/>
              <w:rPr>
                <w:sz w:val="9"/>
                <w:szCs w:val="9"/>
                <w:color w:val="auto"/>
              </w:rPr>
            </w:pPr>
          </w:p>
        </w:tc>
        <w:tc>
          <w:tcPr>
            <w:tcW w:w="5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ind w:left="80"/>
              <w:spacing w:after="0"/>
              <w:rPr>
                <w:sz w:val="20"/>
                <w:szCs w:val="20"/>
                <w:color w:val="auto"/>
              </w:rPr>
            </w:pPr>
            <w:r>
              <w:rPr>
                <w:rFonts w:ascii="Arial" w:cs="Arial" w:eastAsia="Arial" w:hAnsi="Arial"/>
                <w:sz w:val="10"/>
                <w:szCs w:val="10"/>
                <w:color w:val="auto"/>
              </w:rPr>
              <w:t>Amortization of prior-service credits (costs)</w:t>
            </w:r>
          </w:p>
        </w:tc>
        <w:tc>
          <w:tcPr>
            <w:tcW w:w="2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b w:val="1"/>
                <w:bCs w:val="1"/>
                <w:color w:val="auto"/>
              </w:rPr>
              <w:t>7</w:t>
            </w:r>
          </w:p>
        </w:tc>
        <w:tc>
          <w:tcPr>
            <w:tcW w:w="440" w:type="dxa"/>
            <w:vAlign w:val="bottom"/>
          </w:tcPr>
          <w:p>
            <w:pPr>
              <w:spacing w:after="0"/>
              <w:rPr>
                <w:sz w:val="10"/>
                <w:szCs w:val="10"/>
                <w:color w:val="auto"/>
              </w:rPr>
            </w:pPr>
          </w:p>
        </w:tc>
        <w:tc>
          <w:tcPr>
            <w:tcW w:w="60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(24)</w:t>
            </w:r>
          </w:p>
        </w:tc>
        <w:tc>
          <w:tcPr>
            <w:tcW w:w="320" w:type="dxa"/>
            <w:vAlign w:val="bottom"/>
          </w:tcPr>
          <w:p>
            <w:pPr>
              <w:spacing w:after="0"/>
              <w:rPr>
                <w:sz w:val="10"/>
                <w:szCs w:val="10"/>
                <w:color w:val="auto"/>
              </w:rPr>
            </w:pPr>
          </w:p>
        </w:tc>
        <w:tc>
          <w:tcPr>
            <w:tcW w:w="600" w:type="dxa"/>
            <w:vAlign w:val="bottom"/>
          </w:tcPr>
          <w:p>
            <w:pPr>
              <w:jc w:val="right"/>
              <w:ind w:right="169"/>
              <w:spacing w:after="0"/>
              <w:rPr>
                <w:sz w:val="20"/>
                <w:szCs w:val="20"/>
                <w:color w:val="auto"/>
              </w:rPr>
            </w:pPr>
            <w:r>
              <w:rPr>
                <w:rFonts w:ascii="Arial" w:cs="Arial" w:eastAsia="Arial" w:hAnsi="Arial"/>
                <w:sz w:val="10"/>
                <w:szCs w:val="10"/>
                <w:color w:val="auto"/>
              </w:rPr>
              <w:t>(46)</w:t>
            </w:r>
          </w:p>
        </w:tc>
        <w:tc>
          <w:tcPr>
            <w:tcW w:w="440" w:type="dxa"/>
            <w:vAlign w:val="bottom"/>
          </w:tcPr>
          <w:p>
            <w:pPr>
              <w:spacing w:after="0"/>
              <w:rPr>
                <w:sz w:val="10"/>
                <w:szCs w:val="10"/>
                <w:color w:val="auto"/>
              </w:rPr>
            </w:pPr>
          </w:p>
        </w:tc>
        <w:tc>
          <w:tcPr>
            <w:tcW w:w="600" w:type="dxa"/>
            <w:vAlign w:val="bottom"/>
          </w:tcPr>
          <w:p>
            <w:pPr>
              <w:jc w:val="right"/>
              <w:ind w:right="169"/>
              <w:spacing w:after="0"/>
              <w:rPr>
                <w:sz w:val="20"/>
                <w:szCs w:val="20"/>
                <w:color w:val="auto"/>
              </w:rPr>
            </w:pPr>
            <w:r>
              <w:rPr>
                <w:rFonts w:ascii="Arial" w:cs="Arial" w:eastAsia="Arial" w:hAnsi="Arial"/>
                <w:sz w:val="10"/>
                <w:szCs w:val="10"/>
                <w:color w:val="auto"/>
              </w:rPr>
              <w:t>(20)</w:t>
            </w:r>
          </w:p>
        </w:tc>
        <w:tc>
          <w:tcPr>
            <w:tcW w:w="440" w:type="dxa"/>
            <w:vAlign w:val="bottom"/>
          </w:tcPr>
          <w:p>
            <w:pPr>
              <w:spacing w:after="0"/>
              <w:rPr>
                <w:sz w:val="10"/>
                <w:szCs w:val="10"/>
                <w:color w:val="auto"/>
              </w:rPr>
            </w:pPr>
          </w:p>
        </w:tc>
        <w:tc>
          <w:tcPr>
            <w:tcW w:w="5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81</w:t>
            </w:r>
          </w:p>
        </w:tc>
        <w:tc>
          <w:tcPr>
            <w:tcW w:w="32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81</w:t>
            </w:r>
          </w:p>
        </w:tc>
        <w:tc>
          <w:tcPr>
            <w:tcW w:w="42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Total changes recognized in other comprehensive</w:t>
            </w:r>
          </w:p>
        </w:tc>
        <w:tc>
          <w:tcPr>
            <w:tcW w:w="20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2,265</w:t>
            </w: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right w:val="single" w:sz="8" w:color="0077C0"/>
            </w:tcBorders>
            <w:vMerge w:val="restart"/>
          </w:tcPr>
          <w:p>
            <w:pPr>
              <w:jc w:val="right"/>
              <w:ind w:right="209"/>
              <w:spacing w:after="0"/>
              <w:rPr>
                <w:sz w:val="20"/>
                <w:szCs w:val="20"/>
                <w:color w:val="auto"/>
              </w:rPr>
            </w:pPr>
            <w:r>
              <w:rPr>
                <w:rFonts w:ascii="Arial" w:cs="Arial" w:eastAsia="Arial" w:hAnsi="Arial"/>
                <w:sz w:val="10"/>
                <w:szCs w:val="10"/>
                <w:b w:val="1"/>
                <w:bCs w:val="1"/>
                <w:color w:val="auto"/>
              </w:rPr>
              <w:t>575</w:t>
            </w:r>
          </w:p>
        </w:tc>
        <w:tc>
          <w:tcPr>
            <w:tcW w:w="3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600" w:type="dxa"/>
            <w:vAlign w:val="bottom"/>
            <w:tcBorders>
              <w:top w:val="single" w:sz="8" w:color="0077C0"/>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1</w:t>
            </w:r>
          </w:p>
        </w:tc>
        <w:tc>
          <w:tcPr>
            <w:tcW w:w="3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ind w:left="160"/>
              <w:spacing w:after="0"/>
              <w:rPr>
                <w:sz w:val="20"/>
                <w:szCs w:val="20"/>
                <w:color w:val="auto"/>
              </w:rPr>
            </w:pPr>
            <w:r>
              <w:rPr>
                <w:rFonts w:ascii="Arial" w:cs="Arial" w:eastAsia="Arial" w:hAnsi="Arial"/>
                <w:sz w:val="10"/>
                <w:szCs w:val="10"/>
                <w:color w:val="auto"/>
              </w:rPr>
              <w:t>income</w:t>
            </w:r>
          </w:p>
        </w:tc>
        <w:tc>
          <w:tcPr>
            <w:tcW w:w="2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Borders>
              <w:right w:val="single" w:sz="8" w:color="0077C0"/>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169"/>
              <w:spacing w:after="0"/>
              <w:rPr>
                <w:sz w:val="20"/>
                <w:szCs w:val="20"/>
                <w:color w:val="auto"/>
              </w:rPr>
            </w:pPr>
            <w:r>
              <w:rPr>
                <w:rFonts w:ascii="Arial" w:cs="Arial" w:eastAsia="Arial" w:hAnsi="Arial"/>
                <w:sz w:val="10"/>
                <w:szCs w:val="10"/>
                <w:color w:val="auto"/>
              </w:rPr>
              <w:t>(700)</w:t>
            </w:r>
          </w:p>
        </w:tc>
        <w:tc>
          <w:tcPr>
            <w:tcW w:w="440" w:type="dxa"/>
            <w:vAlign w:val="bottom"/>
          </w:tcPr>
          <w:p>
            <w:pPr>
              <w:spacing w:after="0"/>
              <w:rPr>
                <w:sz w:val="10"/>
                <w:szCs w:val="10"/>
                <w:color w:val="auto"/>
              </w:rPr>
            </w:pPr>
          </w:p>
        </w:tc>
        <w:tc>
          <w:tcPr>
            <w:tcW w:w="600" w:type="dxa"/>
            <w:vAlign w:val="bottom"/>
          </w:tcPr>
          <w:p>
            <w:pPr>
              <w:jc w:val="right"/>
              <w:ind w:right="209"/>
              <w:spacing w:after="0"/>
              <w:rPr>
                <w:sz w:val="20"/>
                <w:szCs w:val="20"/>
                <w:color w:val="auto"/>
              </w:rPr>
            </w:pPr>
            <w:r>
              <w:rPr>
                <w:rFonts w:ascii="Arial" w:cs="Arial" w:eastAsia="Arial" w:hAnsi="Arial"/>
                <w:sz w:val="10"/>
                <w:szCs w:val="10"/>
                <w:color w:val="auto"/>
              </w:rPr>
              <w:t>26</w:t>
            </w:r>
          </w:p>
        </w:tc>
        <w:tc>
          <w:tcPr>
            <w:tcW w:w="440" w:type="dxa"/>
            <w:vAlign w:val="bottom"/>
          </w:tcPr>
          <w:p>
            <w:pPr>
              <w:spacing w:after="0"/>
              <w:rPr>
                <w:sz w:val="10"/>
                <w:szCs w:val="10"/>
                <w:color w:val="auto"/>
              </w:rPr>
            </w:pPr>
          </w:p>
        </w:tc>
        <w:tc>
          <w:tcPr>
            <w:tcW w:w="5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right w:val="single" w:sz="8" w:color="0077C0"/>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149"/>
              <w:spacing w:after="0"/>
              <w:rPr>
                <w:sz w:val="20"/>
                <w:szCs w:val="20"/>
                <w:color w:val="auto"/>
              </w:rPr>
            </w:pPr>
            <w:r>
              <w:rPr>
                <w:rFonts w:ascii="Arial" w:cs="Arial" w:eastAsia="Arial" w:hAnsi="Arial"/>
                <w:sz w:val="10"/>
                <w:szCs w:val="10"/>
                <w:color w:val="auto"/>
              </w:rPr>
              <w:t>(401)</w:t>
            </w:r>
          </w:p>
        </w:tc>
        <w:tc>
          <w:tcPr>
            <w:tcW w:w="42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40" w:type="dxa"/>
            <w:vAlign w:val="bottom"/>
            <w:tcBorders>
              <w:top w:val="single" w:sz="8" w:color="0077C0"/>
            </w:tcBorders>
          </w:tcPr>
          <w:p>
            <w:pPr>
              <w:spacing w:after="0" w:line="91" w:lineRule="exact"/>
              <w:rPr>
                <w:sz w:val="20"/>
                <w:szCs w:val="20"/>
                <w:color w:val="auto"/>
              </w:rPr>
            </w:pPr>
            <w:r>
              <w:rPr>
                <w:rFonts w:ascii="Arial" w:cs="Arial" w:eastAsia="Arial" w:hAnsi="Arial"/>
                <w:sz w:val="10"/>
                <w:szCs w:val="10"/>
                <w:b w:val="1"/>
                <w:bCs w:val="1"/>
                <w:color w:val="0077C0"/>
              </w:rPr>
              <w:t>Recognized in Net Periodic Benefit Cost and Other</w:t>
            </w:r>
          </w:p>
        </w:tc>
        <w:tc>
          <w:tcPr>
            <w:tcW w:w="2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600" w:type="dxa"/>
            <w:vAlign w:val="bottom"/>
            <w:tcBorders>
              <w:top w:val="single" w:sz="8" w:color="0077C0"/>
              <w:right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600" w:type="dxa"/>
            <w:vAlign w:val="bottom"/>
            <w:tcBorders>
              <w:top w:val="single" w:sz="8" w:color="0077C0"/>
              <w:right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0077C0"/>
              </w:rPr>
              <w:t>Comprehensive Income</w:t>
            </w:r>
          </w:p>
        </w:tc>
        <w:tc>
          <w:tcPr>
            <w:tcW w:w="200" w:type="dxa"/>
            <w:vAlign w:val="bottom"/>
            <w:tcBorders>
              <w:bottom w:val="single" w:sz="8" w:color="0077C0"/>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2,780</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right w:val="single" w:sz="8" w:color="0077C0"/>
            </w:tcBorders>
          </w:tcPr>
          <w:p>
            <w:pPr>
              <w:jc w:val="right"/>
              <w:ind w:right="209"/>
              <w:spacing w:after="0"/>
              <w:rPr>
                <w:sz w:val="20"/>
                <w:szCs w:val="20"/>
                <w:color w:val="auto"/>
              </w:rPr>
            </w:pPr>
            <w:r>
              <w:rPr>
                <w:rFonts w:ascii="Arial" w:cs="Arial" w:eastAsia="Arial" w:hAnsi="Arial"/>
                <w:sz w:val="10"/>
                <w:szCs w:val="10"/>
                <w:b w:val="1"/>
                <w:bCs w:val="1"/>
                <w:color w:val="auto"/>
              </w:rPr>
              <w:t>830</w:t>
            </w:r>
          </w:p>
        </w:tc>
        <w:tc>
          <w:tcPr>
            <w:tcW w:w="3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(296)</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color w:val="auto"/>
              </w:rPr>
              <w:t>242</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417</w:t>
            </w: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169</w:t>
            </w:r>
          </w:p>
        </w:tc>
        <w:tc>
          <w:tcPr>
            <w:tcW w:w="26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180</w:t>
            </w:r>
          </w:p>
        </w:tc>
        <w:tc>
          <w:tcPr>
            <w:tcW w:w="3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(168)</w:t>
            </w:r>
          </w:p>
        </w:tc>
        <w:tc>
          <w:tcPr>
            <w:tcW w:w="420" w:type="dxa"/>
            <w:vAlign w:val="bottom"/>
            <w:tcBorders>
              <w:bottom w:val="single" w:sz="8" w:color="0077C0"/>
            </w:tcBorders>
          </w:tcPr>
          <w:p>
            <w:pPr>
              <w:ind w:left="20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20" w:top="338" w:right="259" w:bottom="1440" w:gutter="0" w:footer="0" w:header="0"/>
        </w:sectPr>
      </w:pPr>
    </w:p>
    <w:p>
      <w:pPr>
        <w:spacing w:after="0" w:line="79" w:lineRule="exact"/>
        <w:rPr>
          <w:sz w:val="20"/>
          <w:szCs w:val="20"/>
          <w:color w:val="auto"/>
        </w:rPr>
      </w:pPr>
    </w:p>
    <w:p>
      <w:pPr>
        <w:ind w:firstLine="160"/>
        <w:spacing w:after="0" w:line="272" w:lineRule="auto"/>
        <w:rPr>
          <w:sz w:val="20"/>
          <w:szCs w:val="20"/>
          <w:color w:val="auto"/>
        </w:rPr>
      </w:pPr>
      <w:r>
        <w:rPr>
          <w:rFonts w:ascii="Arial" w:cs="Arial" w:eastAsia="Arial" w:hAnsi="Arial"/>
          <w:sz w:val="12"/>
          <w:szCs w:val="12"/>
          <w:color w:val="auto"/>
        </w:rPr>
        <w:t>Net actuarial losses recorded in “Accumulated other comprehensive loss” at December 31, 2008, for the company’s U.S. pension, international pension and OPEB plans are being amortized on a straight-line basis over approximately 10, 13 and 10 years, respectively. These amortization periods represent the estimated average remaining service of employees expected to receive benefits under the plans. These losses are amortized to the extent they exceed 10 percent of the higher of the projected benefit obligation or market-related value of plan assets. The amount subject to amortization is determined on a plan-by-plan basis. During 2009, the company estimates actuarial losses of $298, $103 and $28 will be amortized from “Accumulated other comprehensive loss” for U.S. pension, international pension and OPEB plans, respectively. In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500"/>
        <w:spacing w:after="0" w:line="359" w:lineRule="auto"/>
        <w:rPr>
          <w:sz w:val="20"/>
          <w:szCs w:val="20"/>
          <w:color w:val="auto"/>
        </w:rPr>
      </w:pPr>
      <w:r>
        <w:rPr>
          <w:rFonts w:ascii="Arial" w:cs="Arial" w:eastAsia="Arial" w:hAnsi="Arial"/>
          <w:sz w:val="11"/>
          <w:szCs w:val="11"/>
          <w:color w:val="auto"/>
        </w:rPr>
        <w:t>addition, the company estimates an additional $201 will be recognized from “Accumulated other comprehensive loss” during 2009 related to lump-sum settlement costs from U.S. pension plans.</w:t>
      </w:r>
    </w:p>
    <w:p>
      <w:pPr>
        <w:spacing w:after="0" w:line="64" w:lineRule="exact"/>
        <w:rPr>
          <w:sz w:val="20"/>
          <w:szCs w:val="20"/>
          <w:color w:val="auto"/>
        </w:rPr>
      </w:pPr>
    </w:p>
    <w:p>
      <w:pPr>
        <w:ind w:right="20" w:firstLine="158"/>
        <w:spacing w:after="0" w:line="250" w:lineRule="auto"/>
        <w:rPr>
          <w:sz w:val="20"/>
          <w:szCs w:val="20"/>
          <w:color w:val="auto"/>
        </w:rPr>
      </w:pPr>
      <w:r>
        <w:rPr>
          <w:rFonts w:ascii="Arial" w:cs="Arial" w:eastAsia="Arial" w:hAnsi="Arial"/>
          <w:sz w:val="13"/>
          <w:szCs w:val="13"/>
          <w:color w:val="auto"/>
        </w:rPr>
        <w:t>The weighted average amortization period for recognizing prior service costs (credits) recorded in “Accumulated other comprehensive loss” at December 31, 2008, was approximately nine and 13 years for U.S. and international pension plans, respectively, and eight years for other postretirement benefit plans. During 2009, the company estimates prior service (credits) costs of $(7), $25 and $(81) will be amortized from “Accumulated other comprehensive loss” for U.S. pension, international pension and OPEB plans, respectively.</w:t>
      </w:r>
    </w:p>
    <w:p>
      <w:pPr>
        <w:spacing w:after="0" w:line="231" w:lineRule="exact"/>
        <w:rPr>
          <w:sz w:val="20"/>
          <w:szCs w:val="20"/>
          <w:color w:val="auto"/>
        </w:rPr>
      </w:pPr>
    </w:p>
    <w:p>
      <w:pPr>
        <w:sectPr>
          <w:pgSz w:w="11900" w:h="16838" w:orient="portrait"/>
          <w:cols w:equalWidth="0" w:num="2">
            <w:col w:w="5500" w:space="460"/>
            <w:col w:w="5460"/>
          </w:cols>
          <w:pgMar w:left="220" w:top="338" w:right="259" w:bottom="1440" w:gutter="0" w:footer="0" w:header="0"/>
          <w:type w:val="continuous"/>
        </w:sectPr>
      </w:pP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type w:val="continuous"/>
        </w:sectPr>
      </w:pPr>
    </w:p>
    <w:bookmarkStart w:id="94" w:name="page95"/>
    <w:bookmarkEnd w:id="94"/>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85990" cy="6527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83"/>
        <w:spacing w:after="0"/>
        <w:rPr>
          <w:sz w:val="20"/>
          <w:szCs w:val="20"/>
          <w:color w:val="auto"/>
        </w:rPr>
      </w:pPr>
      <w:r>
        <w:rPr>
          <w:rFonts w:ascii="Arial" w:cs="Arial" w:eastAsia="Arial" w:hAnsi="Arial"/>
          <w:sz w:val="12"/>
          <w:szCs w:val="12"/>
          <w:color w:val="0077C0"/>
        </w:rPr>
        <w:t>Notes to the Consolidated Financial Statements</w:t>
      </w:r>
    </w:p>
    <w:p>
      <w:pPr>
        <w:ind w:left="3483"/>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3"/>
        <w:spacing w:after="0"/>
        <w:rPr>
          <w:sz w:val="20"/>
          <w:szCs w:val="20"/>
          <w:color w:val="auto"/>
        </w:rPr>
      </w:pPr>
      <w:r>
        <w:rPr>
          <w:rFonts w:ascii="Arial" w:cs="Arial" w:eastAsia="Arial" w:hAnsi="Arial"/>
          <w:sz w:val="10"/>
          <w:szCs w:val="10"/>
          <w:b w:val="1"/>
          <w:bCs w:val="1"/>
          <w:color w:val="0077C0"/>
        </w:rPr>
        <w:t xml:space="preserve">Note 22 </w:t>
      </w:r>
      <w:r>
        <w:rPr>
          <w:rFonts w:ascii="Arial" w:cs="Arial" w:eastAsia="Arial" w:hAnsi="Arial"/>
          <w:sz w:val="8"/>
          <w:szCs w:val="8"/>
          <w:color w:val="000000"/>
        </w:rPr>
        <w:t>Employee Benefit Plans - Continued</w:t>
      </w:r>
    </w:p>
    <w:p>
      <w:pPr>
        <w:spacing w:after="0" w:line="200" w:lineRule="exact"/>
        <w:rPr>
          <w:sz w:val="20"/>
          <w:szCs w:val="20"/>
          <w:color w:val="auto"/>
        </w:rPr>
      </w:pPr>
    </w:p>
    <w:p>
      <w:pPr>
        <w:spacing w:after="0" w:line="261"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E51837"/>
        </w:rPr>
        <w:t xml:space="preserve">Assumptions </w:t>
      </w:r>
      <w:r>
        <w:rPr>
          <w:rFonts w:ascii="Arial" w:cs="Arial" w:eastAsia="Arial" w:hAnsi="Arial"/>
          <w:sz w:val="13"/>
          <w:szCs w:val="13"/>
          <w:color w:val="000000"/>
        </w:rPr>
        <w:t>The following weighted-average assumptions were used to determine benefit obligations and net periodic benefit costs for years ended December 31:</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0"/>
                <w:szCs w:val="10"/>
                <w:color w:val="auto"/>
              </w:rPr>
              <w:t>Pension Benefits</w:t>
            </w: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jc w:val="right"/>
              <w:ind w:right="210"/>
              <w:spacing w:after="0" w:line="95" w:lineRule="exact"/>
              <w:rPr>
                <w:sz w:val="20"/>
                <w:szCs w:val="20"/>
                <w:color w:val="auto"/>
              </w:rPr>
            </w:pPr>
            <w:r>
              <w:rPr>
                <w:rFonts w:ascii="Arial" w:cs="Arial" w:eastAsia="Arial" w:hAnsi="Arial"/>
                <w:sz w:val="10"/>
                <w:szCs w:val="10"/>
                <w:b w:val="1"/>
                <w:bCs w:val="1"/>
                <w:color w:val="auto"/>
              </w:rPr>
              <w:t>2008</w:t>
            </w:r>
          </w:p>
        </w:tc>
        <w:tc>
          <w:tcPr>
            <w:tcW w:w="1140" w:type="dxa"/>
            <w:vAlign w:val="bottom"/>
            <w:tcBorders>
              <w:top w:val="single" w:sz="8" w:color="0077C0"/>
            </w:tcBorders>
          </w:tcPr>
          <w:p>
            <w:pPr>
              <w:spacing w:after="0"/>
              <w:rPr>
                <w:sz w:val="8"/>
                <w:szCs w:val="8"/>
                <w:color w:val="auto"/>
              </w:rPr>
            </w:pPr>
          </w:p>
        </w:tc>
        <w:tc>
          <w:tcPr>
            <w:tcW w:w="1040" w:type="dxa"/>
            <w:vAlign w:val="bottom"/>
            <w:tcBorders>
              <w:top w:val="single" w:sz="8" w:color="0077C0"/>
            </w:tcBorders>
          </w:tcPr>
          <w:p>
            <w:pPr>
              <w:jc w:val="right"/>
              <w:ind w:right="430"/>
              <w:spacing w:after="0" w:line="95" w:lineRule="exact"/>
              <w:rPr>
                <w:sz w:val="20"/>
                <w:szCs w:val="20"/>
                <w:color w:val="auto"/>
              </w:rPr>
            </w:pPr>
            <w:r>
              <w:rPr>
                <w:rFonts w:ascii="Arial" w:cs="Arial" w:eastAsia="Arial" w:hAnsi="Arial"/>
                <w:sz w:val="10"/>
                <w:szCs w:val="10"/>
                <w:color w:val="auto"/>
              </w:rPr>
              <w:t>2007</w:t>
            </w:r>
          </w:p>
        </w:tc>
        <w:tc>
          <w:tcPr>
            <w:tcW w:w="80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0077C0"/>
            </w:tcBorders>
          </w:tcPr>
          <w:p>
            <w:pPr>
              <w:spacing w:after="0"/>
              <w:rPr>
                <w:sz w:val="8"/>
                <w:szCs w:val="8"/>
                <w:color w:val="auto"/>
              </w:rPr>
            </w:pPr>
          </w:p>
        </w:tc>
        <w:tc>
          <w:tcPr>
            <w:tcW w:w="1040" w:type="dxa"/>
            <w:vAlign w:val="bottom"/>
            <w:tcBorders>
              <w:top w:val="single" w:sz="8" w:color="0077C0"/>
              <w:bottom w:val="single" w:sz="8" w:color="0077C0"/>
            </w:tcBorders>
          </w:tcPr>
          <w:p>
            <w:pPr>
              <w:jc w:val="right"/>
              <w:ind w:right="409"/>
              <w:spacing w:after="0" w:line="95" w:lineRule="exact"/>
              <w:rPr>
                <w:sz w:val="20"/>
                <w:szCs w:val="20"/>
                <w:color w:val="auto"/>
              </w:rPr>
            </w:pPr>
            <w:r>
              <w:rPr>
                <w:rFonts w:ascii="Arial" w:cs="Arial" w:eastAsia="Arial" w:hAnsi="Arial"/>
                <w:sz w:val="10"/>
                <w:szCs w:val="10"/>
                <w:color w:val="auto"/>
              </w:rPr>
              <w:t>U.S.</w:t>
            </w:r>
          </w:p>
        </w:tc>
        <w:tc>
          <w:tcPr>
            <w:tcW w:w="820" w:type="dxa"/>
            <w:vAlign w:val="bottom"/>
            <w:tcBorders>
              <w:top w:val="single" w:sz="8" w:color="0077C0"/>
              <w:bottom w:val="single" w:sz="8" w:color="0077C0"/>
            </w:tcBorders>
          </w:tcPr>
          <w:p>
            <w:pPr>
              <w:jc w:val="right"/>
              <w:ind w:right="210"/>
              <w:spacing w:after="0" w:line="95" w:lineRule="exact"/>
              <w:rPr>
                <w:sz w:val="20"/>
                <w:szCs w:val="20"/>
                <w:color w:val="auto"/>
              </w:rPr>
            </w:pPr>
            <w:r>
              <w:rPr>
                <w:rFonts w:ascii="Arial" w:cs="Arial" w:eastAsia="Arial" w:hAnsi="Arial"/>
                <w:sz w:val="10"/>
                <w:szCs w:val="10"/>
                <w:color w:val="auto"/>
              </w:rPr>
              <w:t>Int’l.</w:t>
            </w:r>
          </w:p>
        </w:tc>
        <w:tc>
          <w:tcPr>
            <w:tcW w:w="1140" w:type="dxa"/>
            <w:vAlign w:val="bottom"/>
            <w:tcBorders>
              <w:top w:val="single" w:sz="8" w:color="0077C0"/>
              <w:bottom w:val="single" w:sz="8" w:color="0077C0"/>
            </w:tcBorders>
          </w:tcPr>
          <w:p>
            <w:pPr>
              <w:jc w:val="right"/>
              <w:ind w:right="409"/>
              <w:spacing w:after="0" w:line="95" w:lineRule="exact"/>
              <w:rPr>
                <w:sz w:val="20"/>
                <w:szCs w:val="20"/>
                <w:color w:val="auto"/>
              </w:rPr>
            </w:pPr>
            <w:r>
              <w:rPr>
                <w:rFonts w:ascii="Arial" w:cs="Arial" w:eastAsia="Arial" w:hAnsi="Arial"/>
                <w:sz w:val="10"/>
                <w:szCs w:val="10"/>
                <w:color w:val="auto"/>
              </w:rPr>
              <w:t>U.S.</w:t>
            </w:r>
          </w:p>
        </w:tc>
        <w:tc>
          <w:tcPr>
            <w:tcW w:w="1040" w:type="dxa"/>
            <w:vAlign w:val="bottom"/>
            <w:tcBorders>
              <w:top w:val="single" w:sz="8" w:color="0077C0"/>
              <w:bottom w:val="single" w:sz="8" w:color="0077C0"/>
            </w:tcBorders>
          </w:tcPr>
          <w:p>
            <w:pPr>
              <w:jc w:val="right"/>
              <w:ind w:right="410"/>
              <w:spacing w:after="0" w:line="95" w:lineRule="exact"/>
              <w:rPr>
                <w:sz w:val="20"/>
                <w:szCs w:val="20"/>
                <w:color w:val="auto"/>
              </w:rPr>
            </w:pPr>
            <w:r>
              <w:rPr>
                <w:rFonts w:ascii="Arial" w:cs="Arial" w:eastAsia="Arial" w:hAnsi="Arial"/>
                <w:sz w:val="10"/>
                <w:szCs w:val="10"/>
                <w:color w:val="auto"/>
              </w:rPr>
              <w:t>Int’l.</w:t>
            </w:r>
          </w:p>
        </w:tc>
        <w:tc>
          <w:tcPr>
            <w:tcW w:w="80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U.S.</w:t>
            </w:r>
          </w:p>
        </w:tc>
        <w:tc>
          <w:tcPr>
            <w:tcW w:w="80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Int’l.</w:t>
            </w:r>
          </w:p>
        </w:tc>
        <w:tc>
          <w:tcPr>
            <w:tcW w:w="460" w:type="dxa"/>
            <w:vAlign w:val="bottom"/>
          </w:tcPr>
          <w:p>
            <w:pPr>
              <w:spacing w:after="0"/>
              <w:rPr>
                <w:sz w:val="8"/>
                <w:szCs w:val="8"/>
                <w:color w:val="auto"/>
              </w:rPr>
            </w:pPr>
          </w:p>
        </w:tc>
        <w:tc>
          <w:tcPr>
            <w:tcW w:w="820" w:type="dxa"/>
            <w:vAlign w:val="bottom"/>
            <w:tcBorders>
              <w:top w:val="single" w:sz="8" w:color="0077C0"/>
              <w:bottom w:val="single" w:sz="8" w:color="0077C0"/>
            </w:tcBorders>
          </w:tcPr>
          <w:p>
            <w:pPr>
              <w:jc w:val="right"/>
              <w:ind w:right="189"/>
              <w:spacing w:after="0" w:line="95" w:lineRule="exact"/>
              <w:rPr>
                <w:sz w:val="20"/>
                <w:szCs w:val="20"/>
                <w:color w:val="auto"/>
              </w:rPr>
            </w:pPr>
            <w:r>
              <w:rPr>
                <w:rFonts w:ascii="Arial" w:cs="Arial" w:eastAsia="Arial" w:hAnsi="Arial"/>
                <w:sz w:val="10"/>
                <w:szCs w:val="10"/>
                <w:b w:val="1"/>
                <w:bCs w:val="1"/>
                <w:color w:val="auto"/>
              </w:rPr>
              <w:t>2008</w:t>
            </w:r>
          </w:p>
        </w:tc>
        <w:tc>
          <w:tcPr>
            <w:tcW w:w="940" w:type="dxa"/>
            <w:vAlign w:val="bottom"/>
            <w:tcBorders>
              <w:top w:val="single" w:sz="8" w:color="0077C0"/>
              <w:bottom w:val="single" w:sz="8" w:color="0077C0"/>
            </w:tcBorders>
          </w:tcPr>
          <w:p>
            <w:pPr>
              <w:jc w:val="right"/>
              <w:ind w:right="209"/>
              <w:spacing w:after="0" w:line="95" w:lineRule="exact"/>
              <w:rPr>
                <w:sz w:val="20"/>
                <w:szCs w:val="20"/>
                <w:color w:val="auto"/>
              </w:rPr>
            </w:pPr>
            <w:r>
              <w:rPr>
                <w:rFonts w:ascii="Arial" w:cs="Arial" w:eastAsia="Arial" w:hAnsi="Arial"/>
                <w:sz w:val="10"/>
                <w:szCs w:val="10"/>
                <w:color w:val="auto"/>
              </w:rPr>
              <w:t>2007</w:t>
            </w:r>
          </w:p>
        </w:tc>
        <w:tc>
          <w:tcPr>
            <w:tcW w:w="74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color w:val="auto"/>
              </w:rPr>
              <w:t>Assumptions used to determine benefit obligations</w:t>
            </w:r>
          </w:p>
        </w:tc>
        <w:tc>
          <w:tcPr>
            <w:tcW w:w="104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6.3%</w:t>
            </w:r>
          </w:p>
        </w:tc>
        <w:tc>
          <w:tcPr>
            <w:tcW w:w="820" w:type="dxa"/>
            <w:vAlign w:val="bottom"/>
            <w:tcBorders>
              <w:right w:val="single" w:sz="8" w:color="0077C0"/>
            </w:tcBorders>
            <w:vMerge w:val="restart"/>
          </w:tcPr>
          <w:p>
            <w:pPr>
              <w:jc w:val="right"/>
              <w:ind w:right="90"/>
              <w:spacing w:after="0"/>
              <w:rPr>
                <w:sz w:val="20"/>
                <w:szCs w:val="20"/>
                <w:color w:val="auto"/>
              </w:rPr>
            </w:pPr>
            <w:r>
              <w:rPr>
                <w:rFonts w:ascii="Arial" w:cs="Arial" w:eastAsia="Arial" w:hAnsi="Arial"/>
                <w:sz w:val="10"/>
                <w:szCs w:val="10"/>
                <w:b w:val="1"/>
                <w:bCs w:val="1"/>
                <w:color w:val="auto"/>
              </w:rPr>
              <w:t>7.5%</w:t>
            </w: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6.3%</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80"/>
              <w:spacing w:after="0" w:line="104" w:lineRule="exact"/>
              <w:rPr>
                <w:sz w:val="20"/>
                <w:szCs w:val="20"/>
                <w:color w:val="auto"/>
              </w:rPr>
            </w:pPr>
            <w:r>
              <w:rPr>
                <w:rFonts w:ascii="Arial" w:cs="Arial" w:eastAsia="Arial" w:hAnsi="Arial"/>
                <w:sz w:val="10"/>
                <w:szCs w:val="10"/>
                <w:color w:val="auto"/>
              </w:rPr>
              <w:t>Discount rate</w:t>
            </w:r>
          </w:p>
        </w:tc>
        <w:tc>
          <w:tcPr>
            <w:tcW w:w="1040" w:type="dxa"/>
            <w:vAlign w:val="bottom"/>
            <w:vMerge w:val="continue"/>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114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6.3%</w:t>
            </w:r>
          </w:p>
        </w:tc>
        <w:tc>
          <w:tcPr>
            <w:tcW w:w="1040" w:type="dxa"/>
            <w:vAlign w:val="bottom"/>
          </w:tcPr>
          <w:p>
            <w:pPr>
              <w:jc w:val="right"/>
              <w:ind w:right="330"/>
              <w:spacing w:after="0" w:line="104" w:lineRule="exact"/>
              <w:rPr>
                <w:sz w:val="20"/>
                <w:szCs w:val="20"/>
                <w:color w:val="auto"/>
              </w:rPr>
            </w:pPr>
            <w:r>
              <w:rPr>
                <w:rFonts w:ascii="Arial" w:cs="Arial" w:eastAsia="Arial" w:hAnsi="Arial"/>
                <w:sz w:val="10"/>
                <w:szCs w:val="10"/>
                <w:color w:val="auto"/>
              </w:rPr>
              <w:t>6.7%</w:t>
            </w:r>
          </w:p>
        </w:tc>
        <w:tc>
          <w:tcPr>
            <w:tcW w:w="800" w:type="dxa"/>
            <w:vAlign w:val="bottom"/>
          </w:tcPr>
          <w:p>
            <w:pPr>
              <w:jc w:val="right"/>
              <w:ind w:right="89"/>
              <w:spacing w:after="0" w:line="104" w:lineRule="exact"/>
              <w:rPr>
                <w:sz w:val="20"/>
                <w:szCs w:val="20"/>
                <w:color w:val="auto"/>
              </w:rPr>
            </w:pPr>
            <w:r>
              <w:rPr>
                <w:rFonts w:ascii="Arial" w:cs="Arial" w:eastAsia="Arial" w:hAnsi="Arial"/>
                <w:sz w:val="10"/>
                <w:szCs w:val="10"/>
                <w:color w:val="auto"/>
              </w:rPr>
              <w:t>5.8%</w:t>
            </w:r>
          </w:p>
        </w:tc>
        <w:tc>
          <w:tcPr>
            <w:tcW w:w="1260" w:type="dxa"/>
            <w:vAlign w:val="bottom"/>
            <w:gridSpan w:val="2"/>
          </w:tcPr>
          <w:p>
            <w:pPr>
              <w:jc w:val="right"/>
              <w:ind w:right="360"/>
              <w:spacing w:after="0" w:line="104" w:lineRule="exact"/>
              <w:rPr>
                <w:sz w:val="20"/>
                <w:szCs w:val="20"/>
                <w:color w:val="auto"/>
              </w:rPr>
            </w:pPr>
            <w:r>
              <w:rPr>
                <w:rFonts w:ascii="Arial" w:cs="Arial" w:eastAsia="Arial" w:hAnsi="Arial"/>
                <w:sz w:val="10"/>
                <w:szCs w:val="10"/>
                <w:color w:val="auto"/>
              </w:rPr>
              <w:t>6.0%</w:t>
            </w:r>
          </w:p>
        </w:tc>
        <w:tc>
          <w:tcPr>
            <w:tcW w:w="820" w:type="dxa"/>
            <w:vAlign w:val="bottom"/>
            <w:tcBorders>
              <w:right w:val="single" w:sz="8" w:color="0077C0"/>
            </w:tcBorders>
            <w:vMerge w:val="continue"/>
          </w:tcPr>
          <w:p>
            <w:pPr>
              <w:spacing w:after="0"/>
              <w:rPr>
                <w:sz w:val="9"/>
                <w:szCs w:val="9"/>
                <w:color w:val="auto"/>
              </w:rPr>
            </w:pPr>
          </w:p>
        </w:tc>
        <w:tc>
          <w:tcPr>
            <w:tcW w:w="9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6.3%</w:t>
            </w:r>
          </w:p>
        </w:tc>
        <w:tc>
          <w:tcPr>
            <w:tcW w:w="84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Pr>
          <w:p>
            <w:pPr>
              <w:ind w:left="80"/>
              <w:spacing w:after="0" w:line="108" w:lineRule="exact"/>
              <w:rPr>
                <w:sz w:val="20"/>
                <w:szCs w:val="20"/>
                <w:color w:val="auto"/>
              </w:rPr>
            </w:pPr>
            <w:r>
              <w:rPr>
                <w:rFonts w:ascii="Arial" w:cs="Arial" w:eastAsia="Arial" w:hAnsi="Arial"/>
                <w:sz w:val="10"/>
                <w:szCs w:val="10"/>
                <w:color w:val="auto"/>
              </w:rPr>
              <w:t>Rate of compensation increase</w:t>
            </w:r>
          </w:p>
        </w:tc>
        <w:tc>
          <w:tcPr>
            <w:tcW w:w="1040" w:type="dxa"/>
            <w:vAlign w:val="bottom"/>
          </w:tcPr>
          <w:p>
            <w:pPr>
              <w:jc w:val="right"/>
              <w:ind w:right="309"/>
              <w:spacing w:after="0" w:line="108" w:lineRule="exact"/>
              <w:rPr>
                <w:sz w:val="20"/>
                <w:szCs w:val="20"/>
                <w:color w:val="auto"/>
              </w:rPr>
            </w:pPr>
            <w:r>
              <w:rPr>
                <w:rFonts w:ascii="Arial" w:cs="Arial" w:eastAsia="Arial" w:hAnsi="Arial"/>
                <w:sz w:val="10"/>
                <w:szCs w:val="10"/>
                <w:b w:val="1"/>
                <w:bCs w:val="1"/>
                <w:color w:val="auto"/>
              </w:rPr>
              <w:t>4.5%</w:t>
            </w:r>
          </w:p>
        </w:tc>
        <w:tc>
          <w:tcPr>
            <w:tcW w:w="820" w:type="dxa"/>
            <w:vAlign w:val="bottom"/>
            <w:tcBorders>
              <w:right w:val="single" w:sz="8" w:color="0077C0"/>
            </w:tcBorders>
          </w:tcPr>
          <w:p>
            <w:pPr>
              <w:jc w:val="right"/>
              <w:ind w:right="90"/>
              <w:spacing w:after="0" w:line="108" w:lineRule="exact"/>
              <w:rPr>
                <w:sz w:val="20"/>
                <w:szCs w:val="20"/>
                <w:color w:val="auto"/>
              </w:rPr>
            </w:pPr>
            <w:r>
              <w:rPr>
                <w:rFonts w:ascii="Arial" w:cs="Arial" w:eastAsia="Arial" w:hAnsi="Arial"/>
                <w:sz w:val="10"/>
                <w:szCs w:val="10"/>
                <w:b w:val="1"/>
                <w:bCs w:val="1"/>
                <w:color w:val="auto"/>
              </w:rPr>
              <w:t>6.8%</w:t>
            </w:r>
          </w:p>
        </w:tc>
        <w:tc>
          <w:tcPr>
            <w:tcW w:w="1140" w:type="dxa"/>
            <w:vAlign w:val="bottom"/>
          </w:tcPr>
          <w:p>
            <w:pPr>
              <w:jc w:val="right"/>
              <w:ind w:right="329"/>
              <w:spacing w:after="0" w:line="108" w:lineRule="exact"/>
              <w:rPr>
                <w:sz w:val="20"/>
                <w:szCs w:val="20"/>
                <w:color w:val="auto"/>
              </w:rPr>
            </w:pPr>
            <w:r>
              <w:rPr>
                <w:rFonts w:ascii="Arial" w:cs="Arial" w:eastAsia="Arial" w:hAnsi="Arial"/>
                <w:sz w:val="10"/>
                <w:szCs w:val="10"/>
                <w:color w:val="auto"/>
              </w:rPr>
              <w:t>4.5%</w:t>
            </w:r>
          </w:p>
        </w:tc>
        <w:tc>
          <w:tcPr>
            <w:tcW w:w="1040" w:type="dxa"/>
            <w:vAlign w:val="bottom"/>
          </w:tcPr>
          <w:p>
            <w:pPr>
              <w:jc w:val="right"/>
              <w:ind w:right="330"/>
              <w:spacing w:after="0" w:line="108" w:lineRule="exact"/>
              <w:rPr>
                <w:sz w:val="20"/>
                <w:szCs w:val="20"/>
                <w:color w:val="auto"/>
              </w:rPr>
            </w:pPr>
            <w:r>
              <w:rPr>
                <w:rFonts w:ascii="Arial" w:cs="Arial" w:eastAsia="Arial" w:hAnsi="Arial"/>
                <w:sz w:val="10"/>
                <w:szCs w:val="10"/>
                <w:color w:val="auto"/>
              </w:rPr>
              <w:t>6.4%</w:t>
            </w:r>
          </w:p>
        </w:tc>
        <w:tc>
          <w:tcPr>
            <w:tcW w:w="800" w:type="dxa"/>
            <w:vAlign w:val="bottom"/>
          </w:tcPr>
          <w:p>
            <w:pPr>
              <w:jc w:val="right"/>
              <w:ind w:right="89"/>
              <w:spacing w:after="0" w:line="108" w:lineRule="exact"/>
              <w:rPr>
                <w:sz w:val="20"/>
                <w:szCs w:val="20"/>
                <w:color w:val="auto"/>
              </w:rPr>
            </w:pPr>
            <w:r>
              <w:rPr>
                <w:rFonts w:ascii="Arial" w:cs="Arial" w:eastAsia="Arial" w:hAnsi="Arial"/>
                <w:sz w:val="10"/>
                <w:szCs w:val="10"/>
                <w:color w:val="auto"/>
              </w:rPr>
              <w:t>4.5%</w:t>
            </w:r>
          </w:p>
        </w:tc>
        <w:tc>
          <w:tcPr>
            <w:tcW w:w="126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6.1%</w:t>
            </w:r>
          </w:p>
        </w:tc>
        <w:tc>
          <w:tcPr>
            <w:tcW w:w="820" w:type="dxa"/>
            <w:vAlign w:val="bottom"/>
            <w:tcBorders>
              <w:right w:val="single" w:sz="8" w:color="0077C0"/>
            </w:tcBorders>
          </w:tcPr>
          <w:p>
            <w:pPr>
              <w:jc w:val="right"/>
              <w:ind w:right="89"/>
              <w:spacing w:after="0" w:line="108" w:lineRule="exact"/>
              <w:rPr>
                <w:sz w:val="20"/>
                <w:szCs w:val="20"/>
                <w:color w:val="auto"/>
              </w:rPr>
            </w:pPr>
            <w:r>
              <w:rPr>
                <w:rFonts w:ascii="Arial" w:cs="Arial" w:eastAsia="Arial" w:hAnsi="Arial"/>
                <w:sz w:val="10"/>
                <w:szCs w:val="10"/>
                <w:b w:val="1"/>
                <w:bCs w:val="1"/>
                <w:color w:val="auto"/>
              </w:rPr>
              <w:t>4.0%</w:t>
            </w:r>
          </w:p>
        </w:tc>
        <w:tc>
          <w:tcPr>
            <w:tcW w:w="940" w:type="dxa"/>
            <w:vAlign w:val="bottom"/>
          </w:tcPr>
          <w:p>
            <w:pPr>
              <w:jc w:val="right"/>
              <w:ind w:right="109"/>
              <w:spacing w:after="0" w:line="108" w:lineRule="exact"/>
              <w:rPr>
                <w:sz w:val="20"/>
                <w:szCs w:val="20"/>
                <w:color w:val="auto"/>
              </w:rPr>
            </w:pPr>
            <w:r>
              <w:rPr>
                <w:rFonts w:ascii="Arial" w:cs="Arial" w:eastAsia="Arial" w:hAnsi="Arial"/>
                <w:sz w:val="10"/>
                <w:szCs w:val="10"/>
                <w:color w:val="auto"/>
              </w:rPr>
              <w:t>4.5%</w:t>
            </w:r>
          </w:p>
        </w:tc>
        <w:tc>
          <w:tcPr>
            <w:tcW w:w="8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Assumptions used to determine net periodic benefit cost</w:t>
            </w:r>
          </w:p>
        </w:tc>
        <w:tc>
          <w:tcPr>
            <w:tcW w:w="104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6.3%</w:t>
            </w:r>
          </w:p>
        </w:tc>
        <w:tc>
          <w:tcPr>
            <w:tcW w:w="820" w:type="dxa"/>
            <w:vAlign w:val="bottom"/>
            <w:tcBorders>
              <w:right w:val="single" w:sz="8" w:color="0077C0"/>
            </w:tcBorders>
            <w:vMerge w:val="restart"/>
          </w:tcPr>
          <w:p>
            <w:pPr>
              <w:jc w:val="right"/>
              <w:ind w:right="90"/>
              <w:spacing w:after="0"/>
              <w:rPr>
                <w:sz w:val="20"/>
                <w:szCs w:val="20"/>
                <w:color w:val="auto"/>
              </w:rPr>
            </w:pPr>
            <w:r>
              <w:rPr>
                <w:rFonts w:ascii="Arial" w:cs="Arial" w:eastAsia="Arial" w:hAnsi="Arial"/>
                <w:sz w:val="10"/>
                <w:szCs w:val="10"/>
                <w:b w:val="1"/>
                <w:bCs w:val="1"/>
                <w:color w:val="auto"/>
              </w:rPr>
              <w:t>6.7%</w:t>
            </w: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6.3%</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80"/>
              <w:spacing w:after="0" w:line="104" w:lineRule="exact"/>
              <w:rPr>
                <w:sz w:val="20"/>
                <w:szCs w:val="20"/>
                <w:color w:val="auto"/>
              </w:rPr>
            </w:pPr>
            <w:r>
              <w:rPr>
                <w:rFonts w:ascii="Arial" w:cs="Arial" w:eastAsia="Arial" w:hAnsi="Arial"/>
                <w:sz w:val="10"/>
                <w:szCs w:val="10"/>
                <w:color w:val="auto"/>
              </w:rPr>
              <w:t>Discount rate</w:t>
            </w:r>
            <w:r>
              <w:rPr>
                <w:rFonts w:ascii="Arial" w:cs="Arial" w:eastAsia="Arial" w:hAnsi="Arial"/>
                <w:sz w:val="8"/>
                <w:szCs w:val="8"/>
                <w:color w:val="auto"/>
              </w:rPr>
              <w:t>1</w:t>
            </w:r>
          </w:p>
        </w:tc>
        <w:tc>
          <w:tcPr>
            <w:tcW w:w="1040" w:type="dxa"/>
            <w:vAlign w:val="bottom"/>
            <w:vMerge w:val="continue"/>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114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5.8%</w:t>
            </w:r>
          </w:p>
        </w:tc>
        <w:tc>
          <w:tcPr>
            <w:tcW w:w="1040" w:type="dxa"/>
            <w:vAlign w:val="bottom"/>
          </w:tcPr>
          <w:p>
            <w:pPr>
              <w:jc w:val="right"/>
              <w:ind w:right="330"/>
              <w:spacing w:after="0" w:line="104" w:lineRule="exact"/>
              <w:rPr>
                <w:sz w:val="20"/>
                <w:szCs w:val="20"/>
                <w:color w:val="auto"/>
              </w:rPr>
            </w:pPr>
            <w:r>
              <w:rPr>
                <w:rFonts w:ascii="Arial" w:cs="Arial" w:eastAsia="Arial" w:hAnsi="Arial"/>
                <w:sz w:val="10"/>
                <w:szCs w:val="10"/>
                <w:color w:val="auto"/>
              </w:rPr>
              <w:t>6.0%</w:t>
            </w:r>
          </w:p>
        </w:tc>
        <w:tc>
          <w:tcPr>
            <w:tcW w:w="800" w:type="dxa"/>
            <w:vAlign w:val="bottom"/>
          </w:tcPr>
          <w:p>
            <w:pPr>
              <w:jc w:val="right"/>
              <w:ind w:right="89"/>
              <w:spacing w:after="0" w:line="104" w:lineRule="exact"/>
              <w:rPr>
                <w:sz w:val="20"/>
                <w:szCs w:val="20"/>
                <w:color w:val="auto"/>
              </w:rPr>
            </w:pPr>
            <w:r>
              <w:rPr>
                <w:rFonts w:ascii="Arial" w:cs="Arial" w:eastAsia="Arial" w:hAnsi="Arial"/>
                <w:sz w:val="10"/>
                <w:szCs w:val="10"/>
                <w:color w:val="auto"/>
              </w:rPr>
              <w:t>5.8%</w:t>
            </w:r>
          </w:p>
        </w:tc>
        <w:tc>
          <w:tcPr>
            <w:tcW w:w="1260" w:type="dxa"/>
            <w:vAlign w:val="bottom"/>
            <w:gridSpan w:val="2"/>
          </w:tcPr>
          <w:p>
            <w:pPr>
              <w:jc w:val="right"/>
              <w:ind w:right="360"/>
              <w:spacing w:after="0" w:line="104" w:lineRule="exact"/>
              <w:rPr>
                <w:sz w:val="20"/>
                <w:szCs w:val="20"/>
                <w:color w:val="auto"/>
              </w:rPr>
            </w:pPr>
            <w:r>
              <w:rPr>
                <w:rFonts w:ascii="Arial" w:cs="Arial" w:eastAsia="Arial" w:hAnsi="Arial"/>
                <w:sz w:val="10"/>
                <w:szCs w:val="10"/>
                <w:color w:val="auto"/>
              </w:rPr>
              <w:t>5.9%</w:t>
            </w:r>
          </w:p>
        </w:tc>
        <w:tc>
          <w:tcPr>
            <w:tcW w:w="820" w:type="dxa"/>
            <w:vAlign w:val="bottom"/>
            <w:tcBorders>
              <w:right w:val="single" w:sz="8" w:color="0077C0"/>
            </w:tcBorders>
            <w:vMerge w:val="continue"/>
          </w:tcPr>
          <w:p>
            <w:pPr>
              <w:spacing w:after="0"/>
              <w:rPr>
                <w:sz w:val="9"/>
                <w:szCs w:val="9"/>
                <w:color w:val="auto"/>
              </w:rPr>
            </w:pPr>
          </w:p>
        </w:tc>
        <w:tc>
          <w:tcPr>
            <w:tcW w:w="9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5.8%</w:t>
            </w:r>
          </w:p>
        </w:tc>
        <w:tc>
          <w:tcPr>
            <w:tcW w:w="84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80"/>
              <w:spacing w:after="0" w:line="106" w:lineRule="exact"/>
              <w:rPr>
                <w:sz w:val="20"/>
                <w:szCs w:val="20"/>
                <w:color w:val="auto"/>
              </w:rPr>
            </w:pPr>
            <w:r>
              <w:rPr>
                <w:rFonts w:ascii="Arial" w:cs="Arial" w:eastAsia="Arial" w:hAnsi="Arial"/>
                <w:sz w:val="10"/>
                <w:szCs w:val="10"/>
                <w:color w:val="auto"/>
              </w:rPr>
              <w:t>Expected return on plan assets</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7.8%</w:t>
            </w:r>
          </w:p>
        </w:tc>
        <w:tc>
          <w:tcPr>
            <w:tcW w:w="820" w:type="dxa"/>
            <w:vAlign w:val="bottom"/>
            <w:tcBorders>
              <w:right w:val="single" w:sz="8" w:color="0077C0"/>
            </w:tcBorders>
          </w:tcPr>
          <w:p>
            <w:pPr>
              <w:jc w:val="right"/>
              <w:ind w:right="90"/>
              <w:spacing w:after="0" w:line="106" w:lineRule="exact"/>
              <w:rPr>
                <w:sz w:val="20"/>
                <w:szCs w:val="20"/>
                <w:color w:val="auto"/>
              </w:rPr>
            </w:pPr>
            <w:r>
              <w:rPr>
                <w:rFonts w:ascii="Arial" w:cs="Arial" w:eastAsia="Arial" w:hAnsi="Arial"/>
                <w:sz w:val="10"/>
                <w:szCs w:val="10"/>
                <w:b w:val="1"/>
                <w:bCs w:val="1"/>
                <w:color w:val="auto"/>
              </w:rPr>
              <w:t>7.4%</w:t>
            </w:r>
          </w:p>
        </w:tc>
        <w:tc>
          <w:tcPr>
            <w:tcW w:w="11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7.8%</w:t>
            </w:r>
          </w:p>
        </w:tc>
        <w:tc>
          <w:tcPr>
            <w:tcW w:w="1040" w:type="dxa"/>
            <w:vAlign w:val="bottom"/>
          </w:tcPr>
          <w:p>
            <w:pPr>
              <w:jc w:val="right"/>
              <w:ind w:right="330"/>
              <w:spacing w:after="0" w:line="106" w:lineRule="exact"/>
              <w:rPr>
                <w:sz w:val="20"/>
                <w:szCs w:val="20"/>
                <w:color w:val="auto"/>
              </w:rPr>
            </w:pPr>
            <w:r>
              <w:rPr>
                <w:rFonts w:ascii="Arial" w:cs="Arial" w:eastAsia="Arial" w:hAnsi="Arial"/>
                <w:sz w:val="10"/>
                <w:szCs w:val="10"/>
                <w:color w:val="auto"/>
              </w:rPr>
              <w:t>7.5%</w:t>
            </w:r>
          </w:p>
        </w:tc>
        <w:tc>
          <w:tcPr>
            <w:tcW w:w="8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7.8%</w:t>
            </w:r>
          </w:p>
        </w:tc>
        <w:tc>
          <w:tcPr>
            <w:tcW w:w="1260" w:type="dxa"/>
            <w:vAlign w:val="bottom"/>
            <w:gridSpan w:val="2"/>
          </w:tcPr>
          <w:p>
            <w:pPr>
              <w:jc w:val="right"/>
              <w:ind w:right="360"/>
              <w:spacing w:after="0" w:line="106" w:lineRule="exact"/>
              <w:rPr>
                <w:sz w:val="20"/>
                <w:szCs w:val="20"/>
                <w:color w:val="auto"/>
              </w:rPr>
            </w:pPr>
            <w:r>
              <w:rPr>
                <w:rFonts w:ascii="Arial" w:cs="Arial" w:eastAsia="Arial" w:hAnsi="Arial"/>
                <w:sz w:val="10"/>
                <w:szCs w:val="10"/>
                <w:color w:val="auto"/>
              </w:rPr>
              <w:t>7.4%</w:t>
            </w:r>
          </w:p>
        </w:tc>
        <w:tc>
          <w:tcPr>
            <w:tcW w:w="820" w:type="dxa"/>
            <w:vAlign w:val="bottom"/>
            <w:tcBorders>
              <w:right w:val="single" w:sz="8" w:color="0077C0"/>
            </w:tcBorders>
          </w:tcPr>
          <w:p>
            <w:pPr>
              <w:jc w:val="right"/>
              <w:ind w:right="189"/>
              <w:spacing w:after="0" w:line="106" w:lineRule="exact"/>
              <w:rPr>
                <w:sz w:val="20"/>
                <w:szCs w:val="20"/>
                <w:color w:val="auto"/>
              </w:rPr>
            </w:pPr>
            <w:r>
              <w:rPr>
                <w:rFonts w:ascii="Arial" w:cs="Arial" w:eastAsia="Arial" w:hAnsi="Arial"/>
                <w:sz w:val="10"/>
                <w:szCs w:val="10"/>
                <w:b w:val="1"/>
                <w:bCs w:val="1"/>
                <w:color w:val="auto"/>
              </w:rPr>
              <w:t>N/A</w:t>
            </w:r>
          </w:p>
        </w:tc>
        <w:tc>
          <w:tcPr>
            <w:tcW w:w="94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N/A</w:t>
            </w:r>
          </w:p>
        </w:tc>
        <w:tc>
          <w:tcPr>
            <w:tcW w:w="8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ind w:left="80"/>
              <w:spacing w:after="0"/>
              <w:rPr>
                <w:sz w:val="20"/>
                <w:szCs w:val="20"/>
                <w:color w:val="auto"/>
              </w:rPr>
            </w:pPr>
            <w:r>
              <w:rPr>
                <w:rFonts w:ascii="Arial" w:cs="Arial" w:eastAsia="Arial" w:hAnsi="Arial"/>
                <w:sz w:val="10"/>
                <w:szCs w:val="10"/>
                <w:color w:val="auto"/>
              </w:rPr>
              <w:t>Rate of compensation increase</w:t>
            </w:r>
          </w:p>
        </w:tc>
        <w:tc>
          <w:tcPr>
            <w:tcW w:w="1040" w:type="dxa"/>
            <w:vAlign w:val="bottom"/>
          </w:tcPr>
          <w:p>
            <w:pPr>
              <w:jc w:val="right"/>
              <w:ind w:right="309"/>
              <w:spacing w:after="0"/>
              <w:rPr>
                <w:sz w:val="20"/>
                <w:szCs w:val="20"/>
                <w:color w:val="auto"/>
              </w:rPr>
            </w:pPr>
            <w:r>
              <w:rPr>
                <w:rFonts w:ascii="Arial" w:cs="Arial" w:eastAsia="Arial" w:hAnsi="Arial"/>
                <w:sz w:val="10"/>
                <w:szCs w:val="10"/>
                <w:b w:val="1"/>
                <w:bCs w:val="1"/>
                <w:color w:val="auto"/>
              </w:rPr>
              <w:t>4.5%</w:t>
            </w:r>
          </w:p>
        </w:tc>
        <w:tc>
          <w:tcPr>
            <w:tcW w:w="820" w:type="dxa"/>
            <w:vAlign w:val="bottom"/>
            <w:tcBorders>
              <w:right w:val="single" w:sz="8" w:color="0077C0"/>
            </w:tcBorders>
          </w:tcPr>
          <w:p>
            <w:pPr>
              <w:jc w:val="right"/>
              <w:ind w:right="90"/>
              <w:spacing w:after="0"/>
              <w:rPr>
                <w:sz w:val="20"/>
                <w:szCs w:val="20"/>
                <w:color w:val="auto"/>
              </w:rPr>
            </w:pPr>
            <w:r>
              <w:rPr>
                <w:rFonts w:ascii="Arial" w:cs="Arial" w:eastAsia="Arial" w:hAnsi="Arial"/>
                <w:sz w:val="10"/>
                <w:szCs w:val="10"/>
                <w:b w:val="1"/>
                <w:bCs w:val="1"/>
                <w:color w:val="auto"/>
              </w:rPr>
              <w:t>6.4%</w:t>
            </w:r>
          </w:p>
        </w:tc>
        <w:tc>
          <w:tcPr>
            <w:tcW w:w="1140" w:type="dxa"/>
            <w:vAlign w:val="bottom"/>
          </w:tcPr>
          <w:p>
            <w:pPr>
              <w:jc w:val="right"/>
              <w:ind w:right="329"/>
              <w:spacing w:after="0"/>
              <w:rPr>
                <w:sz w:val="20"/>
                <w:szCs w:val="20"/>
                <w:color w:val="auto"/>
              </w:rPr>
            </w:pPr>
            <w:r>
              <w:rPr>
                <w:rFonts w:ascii="Arial" w:cs="Arial" w:eastAsia="Arial" w:hAnsi="Arial"/>
                <w:sz w:val="10"/>
                <w:szCs w:val="10"/>
                <w:color w:val="auto"/>
              </w:rPr>
              <w:t>4.5%</w:t>
            </w:r>
          </w:p>
        </w:tc>
        <w:tc>
          <w:tcPr>
            <w:tcW w:w="1040" w:type="dxa"/>
            <w:vAlign w:val="bottom"/>
          </w:tcPr>
          <w:p>
            <w:pPr>
              <w:jc w:val="right"/>
              <w:ind w:right="330"/>
              <w:spacing w:after="0"/>
              <w:rPr>
                <w:sz w:val="20"/>
                <w:szCs w:val="20"/>
                <w:color w:val="auto"/>
              </w:rPr>
            </w:pPr>
            <w:r>
              <w:rPr>
                <w:rFonts w:ascii="Arial" w:cs="Arial" w:eastAsia="Arial" w:hAnsi="Arial"/>
                <w:sz w:val="10"/>
                <w:szCs w:val="10"/>
                <w:color w:val="auto"/>
              </w:rPr>
              <w:t>6.1%</w:t>
            </w:r>
          </w:p>
        </w:tc>
        <w:tc>
          <w:tcPr>
            <w:tcW w:w="800" w:type="dxa"/>
            <w:vAlign w:val="bottom"/>
          </w:tcPr>
          <w:p>
            <w:pPr>
              <w:jc w:val="right"/>
              <w:ind w:right="89"/>
              <w:spacing w:after="0"/>
              <w:rPr>
                <w:sz w:val="20"/>
                <w:szCs w:val="20"/>
                <w:color w:val="auto"/>
              </w:rPr>
            </w:pPr>
            <w:r>
              <w:rPr>
                <w:rFonts w:ascii="Arial" w:cs="Arial" w:eastAsia="Arial" w:hAnsi="Arial"/>
                <w:sz w:val="10"/>
                <w:szCs w:val="10"/>
                <w:color w:val="auto"/>
              </w:rPr>
              <w:t>4.2%</w:t>
            </w:r>
          </w:p>
        </w:tc>
        <w:tc>
          <w:tcPr>
            <w:tcW w:w="1260" w:type="dxa"/>
            <w:vAlign w:val="bottom"/>
            <w:gridSpan w:val="2"/>
          </w:tcPr>
          <w:p>
            <w:pPr>
              <w:jc w:val="right"/>
              <w:ind w:right="360"/>
              <w:spacing w:after="0"/>
              <w:rPr>
                <w:sz w:val="20"/>
                <w:szCs w:val="20"/>
                <w:color w:val="auto"/>
              </w:rPr>
            </w:pPr>
            <w:r>
              <w:rPr>
                <w:rFonts w:ascii="Arial" w:cs="Arial" w:eastAsia="Arial" w:hAnsi="Arial"/>
                <w:sz w:val="10"/>
                <w:szCs w:val="10"/>
                <w:color w:val="auto"/>
              </w:rPr>
              <w:t>5.1%</w:t>
            </w:r>
          </w:p>
        </w:tc>
        <w:tc>
          <w:tcPr>
            <w:tcW w:w="82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4.5%</w:t>
            </w:r>
          </w:p>
        </w:tc>
        <w:tc>
          <w:tcPr>
            <w:tcW w:w="940" w:type="dxa"/>
            <w:vAlign w:val="bottom"/>
          </w:tcPr>
          <w:p>
            <w:pPr>
              <w:jc w:val="right"/>
              <w:ind w:right="109"/>
              <w:spacing w:after="0"/>
              <w:rPr>
                <w:sz w:val="20"/>
                <w:szCs w:val="20"/>
                <w:color w:val="auto"/>
              </w:rPr>
            </w:pPr>
            <w:r>
              <w:rPr>
                <w:rFonts w:ascii="Arial" w:cs="Arial" w:eastAsia="Arial" w:hAnsi="Arial"/>
                <w:sz w:val="10"/>
                <w:szCs w:val="10"/>
                <w:color w:val="auto"/>
              </w:rPr>
              <w:t>4.5%</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40" w:type="dxa"/>
            <w:vAlign w:val="bottom"/>
            <w:shd w:val="clear" w:color="auto" w:fill="0077C0"/>
          </w:tcPr>
          <w:p>
            <w:pPr>
              <w:spacing w:after="0"/>
              <w:rPr>
                <w:sz w:val="2"/>
                <w:szCs w:val="2"/>
                <w:color w:val="auto"/>
              </w:rPr>
            </w:pPr>
          </w:p>
        </w:tc>
        <w:tc>
          <w:tcPr>
            <w:tcW w:w="104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1140" w:type="dxa"/>
            <w:vAlign w:val="bottom"/>
            <w:shd w:val="clear" w:color="auto" w:fill="0077C0"/>
          </w:tcPr>
          <w:p>
            <w:pPr>
              <w:spacing w:after="0"/>
              <w:rPr>
                <w:sz w:val="2"/>
                <w:szCs w:val="2"/>
                <w:color w:val="auto"/>
              </w:rPr>
            </w:pPr>
          </w:p>
        </w:tc>
        <w:tc>
          <w:tcPr>
            <w:tcW w:w="104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940" w:type="dxa"/>
            <w:vAlign w:val="bottom"/>
            <w:shd w:val="clear" w:color="auto" w:fill="0077C0"/>
          </w:tcPr>
          <w:p>
            <w:pPr>
              <w:spacing w:after="0"/>
              <w:rPr>
                <w:sz w:val="2"/>
                <w:szCs w:val="2"/>
                <w:color w:val="auto"/>
              </w:rPr>
            </w:pPr>
          </w:p>
        </w:tc>
        <w:tc>
          <w:tcPr>
            <w:tcW w:w="740" w:type="dxa"/>
            <w:vAlign w:val="bottom"/>
            <w:shd w:val="clear" w:color="auto" w:fill="0077C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3" w:hanging="63"/>
        <w:spacing w:after="0"/>
        <w:tabs>
          <w:tab w:leader="none" w:pos="63" w:val="left"/>
        </w:tabs>
        <w:numPr>
          <w:ilvl w:val="0"/>
          <w:numId w:val="52"/>
        </w:numPr>
        <w:rPr>
          <w:rFonts w:ascii="Arial" w:cs="Arial" w:eastAsia="Arial" w:hAnsi="Arial"/>
          <w:sz w:val="8"/>
          <w:szCs w:val="8"/>
          <w:color w:val="auto"/>
        </w:rPr>
      </w:pPr>
      <w:r>
        <w:rPr>
          <w:rFonts w:ascii="Arial" w:cs="Arial" w:eastAsia="Arial" w:hAnsi="Arial"/>
          <w:sz w:val="9"/>
          <w:szCs w:val="9"/>
          <w:color w:val="auto"/>
        </w:rPr>
        <w:t>The 2006 U.S. discount rate reflects remeasurement on July 1, 2006, due to plan combinations and changes, primarily several Unocal plans into related Chevron plans.</w:t>
      </w:r>
    </w:p>
    <w:p>
      <w:pPr>
        <w:sectPr>
          <w:pgSz w:w="11900" w:h="16838" w:orient="portrait"/>
          <w:cols w:equalWidth="0" w:num="1">
            <w:col w:w="11463"/>
          </w:cols>
          <w:pgMar w:left="217" w:top="338" w:right="219" w:bottom="1440" w:gutter="0" w:footer="0" w:header="0"/>
        </w:sectPr>
      </w:pPr>
    </w:p>
    <w:p>
      <w:pPr>
        <w:spacing w:after="0" w:line="147" w:lineRule="exact"/>
        <w:rPr>
          <w:sz w:val="20"/>
          <w:szCs w:val="20"/>
          <w:color w:val="auto"/>
        </w:rPr>
      </w:pPr>
    </w:p>
    <w:p>
      <w:pPr>
        <w:ind w:left="3"/>
        <w:spacing w:after="0" w:line="270" w:lineRule="auto"/>
        <w:rPr>
          <w:sz w:val="20"/>
          <w:szCs w:val="20"/>
          <w:color w:val="auto"/>
        </w:rPr>
      </w:pPr>
      <w:r>
        <w:rPr>
          <w:rFonts w:ascii="Arial" w:cs="Arial" w:eastAsia="Arial" w:hAnsi="Arial"/>
          <w:sz w:val="12"/>
          <w:szCs w:val="12"/>
          <w:i w:val="1"/>
          <w:iCs w:val="1"/>
          <w:color w:val="E51837"/>
        </w:rPr>
        <w:t xml:space="preserve">Expected Return on Plan Assets </w:t>
      </w:r>
      <w:r>
        <w:rPr>
          <w:rFonts w:ascii="Arial" w:cs="Arial" w:eastAsia="Arial" w:hAnsi="Arial"/>
          <w:sz w:val="12"/>
          <w:szCs w:val="12"/>
          <w:color w:val="000000"/>
        </w:rPr>
        <w:t>The company’s estimated long-term rate of return on pension assets is</w:t>
      </w:r>
      <w:r>
        <w:rPr>
          <w:rFonts w:ascii="Arial" w:cs="Arial" w:eastAsia="Arial" w:hAnsi="Arial"/>
          <w:sz w:val="12"/>
          <w:szCs w:val="12"/>
          <w:i w:val="1"/>
          <w:iCs w:val="1"/>
          <w:color w:val="E51837"/>
        </w:rPr>
        <w:t xml:space="preserve"> </w:t>
      </w:r>
      <w:r>
        <w:rPr>
          <w:rFonts w:ascii="Arial" w:cs="Arial" w:eastAsia="Arial" w:hAnsi="Arial"/>
          <w:sz w:val="12"/>
          <w:szCs w:val="12"/>
          <w:color w:val="000000"/>
        </w:rPr>
        <w:t>driven primarily by actual historical asset-class returns, an assessment of expected future performance, advice from external actuarial firms and the incorporation of specific asset-class risk factors. Asset allocations are periodically updated using pension plan asset/liability studies, and the company’s estimated long-term rates of return are consistent with these studies.</w:t>
      </w:r>
    </w:p>
    <w:p>
      <w:pPr>
        <w:spacing w:after="0" w:line="1" w:lineRule="exact"/>
        <w:rPr>
          <w:sz w:val="20"/>
          <w:szCs w:val="20"/>
          <w:color w:val="auto"/>
        </w:rPr>
      </w:pPr>
    </w:p>
    <w:p>
      <w:pPr>
        <w:ind w:left="3" w:right="40" w:firstLine="158"/>
        <w:spacing w:after="0" w:line="267" w:lineRule="auto"/>
        <w:rPr>
          <w:sz w:val="20"/>
          <w:szCs w:val="20"/>
          <w:color w:val="auto"/>
        </w:rPr>
      </w:pPr>
      <w:r>
        <w:rPr>
          <w:rFonts w:ascii="Arial" w:cs="Arial" w:eastAsia="Arial" w:hAnsi="Arial"/>
          <w:sz w:val="12"/>
          <w:szCs w:val="12"/>
          <w:color w:val="auto"/>
        </w:rPr>
        <w:t>There have been no changes in the expected long-term rate of return on plan assets since 2002 for U.S. plans, which account for 68 percent of the company’s pension plan assets. At December 31, 2008, the estimated long-term rate of return on U.S. pension plan assets was 7.8 percent.</w:t>
      </w:r>
    </w:p>
    <w:p>
      <w:pPr>
        <w:spacing w:after="0" w:line="1" w:lineRule="exact"/>
        <w:rPr>
          <w:sz w:val="20"/>
          <w:szCs w:val="20"/>
          <w:color w:val="auto"/>
        </w:rPr>
      </w:pPr>
    </w:p>
    <w:p>
      <w:pPr>
        <w:ind w:left="3" w:right="40" w:firstLine="158"/>
        <w:spacing w:after="0" w:line="272" w:lineRule="auto"/>
        <w:rPr>
          <w:sz w:val="20"/>
          <w:szCs w:val="20"/>
          <w:color w:val="auto"/>
        </w:rPr>
      </w:pPr>
      <w:r>
        <w:rPr>
          <w:rFonts w:ascii="Arial" w:cs="Arial" w:eastAsia="Arial" w:hAnsi="Arial"/>
          <w:sz w:val="12"/>
          <w:szCs w:val="12"/>
          <w:color w:val="auto"/>
        </w:rPr>
        <w:t>The market-related value of assets of the major U.S. pension plan used in the determination of pension expense was based on the market values in the three months preceding the year-end measurement date, as opposed to the maximum allowable period of five years under U.S. accounting rules. Management considers the three-month time period long enough to minimize the effects of distortions from day-to-day market volatility and still be contemporaneous to the end of the year. For other plans, market value of assets as of year-end is used in calculating the pension expense.</w:t>
      </w:r>
    </w:p>
    <w:p>
      <w:pPr>
        <w:spacing w:after="0" w:line="101" w:lineRule="exact"/>
        <w:rPr>
          <w:sz w:val="20"/>
          <w:szCs w:val="20"/>
          <w:color w:val="auto"/>
        </w:rPr>
      </w:pPr>
    </w:p>
    <w:p>
      <w:pPr>
        <w:ind w:left="3" w:right="80"/>
        <w:spacing w:after="0" w:line="305" w:lineRule="auto"/>
        <w:rPr>
          <w:sz w:val="20"/>
          <w:szCs w:val="20"/>
          <w:color w:val="auto"/>
        </w:rPr>
      </w:pPr>
      <w:r>
        <w:rPr>
          <w:rFonts w:ascii="Arial" w:cs="Arial" w:eastAsia="Arial" w:hAnsi="Arial"/>
          <w:sz w:val="11"/>
          <w:szCs w:val="11"/>
          <w:i w:val="1"/>
          <w:iCs w:val="1"/>
          <w:color w:val="E51837"/>
        </w:rPr>
        <w:t xml:space="preserve">Discount Rate </w:t>
      </w:r>
      <w:r>
        <w:rPr>
          <w:rFonts w:ascii="Arial" w:cs="Arial" w:eastAsia="Arial" w:hAnsi="Arial"/>
          <w:sz w:val="11"/>
          <w:szCs w:val="11"/>
          <w:color w:val="000000"/>
        </w:rPr>
        <w:t>The discount rate assumptions used to determine U.S. and international pension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postretirement benefit plan obligations and expense reflect the prevailing rates available on high-quality, fixed-income debt instruments. At December 31, 2008, the company selected a 6.3 percent discount rate for the major U.S. pension and postretirement plans. This rate was based on a cash flow analysis that matched estimated future benefit payments to the Citigroup Pension Discount Yield Curve as of year-end 2008. The discount rates at the end of 2007 and 2006 were 6.3 percent and 5.8 percent, respectively.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2"/>
          <w:szCs w:val="12"/>
          <w:i w:val="1"/>
          <w:iCs w:val="1"/>
          <w:color w:val="E51837"/>
        </w:rPr>
        <w:t xml:space="preserve">Other Benefit Assumptions </w:t>
      </w:r>
      <w:r>
        <w:rPr>
          <w:rFonts w:ascii="Arial" w:cs="Arial" w:eastAsia="Arial" w:hAnsi="Arial"/>
          <w:sz w:val="12"/>
          <w:szCs w:val="12"/>
          <w:color w:val="000000"/>
        </w:rPr>
        <w:t>For the measurement of accumulated postretirement benefit obligation at</w:t>
      </w:r>
      <w:r>
        <w:rPr>
          <w:rFonts w:ascii="Arial" w:cs="Arial" w:eastAsia="Arial" w:hAnsi="Arial"/>
          <w:sz w:val="12"/>
          <w:szCs w:val="12"/>
          <w:i w:val="1"/>
          <w:iCs w:val="1"/>
          <w:color w:val="E51837"/>
        </w:rPr>
        <w:t xml:space="preserve"> </w:t>
      </w:r>
      <w:r>
        <w:rPr>
          <w:rFonts w:ascii="Arial" w:cs="Arial" w:eastAsia="Arial" w:hAnsi="Arial"/>
          <w:sz w:val="12"/>
          <w:szCs w:val="12"/>
          <w:color w:val="000000"/>
        </w:rPr>
        <w:t>December 31, 2008, for the main U.S. postretirement medical plan, the assumed health care cost-trend rates start with 7 percent in 2009 and gradually decline to 5 percent for 2017 and beyond. For this measurement at December 31, 2007, the assumed health care cost-trend rates started with 8 percent in 2008 and gradually declined to 5 percent for 2014 and beyond. In both measurements, the annual increase to company contributions was capped at 4 percent.</w:t>
      </w:r>
    </w:p>
    <w:p>
      <w:pPr>
        <w:spacing w:after="0" w:line="3" w:lineRule="exact"/>
        <w:rPr>
          <w:sz w:val="20"/>
          <w:szCs w:val="20"/>
          <w:color w:val="auto"/>
        </w:rPr>
      </w:pPr>
    </w:p>
    <w:p>
      <w:pPr>
        <w:ind w:right="40" w:firstLine="153"/>
        <w:spacing w:after="0" w:line="249" w:lineRule="auto"/>
        <w:rPr>
          <w:sz w:val="20"/>
          <w:szCs w:val="20"/>
          <w:color w:val="auto"/>
        </w:rPr>
      </w:pPr>
      <w:r>
        <w:rPr>
          <w:rFonts w:ascii="Arial" w:cs="Arial" w:eastAsia="Arial" w:hAnsi="Arial"/>
          <w:sz w:val="13"/>
          <w:szCs w:val="13"/>
          <w:color w:val="auto"/>
        </w:rPr>
        <w:t>Assumed health care cost-trend rates can have a significant effect on the amounts reported for retiree health care costs. The impact is mitigated by the 4 percent cap on the company’s medical contributions for the primary U.S. plan. A one-percentage-point change in the assumed health care cost-trend rates would have the following effects: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gridSpan w:val="2"/>
          </w:tcPr>
          <w:p>
            <w:pPr>
              <w:ind w:left="1160"/>
              <w:spacing w:after="0"/>
              <w:rPr>
                <w:sz w:val="20"/>
                <w:szCs w:val="20"/>
                <w:color w:val="auto"/>
              </w:rPr>
            </w:pPr>
            <w:r>
              <w:rPr>
                <w:rFonts w:ascii="Arial" w:cs="Arial" w:eastAsia="Arial" w:hAnsi="Arial"/>
                <w:sz w:val="10"/>
                <w:szCs w:val="10"/>
                <w:color w:val="auto"/>
              </w:rPr>
              <w:t>1 Percent</w:t>
            </w:r>
          </w:p>
        </w:tc>
        <w:tc>
          <w:tcPr>
            <w:tcW w:w="540" w:type="dxa"/>
            <w:vAlign w:val="bottom"/>
            <w:gridSpan w:val="3"/>
          </w:tcPr>
          <w:p>
            <w:pPr>
              <w:ind w:left="140"/>
              <w:spacing w:after="0"/>
              <w:rPr>
                <w:sz w:val="20"/>
                <w:szCs w:val="20"/>
                <w:color w:val="auto"/>
              </w:rPr>
            </w:pPr>
            <w:r>
              <w:rPr>
                <w:rFonts w:ascii="Arial" w:cs="Arial" w:eastAsia="Arial" w:hAnsi="Arial"/>
                <w:sz w:val="10"/>
                <w:szCs w:val="10"/>
                <w:color w:val="auto"/>
                <w:w w:val="88"/>
              </w:rPr>
              <w:t>1 Percent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680" w:type="dxa"/>
            <w:vAlign w:val="bottom"/>
            <w:gridSpan w:val="2"/>
          </w:tcPr>
          <w:p>
            <w:pPr>
              <w:ind w:left="1180"/>
              <w:spacing w:after="0" w:line="113" w:lineRule="exact"/>
              <w:rPr>
                <w:sz w:val="20"/>
                <w:szCs w:val="20"/>
                <w:color w:val="auto"/>
              </w:rPr>
            </w:pPr>
            <w:r>
              <w:rPr>
                <w:rFonts w:ascii="Arial" w:cs="Arial" w:eastAsia="Arial" w:hAnsi="Arial"/>
                <w:sz w:val="10"/>
                <w:szCs w:val="10"/>
                <w:color w:val="auto"/>
              </w:rPr>
              <w:t>Increase</w:t>
            </w:r>
          </w:p>
        </w:tc>
        <w:tc>
          <w:tcPr>
            <w:tcW w:w="540" w:type="dxa"/>
            <w:vAlign w:val="bottom"/>
            <w:gridSpan w:val="3"/>
          </w:tcPr>
          <w:p>
            <w:pPr>
              <w:ind w:left="160"/>
              <w:spacing w:after="0" w:line="113" w:lineRule="exact"/>
              <w:rPr>
                <w:sz w:val="20"/>
                <w:szCs w:val="20"/>
                <w:color w:val="auto"/>
              </w:rPr>
            </w:pPr>
            <w:r>
              <w:rPr>
                <w:rFonts w:ascii="Arial" w:cs="Arial" w:eastAsia="Arial" w:hAnsi="Arial"/>
                <w:sz w:val="10"/>
                <w:szCs w:val="10"/>
                <w:color w:val="auto"/>
                <w:w w:val="84"/>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shd w:val="clear" w:color="auto" w:fill="0077C0"/>
          </w:tcPr>
          <w:p>
            <w:pPr>
              <w:spacing w:after="0" w:line="20" w:lineRule="exact"/>
              <w:rPr>
                <w:sz w:val="1"/>
                <w:szCs w:val="1"/>
                <w:color w:val="auto"/>
              </w:rPr>
            </w:pPr>
          </w:p>
        </w:tc>
        <w:tc>
          <w:tcPr>
            <w:tcW w:w="130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3260" w:type="dxa"/>
            <w:vAlign w:val="bottom"/>
          </w:tcPr>
          <w:p>
            <w:pPr>
              <w:spacing w:after="0" w:line="92" w:lineRule="exact"/>
              <w:rPr>
                <w:sz w:val="20"/>
                <w:szCs w:val="20"/>
                <w:color w:val="auto"/>
              </w:rPr>
            </w:pPr>
            <w:r>
              <w:rPr>
                <w:rFonts w:ascii="Arial" w:cs="Arial" w:eastAsia="Arial" w:hAnsi="Arial"/>
                <w:sz w:val="10"/>
                <w:szCs w:val="10"/>
                <w:color w:val="auto"/>
              </w:rPr>
              <w:t>Effect on total service and interest cost components</w:t>
            </w:r>
          </w:p>
        </w:tc>
        <w:tc>
          <w:tcPr>
            <w:tcW w:w="1300" w:type="dxa"/>
            <w:vAlign w:val="bottom"/>
          </w:tcPr>
          <w:p>
            <w:pPr>
              <w:ind w:left="1160"/>
              <w:spacing w:after="0" w:line="92" w:lineRule="exact"/>
              <w:rPr>
                <w:sz w:val="20"/>
                <w:szCs w:val="20"/>
                <w:color w:val="auto"/>
              </w:rPr>
            </w:pPr>
            <w:r>
              <w:rPr>
                <w:rFonts w:ascii="Arial" w:cs="Arial" w:eastAsia="Arial" w:hAnsi="Arial"/>
                <w:sz w:val="10"/>
                <w:szCs w:val="10"/>
                <w:color w:val="auto"/>
              </w:rPr>
              <w:t>$</w:t>
            </w:r>
          </w:p>
        </w:tc>
        <w:tc>
          <w:tcPr>
            <w:tcW w:w="380" w:type="dxa"/>
            <w:vAlign w:val="bottom"/>
          </w:tcPr>
          <w:p>
            <w:pPr>
              <w:jc w:val="right"/>
              <w:ind w:right="129"/>
              <w:spacing w:after="0" w:line="92" w:lineRule="exact"/>
              <w:rPr>
                <w:sz w:val="20"/>
                <w:szCs w:val="20"/>
                <w:color w:val="auto"/>
              </w:rPr>
            </w:pPr>
            <w:r>
              <w:rPr>
                <w:rFonts w:ascii="Arial" w:cs="Arial" w:eastAsia="Arial" w:hAnsi="Arial"/>
                <w:sz w:val="10"/>
                <w:szCs w:val="10"/>
                <w:color w:val="auto"/>
              </w:rPr>
              <w:t>9</w:t>
            </w:r>
          </w:p>
        </w:tc>
        <w:tc>
          <w:tcPr>
            <w:tcW w:w="280" w:type="dxa"/>
            <w:vAlign w:val="bottom"/>
          </w:tcPr>
          <w:p>
            <w:pPr>
              <w:ind w:left="140"/>
              <w:spacing w:after="0" w:line="92" w:lineRule="exact"/>
              <w:rPr>
                <w:sz w:val="20"/>
                <w:szCs w:val="20"/>
                <w:color w:val="auto"/>
              </w:rPr>
            </w:pPr>
            <w:r>
              <w:rPr>
                <w:rFonts w:ascii="Arial" w:cs="Arial" w:eastAsia="Arial" w:hAnsi="Arial"/>
                <w:sz w:val="10"/>
                <w:szCs w:val="10"/>
                <w:color w:val="auto"/>
              </w:rPr>
              <w:t>$</w:t>
            </w:r>
          </w:p>
        </w:tc>
        <w:tc>
          <w:tcPr>
            <w:tcW w:w="26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8"/>
        </w:trPr>
        <w:tc>
          <w:tcPr>
            <w:tcW w:w="3280" w:type="dxa"/>
            <w:vAlign w:val="bottom"/>
            <w:gridSpan w:val="2"/>
          </w:tcPr>
          <w:p>
            <w:pPr>
              <w:spacing w:after="0"/>
              <w:rPr>
                <w:sz w:val="20"/>
                <w:szCs w:val="20"/>
                <w:color w:val="auto"/>
              </w:rPr>
            </w:pPr>
            <w:r>
              <w:rPr>
                <w:rFonts w:ascii="Arial" w:cs="Arial" w:eastAsia="Arial" w:hAnsi="Arial"/>
                <w:sz w:val="10"/>
                <w:szCs w:val="10"/>
                <w:color w:val="auto"/>
              </w:rPr>
              <w:t>Effect on postretirement benefit obligation</w:t>
            </w:r>
          </w:p>
        </w:tc>
        <w:tc>
          <w:tcPr>
            <w:tcW w:w="1300" w:type="dxa"/>
            <w:vAlign w:val="bottom"/>
          </w:tcPr>
          <w:p>
            <w:pPr>
              <w:ind w:left="116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129"/>
              <w:spacing w:after="0"/>
              <w:rPr>
                <w:sz w:val="20"/>
                <w:szCs w:val="20"/>
                <w:color w:val="auto"/>
              </w:rPr>
            </w:pPr>
            <w:r>
              <w:rPr>
                <w:rFonts w:ascii="Arial" w:cs="Arial" w:eastAsia="Arial" w:hAnsi="Arial"/>
                <w:sz w:val="10"/>
                <w:szCs w:val="10"/>
                <w:color w:val="auto"/>
              </w:rPr>
              <w:t>88</w:t>
            </w:r>
          </w:p>
        </w:tc>
        <w:tc>
          <w:tcPr>
            <w:tcW w:w="280" w:type="dxa"/>
            <w:vAlign w:val="bottom"/>
          </w:tcPr>
          <w:p>
            <w:pPr>
              <w:ind w:left="14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29"/>
        </w:trPr>
        <w:tc>
          <w:tcPr>
            <w:tcW w:w="20" w:type="dxa"/>
            <w:vAlign w:val="bottom"/>
            <w:shd w:val="clear" w:color="auto" w:fill="0077C0"/>
          </w:tcPr>
          <w:p>
            <w:pPr>
              <w:spacing w:after="0"/>
              <w:rPr>
                <w:sz w:val="2"/>
                <w:szCs w:val="2"/>
                <w:color w:val="auto"/>
              </w:rPr>
            </w:pPr>
          </w:p>
        </w:tc>
        <w:tc>
          <w:tcPr>
            <w:tcW w:w="3260" w:type="dxa"/>
            <w:vAlign w:val="bottom"/>
            <w:shd w:val="clear" w:color="auto" w:fill="0077C0"/>
          </w:tcPr>
          <w:p>
            <w:pPr>
              <w:spacing w:after="0"/>
              <w:rPr>
                <w:sz w:val="2"/>
                <w:szCs w:val="2"/>
                <w:color w:val="auto"/>
              </w:rPr>
            </w:pPr>
          </w:p>
        </w:tc>
        <w:tc>
          <w:tcPr>
            <w:tcW w:w="13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280" w:type="dxa"/>
            <w:vAlign w:val="bottom"/>
            <w:shd w:val="clear" w:color="auto" w:fill="0077C0"/>
          </w:tcPr>
          <w:p>
            <w:pPr>
              <w:spacing w:after="0"/>
              <w:rPr>
                <w:sz w:val="2"/>
                <w:szCs w:val="2"/>
                <w:color w:val="auto"/>
              </w:rPr>
            </w:pPr>
          </w:p>
        </w:tc>
        <w:tc>
          <w:tcPr>
            <w:tcW w:w="22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E51837"/>
        </w:rPr>
        <w:t xml:space="preserve">Plan Assets and Investment Strategy </w:t>
      </w:r>
      <w:r>
        <w:rPr>
          <w:rFonts w:ascii="Arial" w:cs="Arial" w:eastAsia="Arial" w:hAnsi="Arial"/>
          <w:sz w:val="11"/>
          <w:szCs w:val="11"/>
          <w:color w:val="000000"/>
        </w:rPr>
        <w:t>The company’s pension plan weighted-average asset allocations 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December 31 by asset category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Asset Category</w:t>
            </w:r>
          </w:p>
        </w:tc>
        <w:tc>
          <w:tcPr>
            <w:tcW w:w="620" w:type="dxa"/>
            <w:vAlign w:val="bottom"/>
          </w:tcPr>
          <w:p>
            <w:pPr>
              <w:spacing w:after="0"/>
              <w:rPr>
                <w:sz w:val="10"/>
                <w:szCs w:val="10"/>
                <w:color w:val="auto"/>
              </w:rPr>
            </w:pPr>
          </w:p>
        </w:tc>
        <w:tc>
          <w:tcPr>
            <w:tcW w:w="700" w:type="dxa"/>
            <w:vAlign w:val="bottom"/>
            <w:gridSpan w:val="3"/>
          </w:tcPr>
          <w:p>
            <w:pPr>
              <w:ind w:left="220"/>
              <w:spacing w:after="0"/>
              <w:rPr>
                <w:sz w:val="20"/>
                <w:szCs w:val="20"/>
                <w:color w:val="auto"/>
              </w:rPr>
            </w:pPr>
            <w:r>
              <w:rPr>
                <w:rFonts w:ascii="Arial" w:cs="Arial" w:eastAsia="Arial" w:hAnsi="Arial"/>
                <w:sz w:val="10"/>
                <w:szCs w:val="10"/>
                <w:color w:val="auto"/>
              </w:rPr>
              <w:t>U.S.</w:t>
            </w:r>
          </w:p>
        </w:tc>
        <w:tc>
          <w:tcPr>
            <w:tcW w:w="4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w w:val="94"/>
              </w:rPr>
              <w:t>International</w:t>
            </w:r>
          </w:p>
        </w:tc>
        <w:tc>
          <w:tcPr>
            <w:tcW w:w="0" w:type="dxa"/>
            <w:vAlign w:val="bottom"/>
          </w:tcPr>
          <w:p>
            <w:pPr>
              <w:spacing w:after="0"/>
              <w:rPr>
                <w:sz w:val="1"/>
                <w:szCs w:val="1"/>
                <w:color w:val="auto"/>
              </w:rPr>
            </w:pPr>
          </w:p>
        </w:tc>
      </w:tr>
      <w:tr>
        <w:trPr>
          <w:trHeight w:val="95"/>
        </w:trPr>
        <w:tc>
          <w:tcPr>
            <w:tcW w:w="3100" w:type="dxa"/>
            <w:vAlign w:val="bottom"/>
            <w:gridSpan w:val="2"/>
            <w:vMerge w:val="continue"/>
          </w:tcPr>
          <w:p>
            <w:pPr>
              <w:spacing w:after="0"/>
              <w:rPr>
                <w:sz w:val="8"/>
                <w:szCs w:val="8"/>
                <w:color w:val="auto"/>
              </w:rPr>
            </w:pPr>
          </w:p>
        </w:tc>
        <w:tc>
          <w:tcPr>
            <w:tcW w:w="620" w:type="dxa"/>
            <w:vAlign w:val="bottom"/>
            <w:tcBorders>
              <w:top w:val="single" w:sz="8" w:color="0077C0"/>
            </w:tcBorders>
          </w:tcPr>
          <w:p>
            <w:pPr>
              <w:jc w:val="right"/>
              <w:ind w:right="249"/>
              <w:spacing w:after="0" w:line="95"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0077C0"/>
            </w:tcBorders>
          </w:tcPr>
          <w:p>
            <w:pPr>
              <w:jc w:val="right"/>
              <w:ind w:right="89"/>
              <w:spacing w:after="0" w:line="95" w:lineRule="exact"/>
              <w:rPr>
                <w:sz w:val="20"/>
                <w:szCs w:val="20"/>
                <w:color w:val="auto"/>
              </w:rPr>
            </w:pPr>
            <w:r>
              <w:rPr>
                <w:rFonts w:ascii="Arial" w:cs="Arial" w:eastAsia="Arial" w:hAnsi="Arial"/>
                <w:sz w:val="10"/>
                <w:szCs w:val="10"/>
                <w:b w:val="1"/>
                <w:bCs w:val="1"/>
                <w:color w:val="auto"/>
              </w:rPr>
              <w:t>2008</w:t>
            </w:r>
          </w:p>
        </w:tc>
        <w:tc>
          <w:tcPr>
            <w:tcW w:w="54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600" w:type="dxa"/>
            <w:vAlign w:val="bottom"/>
            <w:tcBorders>
              <w:right w:val="single" w:sz="8" w:color="0077C0"/>
            </w:tcBorders>
            <w:gridSpan w:val="2"/>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continue"/>
          </w:tcPr>
          <w:p>
            <w:pPr>
              <w:spacing w:after="0"/>
              <w:rPr>
                <w:sz w:val="7"/>
                <w:szCs w:val="7"/>
                <w:color w:val="auto"/>
              </w:rPr>
            </w:pPr>
          </w:p>
        </w:tc>
        <w:tc>
          <w:tcPr>
            <w:tcW w:w="3080" w:type="dxa"/>
            <w:vAlign w:val="bottom"/>
          </w:tcPr>
          <w:p>
            <w:pPr>
              <w:spacing w:after="0" w:line="91" w:lineRule="exact"/>
              <w:rPr>
                <w:sz w:val="20"/>
                <w:szCs w:val="20"/>
                <w:color w:val="auto"/>
              </w:rPr>
            </w:pPr>
            <w:r>
              <w:rPr>
                <w:rFonts w:ascii="Arial" w:cs="Arial" w:eastAsia="Arial" w:hAnsi="Arial"/>
                <w:sz w:val="10"/>
                <w:szCs w:val="10"/>
                <w:color w:val="auto"/>
              </w:rPr>
              <w:t>Equities</w:t>
            </w:r>
          </w:p>
        </w:tc>
        <w:tc>
          <w:tcPr>
            <w:tcW w:w="6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52%</w:t>
            </w:r>
          </w:p>
        </w:tc>
        <w:tc>
          <w:tcPr>
            <w:tcW w:w="600" w:type="dxa"/>
            <w:vAlign w:val="bottom"/>
            <w:tcBorders>
              <w:right w:val="single" w:sz="8" w:color="0077C0"/>
            </w:tcBorders>
            <w:gridSpan w:val="2"/>
          </w:tcPr>
          <w:p>
            <w:pPr>
              <w:jc w:val="right"/>
              <w:ind w:right="120"/>
              <w:spacing w:after="0" w:line="91" w:lineRule="exact"/>
              <w:rPr>
                <w:sz w:val="20"/>
                <w:szCs w:val="20"/>
                <w:color w:val="auto"/>
              </w:rPr>
            </w:pPr>
            <w:r>
              <w:rPr>
                <w:rFonts w:ascii="Arial" w:cs="Arial" w:eastAsia="Arial" w:hAnsi="Arial"/>
                <w:sz w:val="10"/>
                <w:szCs w:val="10"/>
                <w:color w:val="auto"/>
              </w:rPr>
              <w:t>64%</w:t>
            </w:r>
          </w:p>
        </w:tc>
        <w:tc>
          <w:tcPr>
            <w:tcW w:w="10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47%</w:t>
            </w:r>
          </w:p>
        </w:tc>
        <w:tc>
          <w:tcPr>
            <w:tcW w:w="620" w:type="dxa"/>
            <w:vAlign w:val="bottom"/>
            <w:gridSpan w:val="2"/>
          </w:tcPr>
          <w:p>
            <w:pPr>
              <w:jc w:val="right"/>
              <w:spacing w:after="0" w:line="91" w:lineRule="exact"/>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06"/>
        </w:trPr>
        <w:tc>
          <w:tcPr>
            <w:tcW w:w="3100" w:type="dxa"/>
            <w:vAlign w:val="bottom"/>
            <w:gridSpan w:val="2"/>
          </w:tcPr>
          <w:p>
            <w:pPr>
              <w:spacing w:after="0" w:line="106" w:lineRule="exact"/>
              <w:rPr>
                <w:sz w:val="20"/>
                <w:szCs w:val="20"/>
                <w:color w:val="auto"/>
              </w:rPr>
            </w:pPr>
            <w:r>
              <w:rPr>
                <w:rFonts w:ascii="Arial" w:cs="Arial" w:eastAsia="Arial" w:hAnsi="Arial"/>
                <w:sz w:val="10"/>
                <w:szCs w:val="10"/>
                <w:color w:val="auto"/>
              </w:rPr>
              <w:t>Fixed Income</w:t>
            </w: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34%</w:t>
            </w:r>
          </w:p>
        </w:tc>
        <w:tc>
          <w:tcPr>
            <w:tcW w:w="600" w:type="dxa"/>
            <w:vAlign w:val="bottom"/>
            <w:tcBorders>
              <w:right w:val="single" w:sz="8" w:color="0077C0"/>
            </w:tcBorders>
            <w:gridSpan w:val="2"/>
          </w:tcPr>
          <w:p>
            <w:pPr>
              <w:jc w:val="right"/>
              <w:ind w:right="120"/>
              <w:spacing w:after="0" w:line="106"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50%</w:t>
            </w: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06"/>
        </w:trPr>
        <w:tc>
          <w:tcPr>
            <w:tcW w:w="3100" w:type="dxa"/>
            <w:vAlign w:val="bottom"/>
            <w:gridSpan w:val="2"/>
          </w:tcPr>
          <w:p>
            <w:pPr>
              <w:spacing w:after="0" w:line="106" w:lineRule="exact"/>
              <w:rPr>
                <w:sz w:val="20"/>
                <w:szCs w:val="20"/>
                <w:color w:val="auto"/>
              </w:rPr>
            </w:pPr>
            <w:r>
              <w:rPr>
                <w:rFonts w:ascii="Arial" w:cs="Arial" w:eastAsia="Arial" w:hAnsi="Arial"/>
                <w:sz w:val="10"/>
                <w:szCs w:val="10"/>
                <w:color w:val="auto"/>
              </w:rPr>
              <w:t>Real Estate</w:t>
            </w: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13%</w:t>
            </w:r>
          </w:p>
        </w:tc>
        <w:tc>
          <w:tcPr>
            <w:tcW w:w="600" w:type="dxa"/>
            <w:vAlign w:val="bottom"/>
            <w:tcBorders>
              <w:right w:val="single" w:sz="8" w:color="0077C0"/>
            </w:tcBorders>
            <w:gridSpan w:val="2"/>
          </w:tcPr>
          <w:p>
            <w:pPr>
              <w:jc w:val="right"/>
              <w:ind w:right="120"/>
              <w:spacing w:after="0" w:line="106" w:lineRule="exact"/>
              <w:rPr>
                <w:sz w:val="20"/>
                <w:szCs w:val="20"/>
                <w:color w:val="auto"/>
              </w:rPr>
            </w:pPr>
            <w:r>
              <w:rPr>
                <w:rFonts w:ascii="Arial" w:cs="Arial" w:eastAsia="Arial" w:hAnsi="Arial"/>
                <w:sz w:val="10"/>
                <w:szCs w:val="10"/>
                <w:color w:val="auto"/>
              </w:rPr>
              <w:t>12%</w:t>
            </w:r>
          </w:p>
        </w:tc>
        <w:tc>
          <w:tcPr>
            <w:tcW w:w="10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2%</w:t>
            </w: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0"/>
        </w:trPr>
        <w:tc>
          <w:tcPr>
            <w:tcW w:w="3100" w:type="dxa"/>
            <w:vAlign w:val="bottom"/>
            <w:gridSpan w:val="2"/>
          </w:tcPr>
          <w:p>
            <w:pPr>
              <w:spacing w:after="0"/>
              <w:rPr>
                <w:sz w:val="20"/>
                <w:szCs w:val="20"/>
                <w:color w:val="auto"/>
              </w:rPr>
            </w:pPr>
            <w:r>
              <w:rPr>
                <w:rFonts w:ascii="Arial" w:cs="Arial" w:eastAsia="Arial" w:hAnsi="Arial"/>
                <w:sz w:val="10"/>
                <w:szCs w:val="10"/>
                <w:color w:val="auto"/>
              </w:rPr>
              <w:t>Other</w:t>
            </w:r>
          </w:p>
        </w:tc>
        <w:tc>
          <w:tcPr>
            <w:tcW w:w="620" w:type="dxa"/>
            <w:vAlign w:val="bottom"/>
          </w:tcPr>
          <w:p>
            <w:pPr>
              <w:jc w:val="right"/>
              <w:ind w:right="149"/>
              <w:spacing w:after="0"/>
              <w:rPr>
                <w:sz w:val="20"/>
                <w:szCs w:val="20"/>
                <w:color w:val="auto"/>
              </w:rPr>
            </w:pPr>
            <w:r>
              <w:rPr>
                <w:rFonts w:ascii="Arial" w:cs="Arial" w:eastAsia="Arial" w:hAnsi="Arial"/>
                <w:sz w:val="10"/>
                <w:szCs w:val="10"/>
                <w:b w:val="1"/>
                <w:bCs w:val="1"/>
                <w:color w:val="auto"/>
              </w:rPr>
              <w:t>1%</w:t>
            </w:r>
          </w:p>
        </w:tc>
        <w:tc>
          <w:tcPr>
            <w:tcW w:w="600" w:type="dxa"/>
            <w:vAlign w:val="bottom"/>
            <w:tcBorders>
              <w:right w:val="single" w:sz="8" w:color="0077C0"/>
            </w:tcBorders>
            <w:gridSpan w:val="2"/>
          </w:tcPr>
          <w:p>
            <w:pPr>
              <w:jc w:val="right"/>
              <w:ind w:right="12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100" w:type="dxa"/>
            <w:vAlign w:val="bottom"/>
            <w:gridSpan w:val="2"/>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600" w:type="dxa"/>
            <w:vAlign w:val="bottom"/>
            <w:tcBorders>
              <w:right w:val="single" w:sz="8" w:color="0077C0"/>
            </w:tcBorders>
            <w:gridSpan w:val="2"/>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100" w:type="dxa"/>
            <w:vAlign w:val="bottom"/>
            <w:gridSpan w:val="2"/>
          </w:tcPr>
          <w:p>
            <w:pPr>
              <w:spacing w:after="0" w:line="105" w:lineRule="exact"/>
              <w:rPr>
                <w:sz w:val="20"/>
                <w:szCs w:val="20"/>
                <w:color w:val="auto"/>
              </w:rPr>
            </w:pPr>
            <w:r>
              <w:rPr>
                <w:rFonts w:ascii="Arial" w:cs="Arial" w:eastAsia="Arial" w:hAnsi="Arial"/>
                <w:sz w:val="10"/>
                <w:szCs w:val="10"/>
                <w:color w:val="auto"/>
              </w:rPr>
              <w:t>Total</w:t>
            </w:r>
          </w:p>
        </w:tc>
        <w:tc>
          <w:tcPr>
            <w:tcW w:w="62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rPr>
              <w:t>100%</w:t>
            </w:r>
          </w:p>
        </w:tc>
        <w:tc>
          <w:tcPr>
            <w:tcW w:w="600" w:type="dxa"/>
            <w:vAlign w:val="bottom"/>
            <w:tcBorders>
              <w:right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100%</w:t>
            </w:r>
          </w:p>
        </w:tc>
        <w:tc>
          <w:tcPr>
            <w:tcW w:w="10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100%</w:t>
            </w:r>
          </w:p>
        </w:tc>
        <w:tc>
          <w:tcPr>
            <w:tcW w:w="62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38"/>
        </w:trPr>
        <w:tc>
          <w:tcPr>
            <w:tcW w:w="20" w:type="dxa"/>
            <w:vAlign w:val="bottom"/>
            <w:shd w:val="clear" w:color="auto" w:fill="0077C0"/>
          </w:tcPr>
          <w:p>
            <w:pPr>
              <w:spacing w:after="0"/>
              <w:rPr>
                <w:sz w:val="3"/>
                <w:szCs w:val="3"/>
                <w:color w:val="auto"/>
              </w:rPr>
            </w:pPr>
          </w:p>
        </w:tc>
        <w:tc>
          <w:tcPr>
            <w:tcW w:w="3080" w:type="dxa"/>
            <w:vAlign w:val="bottom"/>
            <w:shd w:val="clear" w:color="auto" w:fill="0077C0"/>
          </w:tcPr>
          <w:p>
            <w:pPr>
              <w:spacing w:after="0"/>
              <w:rPr>
                <w:sz w:val="3"/>
                <w:szCs w:val="3"/>
                <w:color w:val="auto"/>
              </w:rPr>
            </w:pPr>
          </w:p>
        </w:tc>
        <w:tc>
          <w:tcPr>
            <w:tcW w:w="620" w:type="dxa"/>
            <w:vAlign w:val="bottom"/>
            <w:shd w:val="clear" w:color="auto" w:fill="0077C0"/>
          </w:tcPr>
          <w:p>
            <w:pPr>
              <w:spacing w:after="0"/>
              <w:rPr>
                <w:sz w:val="3"/>
                <w:szCs w:val="3"/>
                <w:color w:val="auto"/>
              </w:rPr>
            </w:pPr>
          </w:p>
        </w:tc>
        <w:tc>
          <w:tcPr>
            <w:tcW w:w="400" w:type="dxa"/>
            <w:vAlign w:val="bottom"/>
            <w:shd w:val="clear" w:color="auto" w:fill="0077C0"/>
          </w:tcPr>
          <w:p>
            <w:pPr>
              <w:spacing w:after="0"/>
              <w:rPr>
                <w:sz w:val="3"/>
                <w:szCs w:val="3"/>
                <w:color w:val="auto"/>
              </w:rPr>
            </w:pPr>
          </w:p>
        </w:tc>
        <w:tc>
          <w:tcPr>
            <w:tcW w:w="200" w:type="dxa"/>
            <w:vAlign w:val="bottom"/>
            <w:tcBorders>
              <w:right w:val="single" w:sz="8" w:color="0077C0"/>
            </w:tcBorders>
            <w:shd w:val="clear" w:color="auto" w:fill="0077C0"/>
          </w:tcPr>
          <w:p>
            <w:pPr>
              <w:spacing w:after="0"/>
              <w:rPr>
                <w:sz w:val="3"/>
                <w:szCs w:val="3"/>
                <w:color w:val="auto"/>
              </w:rPr>
            </w:pPr>
          </w:p>
        </w:tc>
        <w:tc>
          <w:tcPr>
            <w:tcW w:w="100" w:type="dxa"/>
            <w:vAlign w:val="bottom"/>
            <w:shd w:val="clear" w:color="auto" w:fill="0077C0"/>
          </w:tcPr>
          <w:p>
            <w:pPr>
              <w:spacing w:after="0"/>
              <w:rPr>
                <w:sz w:val="3"/>
                <w:szCs w:val="3"/>
                <w:color w:val="auto"/>
              </w:rPr>
            </w:pPr>
          </w:p>
        </w:tc>
        <w:tc>
          <w:tcPr>
            <w:tcW w:w="460" w:type="dxa"/>
            <w:vAlign w:val="bottom"/>
            <w:shd w:val="clear" w:color="auto" w:fill="0077C0"/>
          </w:tcPr>
          <w:p>
            <w:pPr>
              <w:spacing w:after="0"/>
              <w:rPr>
                <w:sz w:val="3"/>
                <w:szCs w:val="3"/>
                <w:color w:val="auto"/>
              </w:rPr>
            </w:pPr>
          </w:p>
        </w:tc>
        <w:tc>
          <w:tcPr>
            <w:tcW w:w="540" w:type="dxa"/>
            <w:vAlign w:val="bottom"/>
            <w:shd w:val="clear" w:color="auto" w:fill="0077C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3" w:space="500"/>
            <w:col w:w="5500"/>
          </w:cols>
          <w:pgMar w:left="217" w:top="338" w:right="219" w:bottom="1440" w:gutter="0" w:footer="0" w:header="0"/>
          <w:type w:val="continuous"/>
        </w:sectPr>
      </w:pPr>
    </w:p>
    <w:p>
      <w:pPr>
        <w:spacing w:after="0" w:line="72"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95" w:name="page96"/>
    <w:bookmarkEnd w:id="95"/>
    <w:p>
      <w:pPr>
        <w:ind w:left="3"/>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285990" cy="664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ectPr>
          <w:pgSz w:w="11900" w:h="16838" w:orient="portrait"/>
          <w:cols w:equalWidth="0" w:num="1">
            <w:col w:w="11423"/>
          </w:cols>
          <w:pgMar w:left="217" w:top="33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3"/>
        <w:spacing w:after="0"/>
        <w:rPr>
          <w:sz w:val="20"/>
          <w:szCs w:val="20"/>
          <w:color w:val="auto"/>
        </w:rPr>
      </w:pPr>
      <w:r>
        <w:rPr>
          <w:rFonts w:ascii="Arial" w:cs="Arial" w:eastAsia="Arial" w:hAnsi="Arial"/>
          <w:sz w:val="10"/>
          <w:szCs w:val="10"/>
          <w:b w:val="1"/>
          <w:bCs w:val="1"/>
          <w:color w:val="0077C0"/>
        </w:rPr>
        <w:t xml:space="preserve">Note 22 </w:t>
      </w:r>
      <w:r>
        <w:rPr>
          <w:rFonts w:ascii="Arial" w:cs="Arial" w:eastAsia="Arial" w:hAnsi="Arial"/>
          <w:sz w:val="8"/>
          <w:szCs w:val="8"/>
          <w:color w:val="000000"/>
        </w:rPr>
        <w:t>Employee Benefit Plans - Continued</w:t>
      </w:r>
    </w:p>
    <w:p>
      <w:pPr>
        <w:spacing w:after="0" w:line="346" w:lineRule="exact"/>
        <w:rPr>
          <w:sz w:val="20"/>
          <w:szCs w:val="20"/>
          <w:color w:val="auto"/>
        </w:rPr>
      </w:pPr>
    </w:p>
    <w:p>
      <w:pPr>
        <w:ind w:left="3" w:right="100" w:firstLine="158"/>
        <w:spacing w:after="0" w:line="271" w:lineRule="auto"/>
        <w:rPr>
          <w:sz w:val="20"/>
          <w:szCs w:val="20"/>
          <w:color w:val="auto"/>
        </w:rPr>
      </w:pPr>
      <w:r>
        <w:rPr>
          <w:rFonts w:ascii="Arial" w:cs="Arial" w:eastAsia="Arial" w:hAnsi="Arial"/>
          <w:sz w:val="12"/>
          <w:szCs w:val="12"/>
          <w:color w:val="auto"/>
        </w:rPr>
        <w:t>The pension plans invest primarily in asset categories with sufficient size, liquidity and cost efficiency to permit investments of reasonable size. The pension plans invest in asset categories that provide diversification benefits and are easily measured. To assess the plans’ investment performance, long-term asset allocation policy benchmarks have been established.</w:t>
      </w:r>
    </w:p>
    <w:p>
      <w:pPr>
        <w:ind w:left="3" w:right="40" w:firstLine="160"/>
        <w:spacing w:after="0" w:line="291" w:lineRule="auto"/>
        <w:rPr>
          <w:sz w:val="20"/>
          <w:szCs w:val="20"/>
          <w:color w:val="auto"/>
        </w:rPr>
      </w:pPr>
      <w:r>
        <w:rPr>
          <w:rFonts w:ascii="Arial" w:cs="Arial" w:eastAsia="Arial" w:hAnsi="Arial"/>
          <w:sz w:val="11"/>
          <w:szCs w:val="11"/>
          <w:color w:val="auto"/>
        </w:rPr>
        <w:t>For the primary U.S. pension plan, the Chevron Board of Directors has approved the following percentage asset-allocation ranges: equities 40–70, fixed income/cash 20–60, real estate 0–15 and other 0–</w:t>
      </w:r>
    </w:p>
    <w:p>
      <w:pPr>
        <w:spacing w:after="0" w:line="1" w:lineRule="exact"/>
        <w:rPr>
          <w:sz w:val="20"/>
          <w:szCs w:val="20"/>
          <w:color w:val="auto"/>
        </w:rPr>
      </w:pPr>
    </w:p>
    <w:p>
      <w:pPr>
        <w:ind w:left="3" w:right="260" w:hanging="3"/>
        <w:spacing w:after="0" w:line="291" w:lineRule="auto"/>
        <w:tabs>
          <w:tab w:leader="none" w:pos="131"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significant international pension plans also have established maximum and minimum asset allocation ranges that vary by each plan. Actual asset allocation, within approved ranges, is based on a variety of current economic and market conditions and consideration of specific asset category risk.</w:t>
      </w:r>
    </w:p>
    <w:p>
      <w:pPr>
        <w:spacing w:after="0" w:line="1" w:lineRule="exact"/>
        <w:rPr>
          <w:rFonts w:ascii="Arial" w:cs="Arial" w:eastAsia="Arial" w:hAnsi="Arial"/>
          <w:sz w:val="11"/>
          <w:szCs w:val="11"/>
          <w:color w:val="auto"/>
        </w:rPr>
      </w:pPr>
    </w:p>
    <w:p>
      <w:pPr>
        <w:ind w:left="3" w:right="160" w:firstLine="160"/>
        <w:spacing w:after="0" w:line="250" w:lineRule="auto"/>
        <w:rPr>
          <w:rFonts w:ascii="Arial" w:cs="Arial" w:eastAsia="Arial" w:hAnsi="Arial"/>
          <w:sz w:val="11"/>
          <w:szCs w:val="11"/>
          <w:color w:val="auto"/>
        </w:rPr>
      </w:pPr>
      <w:r>
        <w:rPr>
          <w:rFonts w:ascii="Arial" w:cs="Arial" w:eastAsia="Arial" w:hAnsi="Arial"/>
          <w:sz w:val="13"/>
          <w:szCs w:val="13"/>
          <w:color w:val="auto"/>
        </w:rPr>
        <w:t>Equities include investments in the company’s common stock in the amount of $22 and $36 at December 31, 2008 and 2007, respectively. The “Other” asset category includes minimal investments in private-equity limited partnerships.</w:t>
      </w:r>
    </w:p>
    <w:p>
      <w:pPr>
        <w:spacing w:after="0" w:line="120" w:lineRule="exact"/>
        <w:rPr>
          <w:sz w:val="20"/>
          <w:szCs w:val="20"/>
          <w:color w:val="auto"/>
        </w:rPr>
      </w:pPr>
    </w:p>
    <w:p>
      <w:pPr>
        <w:ind w:left="3"/>
        <w:spacing w:after="0" w:line="275" w:lineRule="auto"/>
        <w:rPr>
          <w:sz w:val="20"/>
          <w:szCs w:val="20"/>
          <w:color w:val="auto"/>
        </w:rPr>
      </w:pPr>
      <w:r>
        <w:rPr>
          <w:rFonts w:ascii="Arial" w:cs="Arial" w:eastAsia="Arial" w:hAnsi="Arial"/>
          <w:sz w:val="12"/>
          <w:szCs w:val="12"/>
          <w:i w:val="1"/>
          <w:iCs w:val="1"/>
          <w:color w:val="E51837"/>
        </w:rPr>
        <w:t xml:space="preserve">Cash Contributions and Benefit Payments </w:t>
      </w:r>
      <w:r>
        <w:rPr>
          <w:rFonts w:ascii="Arial" w:cs="Arial" w:eastAsia="Arial" w:hAnsi="Arial"/>
          <w:sz w:val="12"/>
          <w:szCs w:val="12"/>
          <w:color w:val="000000"/>
        </w:rPr>
        <w:t>In 2008, the company contributed $577 and $262 to its U.S.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international pension plans, respectively. In 2009, the company expects contributions to be approximately $550 and $250 to its U.S. and international pension plans, respectively. Actual contribution amounts are dependent upon plan-investment returns, changes in pension obligations, regulatory environments and other economic factors. Additional funding may ultimately be required if investment returns are insufficient to offset increases in plan obligations.</w:t>
      </w:r>
    </w:p>
    <w:p>
      <w:pPr>
        <w:spacing w:after="0" w:line="99" w:lineRule="exact"/>
        <w:rPr>
          <w:sz w:val="20"/>
          <w:szCs w:val="20"/>
          <w:color w:val="auto"/>
        </w:rPr>
      </w:pPr>
    </w:p>
    <w:p>
      <w:pPr>
        <w:ind w:left="3" w:right="400" w:firstLine="158"/>
        <w:spacing w:after="0" w:line="267" w:lineRule="auto"/>
        <w:rPr>
          <w:sz w:val="20"/>
          <w:szCs w:val="20"/>
          <w:color w:val="auto"/>
        </w:rPr>
      </w:pPr>
      <w:r>
        <w:rPr>
          <w:rFonts w:ascii="Arial" w:cs="Arial" w:eastAsia="Arial" w:hAnsi="Arial"/>
          <w:sz w:val="13"/>
          <w:szCs w:val="13"/>
          <w:color w:val="auto"/>
        </w:rPr>
        <w:t>The company anticipates paying other postretirement benefits of approximately $209 in 2009, as compared with $188 paid in 2008.</w:t>
      </w:r>
    </w:p>
    <w:p>
      <w:pPr>
        <w:spacing w:after="0" w:line="100" w:lineRule="exact"/>
        <w:rPr>
          <w:sz w:val="20"/>
          <w:szCs w:val="20"/>
          <w:color w:val="auto"/>
        </w:rPr>
      </w:pPr>
    </w:p>
    <w:p>
      <w:pPr>
        <w:ind w:left="3" w:right="100" w:firstLine="158"/>
        <w:spacing w:after="0" w:line="267" w:lineRule="auto"/>
        <w:rPr>
          <w:sz w:val="20"/>
          <w:szCs w:val="20"/>
          <w:color w:val="auto"/>
        </w:rPr>
      </w:pPr>
      <w:r>
        <w:rPr>
          <w:rFonts w:ascii="Arial" w:cs="Arial" w:eastAsia="Arial" w:hAnsi="Arial"/>
          <w:sz w:val="13"/>
          <w:szCs w:val="13"/>
          <w:color w:val="auto"/>
        </w:rPr>
        <w:t>The following benefit payments, which include estimated future service, are expected to be paid in the next 10 years:</w:t>
      </w:r>
    </w:p>
    <w:p>
      <w:pPr>
        <w:spacing w:after="0" w:line="80"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85"/>
              </w:rPr>
              <w:t>Pension Benefits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40"/>
              <w:spacing w:after="0"/>
              <w:rPr>
                <w:sz w:val="20"/>
                <w:szCs w:val="20"/>
                <w:color w:val="auto"/>
              </w:rPr>
            </w:pPr>
            <w:r>
              <w:rPr>
                <w:rFonts w:ascii="Arial" w:cs="Arial" w:eastAsia="Arial" w:hAnsi="Arial"/>
                <w:sz w:val="10"/>
                <w:szCs w:val="10"/>
                <w:color w:val="auto"/>
                <w:w w:val="87"/>
              </w:rPr>
              <w:t>Other</w:t>
            </w:r>
          </w:p>
        </w:tc>
      </w:tr>
      <w:tr>
        <w:trPr>
          <w:trHeight w:val="95"/>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10"/>
                <w:szCs w:val="10"/>
                <w:color w:val="auto"/>
              </w:rPr>
              <w:t>U.S.</w:t>
            </w:r>
          </w:p>
        </w:tc>
        <w:tc>
          <w:tcPr>
            <w:tcW w:w="400" w:type="dxa"/>
            <w:vAlign w:val="bottom"/>
          </w:tcPr>
          <w:p>
            <w:pPr>
              <w:spacing w:after="0"/>
              <w:rPr>
                <w:sz w:val="8"/>
                <w:szCs w:val="8"/>
                <w:color w:val="auto"/>
              </w:rPr>
            </w:pPr>
          </w:p>
        </w:tc>
        <w:tc>
          <w:tcPr>
            <w:tcW w:w="260" w:type="dxa"/>
            <w:vAlign w:val="bottom"/>
          </w:tcPr>
          <w:p>
            <w:pPr>
              <w:jc w:val="right"/>
              <w:spacing w:after="0" w:line="95" w:lineRule="exact"/>
              <w:rPr>
                <w:sz w:val="20"/>
                <w:szCs w:val="20"/>
                <w:color w:val="auto"/>
              </w:rPr>
            </w:pPr>
            <w:r>
              <w:rPr>
                <w:rFonts w:ascii="Arial" w:cs="Arial" w:eastAsia="Arial" w:hAnsi="Arial"/>
                <w:sz w:val="10"/>
                <w:szCs w:val="10"/>
                <w:color w:val="auto"/>
              </w:rPr>
              <w:t>Int’l.</w:t>
            </w:r>
          </w:p>
        </w:tc>
        <w:tc>
          <w:tcPr>
            <w:tcW w:w="300" w:type="dxa"/>
            <w:vAlign w:val="bottom"/>
          </w:tcPr>
          <w:p>
            <w:pPr>
              <w:spacing w:after="0"/>
              <w:rPr>
                <w:sz w:val="8"/>
                <w:szCs w:val="8"/>
                <w:color w:val="auto"/>
              </w:rPr>
            </w:pPr>
          </w:p>
        </w:tc>
        <w:tc>
          <w:tcPr>
            <w:tcW w:w="360" w:type="dxa"/>
            <w:vAlign w:val="bottom"/>
            <w:gridSpan w:val="3"/>
          </w:tcPr>
          <w:p>
            <w:pPr>
              <w:ind w:left="20"/>
              <w:spacing w:after="0" w:line="95" w:lineRule="exact"/>
              <w:rPr>
                <w:sz w:val="20"/>
                <w:szCs w:val="20"/>
                <w:color w:val="auto"/>
              </w:rPr>
            </w:pPr>
            <w:r>
              <w:rPr>
                <w:rFonts w:ascii="Arial" w:cs="Arial" w:eastAsia="Arial" w:hAnsi="Arial"/>
                <w:sz w:val="10"/>
                <w:szCs w:val="10"/>
                <w:color w:val="auto"/>
                <w:w w:val="88"/>
              </w:rPr>
              <w:t>Benefits</w:t>
            </w:r>
          </w:p>
        </w:tc>
      </w:tr>
      <w:tr>
        <w:trPr>
          <w:trHeight w:val="92"/>
        </w:trPr>
        <w:tc>
          <w:tcPr>
            <w:tcW w:w="38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2009</w:t>
            </w:r>
          </w:p>
        </w:tc>
        <w:tc>
          <w:tcPr>
            <w:tcW w:w="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853</w:t>
            </w:r>
          </w:p>
        </w:tc>
        <w:tc>
          <w:tcPr>
            <w:tcW w:w="40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226</w:t>
            </w:r>
          </w:p>
        </w:tc>
        <w:tc>
          <w:tcPr>
            <w:tcW w:w="300" w:type="dxa"/>
            <w:vAlign w:val="bottom"/>
          </w:tcPr>
          <w:p>
            <w:pPr>
              <w:spacing w:after="0"/>
              <w:rPr>
                <w:sz w:val="8"/>
                <w:szCs w:val="8"/>
                <w:color w:val="auto"/>
              </w:rPr>
            </w:pPr>
          </w:p>
        </w:tc>
        <w:tc>
          <w:tcPr>
            <w:tcW w:w="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209</w:t>
            </w:r>
          </w:p>
        </w:tc>
        <w:tc>
          <w:tcPr>
            <w:tcW w:w="20" w:type="dxa"/>
            <w:vAlign w:val="bottom"/>
          </w:tcPr>
          <w:p>
            <w:pPr>
              <w:spacing w:after="0"/>
              <w:rPr>
                <w:sz w:val="8"/>
                <w:szCs w:val="8"/>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2010</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841</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249</w:t>
            </w:r>
          </w:p>
        </w:tc>
        <w:tc>
          <w:tcPr>
            <w:tcW w:w="380" w:type="dxa"/>
            <w:vAlign w:val="bottom"/>
            <w:gridSpan w:val="2"/>
          </w:tcPr>
          <w:p>
            <w:pPr>
              <w:ind w:left="300"/>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216</w:t>
            </w:r>
          </w:p>
        </w:tc>
        <w:tc>
          <w:tcPr>
            <w:tcW w:w="20" w:type="dxa"/>
            <w:vAlign w:val="bottom"/>
          </w:tcPr>
          <w:p>
            <w:pPr>
              <w:spacing w:after="0"/>
              <w:rPr>
                <w:sz w:val="9"/>
                <w:szCs w:val="9"/>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2011</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849</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240</w:t>
            </w:r>
          </w:p>
        </w:tc>
        <w:tc>
          <w:tcPr>
            <w:tcW w:w="380" w:type="dxa"/>
            <w:vAlign w:val="bottom"/>
            <w:gridSpan w:val="2"/>
          </w:tcPr>
          <w:p>
            <w:pPr>
              <w:ind w:left="300"/>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222</w:t>
            </w:r>
          </w:p>
        </w:tc>
        <w:tc>
          <w:tcPr>
            <w:tcW w:w="20" w:type="dxa"/>
            <w:vAlign w:val="bottom"/>
          </w:tcPr>
          <w:p>
            <w:pPr>
              <w:spacing w:after="0"/>
              <w:rPr>
                <w:sz w:val="9"/>
                <w:szCs w:val="9"/>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2012</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863</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265</w:t>
            </w:r>
          </w:p>
        </w:tc>
        <w:tc>
          <w:tcPr>
            <w:tcW w:w="380" w:type="dxa"/>
            <w:vAlign w:val="bottom"/>
            <w:gridSpan w:val="2"/>
          </w:tcPr>
          <w:p>
            <w:pPr>
              <w:ind w:left="300"/>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225</w:t>
            </w:r>
          </w:p>
        </w:tc>
        <w:tc>
          <w:tcPr>
            <w:tcW w:w="20" w:type="dxa"/>
            <w:vAlign w:val="bottom"/>
          </w:tcPr>
          <w:p>
            <w:pPr>
              <w:spacing w:after="0"/>
              <w:rPr>
                <w:sz w:val="9"/>
                <w:szCs w:val="9"/>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2013</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874</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277</w:t>
            </w:r>
          </w:p>
        </w:tc>
        <w:tc>
          <w:tcPr>
            <w:tcW w:w="380" w:type="dxa"/>
            <w:vAlign w:val="bottom"/>
            <w:gridSpan w:val="2"/>
          </w:tcPr>
          <w:p>
            <w:pPr>
              <w:ind w:left="300"/>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230</w:t>
            </w:r>
          </w:p>
        </w:tc>
        <w:tc>
          <w:tcPr>
            <w:tcW w:w="20" w:type="dxa"/>
            <w:vAlign w:val="bottom"/>
          </w:tcPr>
          <w:p>
            <w:pPr>
              <w:spacing w:after="0"/>
              <w:rPr>
                <w:sz w:val="9"/>
                <w:szCs w:val="9"/>
                <w:color w:val="auto"/>
              </w:rPr>
            </w:pPr>
          </w:p>
        </w:tc>
      </w:tr>
      <w:tr>
        <w:trPr>
          <w:trHeight w:val="127"/>
        </w:trPr>
        <w:tc>
          <w:tcPr>
            <w:tcW w:w="38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2014–2018</w:t>
            </w:r>
          </w:p>
        </w:tc>
        <w:tc>
          <w:tcPr>
            <w:tcW w:w="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4,379</w:t>
            </w: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1,746</w:t>
            </w:r>
          </w:p>
        </w:tc>
        <w:tc>
          <w:tcPr>
            <w:tcW w:w="380" w:type="dxa"/>
            <w:vAlign w:val="bottom"/>
            <w:tcBorders>
              <w:bottom w:val="single" w:sz="8" w:color="0077C0"/>
            </w:tcBorders>
            <w:gridSpan w:val="2"/>
          </w:tcPr>
          <w:p>
            <w:pPr>
              <w:ind w:left="30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1,205</w:t>
            </w:r>
          </w:p>
        </w:tc>
        <w:tc>
          <w:tcPr>
            <w:tcW w:w="20" w:type="dxa"/>
            <w:vAlign w:val="bottom"/>
            <w:tcBorders>
              <w:bottom w:val="single" w:sz="8" w:color="0077C0"/>
            </w:tcBorders>
          </w:tcPr>
          <w:p>
            <w:pPr>
              <w:spacing w:after="0"/>
              <w:rPr>
                <w:sz w:val="11"/>
                <w:szCs w:val="11"/>
                <w:color w:val="auto"/>
              </w:rPr>
            </w:pPr>
          </w:p>
        </w:tc>
      </w:tr>
    </w:tbl>
    <w:p>
      <w:pPr>
        <w:spacing w:after="0" w:line="135" w:lineRule="exact"/>
        <w:rPr>
          <w:sz w:val="20"/>
          <w:szCs w:val="20"/>
          <w:color w:val="auto"/>
        </w:rPr>
      </w:pPr>
    </w:p>
    <w:p>
      <w:pPr>
        <w:ind w:left="3" w:right="520"/>
        <w:spacing w:after="0" w:line="267" w:lineRule="auto"/>
        <w:rPr>
          <w:sz w:val="20"/>
          <w:szCs w:val="20"/>
          <w:color w:val="auto"/>
        </w:rPr>
      </w:pPr>
      <w:r>
        <w:rPr>
          <w:rFonts w:ascii="Arial" w:cs="Arial" w:eastAsia="Arial" w:hAnsi="Arial"/>
          <w:sz w:val="13"/>
          <w:szCs w:val="13"/>
          <w:i w:val="1"/>
          <w:iCs w:val="1"/>
          <w:color w:val="E51837"/>
        </w:rPr>
        <w:t xml:space="preserve">Employee Savings Investment Plan </w:t>
      </w:r>
      <w:r>
        <w:rPr>
          <w:rFonts w:ascii="Arial" w:cs="Arial" w:eastAsia="Arial" w:hAnsi="Arial"/>
          <w:sz w:val="13"/>
          <w:szCs w:val="13"/>
          <w:color w:val="000000"/>
        </w:rPr>
        <w:t>Eligible employees of Chevron and certain of its subsidiaries</w:t>
      </w:r>
      <w:r>
        <w:rPr>
          <w:rFonts w:ascii="Arial" w:cs="Arial" w:eastAsia="Arial" w:hAnsi="Arial"/>
          <w:sz w:val="13"/>
          <w:szCs w:val="13"/>
          <w:i w:val="1"/>
          <w:iCs w:val="1"/>
          <w:color w:val="E51837"/>
        </w:rPr>
        <w:t xml:space="preserve"> </w:t>
      </w:r>
      <w:r>
        <w:rPr>
          <w:rFonts w:ascii="Arial" w:cs="Arial" w:eastAsia="Arial" w:hAnsi="Arial"/>
          <w:sz w:val="13"/>
          <w:szCs w:val="13"/>
          <w:color w:val="000000"/>
        </w:rPr>
        <w:t>participate in the Chevron Employee Savings Investment Plan (ESIP).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160"/>
        <w:spacing w:after="0" w:line="303" w:lineRule="auto"/>
        <w:rPr>
          <w:sz w:val="20"/>
          <w:szCs w:val="20"/>
          <w:color w:val="auto"/>
        </w:rPr>
      </w:pPr>
      <w:r>
        <w:rPr>
          <w:rFonts w:ascii="Arial" w:cs="Arial" w:eastAsia="Arial" w:hAnsi="Arial"/>
          <w:sz w:val="11"/>
          <w:szCs w:val="11"/>
          <w:color w:val="auto"/>
        </w:rPr>
        <w:t>Charges to expense for the ESIP represent the company’s contributions to the plan, which are funded either through the purchase of shares of common stock on the open market or through the release of common stock held in the leveraged employee stock ownership plan (LESOP), which follows. Total company matching contributions to employee accounts within the ESIP were $231, $206 and $169 in 2008, 2007 and 2006, respectively. This cost was reduced by the value of shares released from the LESOP totaling $40, $33 and $6 in 2008, 2007 and 2006, respectively. The remaining amounts, totaling $191, $173 and $163 in 2008, 2007 and 2006, respectively, represent open market purchases.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i w:val="1"/>
          <w:iCs w:val="1"/>
          <w:color w:val="E51837"/>
        </w:rPr>
        <w:t xml:space="preserve">Employee Stock Ownership Plan </w:t>
      </w:r>
      <w:r>
        <w:rPr>
          <w:rFonts w:ascii="Arial" w:cs="Arial" w:eastAsia="Arial" w:hAnsi="Arial"/>
          <w:sz w:val="13"/>
          <w:szCs w:val="13"/>
          <w:color w:val="000000"/>
        </w:rPr>
        <w:t>Within the Chevron ESIP is an employee stock ownership plan (ESOP).</w:t>
      </w:r>
      <w:r>
        <w:rPr>
          <w:rFonts w:ascii="Arial" w:cs="Arial" w:eastAsia="Arial" w:hAnsi="Arial"/>
          <w:sz w:val="13"/>
          <w:szCs w:val="13"/>
          <w:i w:val="1"/>
          <w:iCs w:val="1"/>
          <w:color w:val="E51837"/>
        </w:rPr>
        <w:t xml:space="preserve"> </w:t>
      </w:r>
      <w:r>
        <w:rPr>
          <w:rFonts w:ascii="Arial" w:cs="Arial" w:eastAsia="Arial" w:hAnsi="Arial"/>
          <w:sz w:val="13"/>
          <w:szCs w:val="13"/>
          <w:color w:val="000000"/>
        </w:rPr>
        <w:t>In 1989, Chevron established a LESOP as a constituent part of the ESOP. The LESOP provides partial prefunding of the company’s future commitments to the ESIP.</w:t>
      </w:r>
    </w:p>
    <w:p>
      <w:pPr>
        <w:spacing w:after="0" w:line="108" w:lineRule="exact"/>
        <w:rPr>
          <w:sz w:val="20"/>
          <w:szCs w:val="20"/>
          <w:color w:val="auto"/>
        </w:rPr>
      </w:pPr>
    </w:p>
    <w:p>
      <w:pPr>
        <w:ind w:firstLine="153"/>
        <w:spacing w:after="0" w:line="248" w:lineRule="auto"/>
        <w:rPr>
          <w:sz w:val="20"/>
          <w:szCs w:val="20"/>
          <w:color w:val="auto"/>
        </w:rPr>
      </w:pPr>
      <w:r>
        <w:rPr>
          <w:rFonts w:ascii="Arial" w:cs="Arial" w:eastAsia="Arial" w:hAnsi="Arial"/>
          <w:sz w:val="13"/>
          <w:szCs w:val="13"/>
          <w:color w:val="auto"/>
        </w:rPr>
        <w:t xml:space="preserve">As permitted by American Institute of Certified Public Accountants (AICPA) Statement of Position 93-6, </w:t>
      </w:r>
      <w:r>
        <w:rPr>
          <w:rFonts w:ascii="Arial" w:cs="Arial" w:eastAsia="Arial" w:hAnsi="Arial"/>
          <w:sz w:val="13"/>
          <w:szCs w:val="13"/>
          <w:i w:val="1"/>
          <w:iCs w:val="1"/>
          <w:color w:val="auto"/>
        </w:rPr>
        <w:t>Employers’ Accounting for Employee Stock Ownership Plans</w:t>
      </w:r>
      <w:r>
        <w:rPr>
          <w:rFonts w:ascii="Arial" w:cs="Arial" w:eastAsia="Arial" w:hAnsi="Arial"/>
          <w:sz w:val="13"/>
          <w:szCs w:val="13"/>
          <w:color w:val="auto"/>
        </w:rPr>
        <w:t xml:space="preserve">, the company has elected to continue its practices, which are based on AICPA Statement of Position 76-3, </w:t>
      </w:r>
      <w:r>
        <w:rPr>
          <w:rFonts w:ascii="Arial" w:cs="Arial" w:eastAsia="Arial" w:hAnsi="Arial"/>
          <w:sz w:val="13"/>
          <w:szCs w:val="13"/>
          <w:i w:val="1"/>
          <w:iCs w:val="1"/>
          <w:color w:val="auto"/>
        </w:rPr>
        <w:t>Accounting Practices for Certain</w:t>
      </w:r>
      <w:r>
        <w:rPr>
          <w:rFonts w:ascii="Arial" w:cs="Arial" w:eastAsia="Arial" w:hAnsi="Arial"/>
          <w:sz w:val="13"/>
          <w:szCs w:val="13"/>
          <w:color w:val="auto"/>
        </w:rPr>
        <w:t xml:space="preserve"> </w:t>
      </w:r>
      <w:r>
        <w:rPr>
          <w:rFonts w:ascii="Arial" w:cs="Arial" w:eastAsia="Arial" w:hAnsi="Arial"/>
          <w:sz w:val="13"/>
          <w:szCs w:val="13"/>
          <w:i w:val="1"/>
          <w:iCs w:val="1"/>
          <w:color w:val="auto"/>
        </w:rPr>
        <w:t>Employee Stock Ownership Plans</w:t>
      </w:r>
      <w:r>
        <w:rPr>
          <w:rFonts w:ascii="Arial" w:cs="Arial" w:eastAsia="Arial" w:hAnsi="Arial"/>
          <w:sz w:val="13"/>
          <w:szCs w:val="13"/>
          <w:color w:val="auto"/>
        </w:rPr>
        <w:t>, and subsequent consensus of the EITF of the FASB. The debt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LESOP is recorded as debt, and shares pledged as collateral are reported as “Deferred compensation and benefit plan trust” on the Consolidated Balance Sheet and the Consolidated Statement of Stockholders’ Equity.</w:t>
      </w:r>
    </w:p>
    <w:p>
      <w:pPr>
        <w:spacing w:after="0" w:line="3" w:lineRule="exact"/>
        <w:rPr>
          <w:sz w:val="20"/>
          <w:szCs w:val="20"/>
          <w:color w:val="auto"/>
        </w:rPr>
      </w:pPr>
    </w:p>
    <w:p>
      <w:pPr>
        <w:ind w:right="40" w:firstLine="158"/>
        <w:spacing w:after="0" w:line="291" w:lineRule="auto"/>
        <w:rPr>
          <w:sz w:val="20"/>
          <w:szCs w:val="20"/>
          <w:color w:val="auto"/>
        </w:rPr>
      </w:pPr>
      <w:r>
        <w:rPr>
          <w:rFonts w:ascii="Arial" w:cs="Arial" w:eastAsia="Arial" w:hAnsi="Arial"/>
          <w:sz w:val="11"/>
          <w:szCs w:val="11"/>
          <w:color w:val="auto"/>
        </w:rPr>
        <w:t>The company reports compensation expense equal to LESOP debt principal repayments less dividends received and used by the LESOP for debt service. Interest accrued on LESOP debt is recorded as interest expense. Dividends paid on LESOP shares are reflected as a reduction of retained earnings. All LESOP shares are considered outstanding for earnings-per-share computations.</w:t>
      </w:r>
    </w:p>
    <w:p>
      <w:pPr>
        <w:spacing w:after="0" w:line="2" w:lineRule="exact"/>
        <w:rPr>
          <w:sz w:val="20"/>
          <w:szCs w:val="20"/>
          <w:color w:val="auto"/>
        </w:rPr>
      </w:pPr>
    </w:p>
    <w:p>
      <w:pPr>
        <w:jc w:val="both"/>
        <w:ind w:right="60" w:firstLine="153"/>
        <w:spacing w:after="0" w:line="267" w:lineRule="auto"/>
        <w:rPr>
          <w:sz w:val="20"/>
          <w:szCs w:val="20"/>
          <w:color w:val="auto"/>
        </w:rPr>
      </w:pPr>
      <w:r>
        <w:rPr>
          <w:rFonts w:ascii="Arial" w:cs="Arial" w:eastAsia="Arial" w:hAnsi="Arial"/>
          <w:sz w:val="12"/>
          <w:szCs w:val="12"/>
          <w:color w:val="auto"/>
        </w:rPr>
        <w:t>A net credit to expense of $1 was recorded for the LESOP each year in 2008, 2007 and 2006. The net credit for the respective years was composed of credits to compensation expense of $15, $17 and $18 and charges to interest expense for LESOP debt of $14, $16 and $17.</w:t>
      </w:r>
    </w:p>
    <w:p>
      <w:pPr>
        <w:spacing w:after="0" w:line="1" w:lineRule="exact"/>
        <w:rPr>
          <w:sz w:val="20"/>
          <w:szCs w:val="20"/>
          <w:color w:val="auto"/>
        </w:rPr>
      </w:pPr>
    </w:p>
    <w:p>
      <w:pPr>
        <w:ind w:right="40" w:firstLine="160"/>
        <w:spacing w:after="0" w:line="248" w:lineRule="auto"/>
        <w:rPr>
          <w:sz w:val="20"/>
          <w:szCs w:val="20"/>
          <w:color w:val="auto"/>
        </w:rPr>
      </w:pPr>
      <w:r>
        <w:rPr>
          <w:rFonts w:ascii="Arial" w:cs="Arial" w:eastAsia="Arial" w:hAnsi="Arial"/>
          <w:sz w:val="13"/>
          <w:szCs w:val="13"/>
          <w:color w:val="auto"/>
        </w:rPr>
        <w:t>Of the dividends paid on the LESOP shares, $35, $8 and $59 were used in 2008, 2007 and 2006, respectively, to service LESOP debt. The amount in 2006 included $28 of LESOP debt service that was scheduled for payment on the first business day of January 2007 and was paid in late December 2006. No contributions were required in 2008, 2007 or 2006 as dividends received by the LESOP were sufficient to satisfy LESOP debt service.</w:t>
      </w:r>
    </w:p>
    <w:p>
      <w:pPr>
        <w:spacing w:after="0" w:line="722" w:lineRule="exact"/>
        <w:rPr>
          <w:sz w:val="20"/>
          <w:szCs w:val="20"/>
          <w:color w:val="auto"/>
        </w:rPr>
      </w:pPr>
    </w:p>
    <w:p>
      <w:pPr>
        <w:sectPr>
          <w:pgSz w:w="11900" w:h="16838" w:orient="portrait"/>
          <w:cols w:equalWidth="0" w:num="2">
            <w:col w:w="5503" w:space="460"/>
            <w:col w:w="5460"/>
          </w:cols>
          <w:pgMar w:left="217" w:top="338" w:right="259" w:bottom="1440" w:gutter="0" w:footer="0" w:header="0"/>
          <w:type w:val="continuous"/>
        </w:sectPr>
      </w:pPr>
    </w:p>
    <w:p>
      <w:pPr>
        <w:spacing w:after="0" w:line="191" w:lineRule="exact"/>
        <w:rPr>
          <w:sz w:val="20"/>
          <w:szCs w:val="20"/>
          <w:color w:val="auto"/>
        </w:rPr>
      </w:pPr>
    </w:p>
    <w:p>
      <w:pPr>
        <w:jc w:val="center"/>
        <w:ind w:right="-62"/>
        <w:spacing w:after="0"/>
        <w:rPr>
          <w:sz w:val="20"/>
          <w:szCs w:val="20"/>
          <w:color w:val="auto"/>
        </w:rPr>
      </w:pPr>
      <w:r>
        <w:rPr>
          <w:rFonts w:ascii="Arial" w:cs="Arial" w:eastAsia="Arial" w:hAnsi="Arial"/>
          <w:sz w:val="10"/>
          <w:szCs w:val="10"/>
          <w:color w:val="auto"/>
        </w:rPr>
        <w:t>FS-55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3"/>
          </w:cols>
          <w:pgMar w:left="217" w:top="338" w:right="259" w:bottom="1440" w:gutter="0" w:footer="0" w:header="0"/>
          <w:type w:val="continuous"/>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40"/>
        <w:spacing w:after="0"/>
        <w:rPr>
          <w:sz w:val="20"/>
          <w:szCs w:val="20"/>
          <w:color w:val="auto"/>
        </w:rPr>
      </w:pPr>
      <w:r>
        <w:rPr>
          <w:rFonts w:ascii="Arial" w:cs="Arial" w:eastAsia="Arial" w:hAnsi="Arial"/>
          <w:sz w:val="12"/>
          <w:szCs w:val="12"/>
          <w:color w:val="0077C0"/>
        </w:rPr>
        <w:t>Notes to the Consolidated Financial Statements</w:t>
      </w:r>
    </w:p>
    <w:p>
      <w:pPr>
        <w:jc w:val="right"/>
        <w:ind w:right="594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22 </w:t>
      </w:r>
      <w:r>
        <w:rPr>
          <w:rFonts w:ascii="Arial" w:cs="Arial" w:eastAsia="Arial" w:hAnsi="Arial"/>
          <w:sz w:val="8"/>
          <w:szCs w:val="8"/>
          <w:color w:val="000000"/>
        </w:rPr>
        <w:t>Employee Benefit Plans - Continued</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both"/>
        <w:ind w:right="80" w:firstLine="160"/>
        <w:spacing w:after="0" w:line="288" w:lineRule="auto"/>
        <w:rPr>
          <w:sz w:val="20"/>
          <w:szCs w:val="20"/>
          <w:color w:val="auto"/>
        </w:rPr>
      </w:pPr>
      <w:r>
        <w:rPr>
          <w:rFonts w:ascii="Arial" w:cs="Arial" w:eastAsia="Arial" w:hAnsi="Arial"/>
          <w:sz w:val="12"/>
          <w:szCs w:val="12"/>
          <w:color w:val="auto"/>
        </w:rPr>
        <w:t>Shares held in the LESOP are released and allocated to the accounts of plan participants based on debt service deemed to be paid in the year in proportion to the total of current year and remaining debt service. LESOP shares as of December 31, 2008 and 2007,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Thousands</w:t>
            </w:r>
          </w:p>
        </w:tc>
        <w:tc>
          <w:tcPr>
            <w:tcW w:w="24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2008</w:t>
            </w: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2007</w:t>
            </w:r>
          </w:p>
        </w:tc>
        <w:tc>
          <w:tcPr>
            <w:tcW w:w="20" w:type="dxa"/>
            <w:vAlign w:val="bottom"/>
          </w:tcPr>
          <w:p>
            <w:pPr>
              <w:spacing w:after="0"/>
              <w:rPr>
                <w:sz w:val="10"/>
                <w:szCs w:val="10"/>
                <w:color w:val="auto"/>
              </w:rPr>
            </w:pPr>
          </w:p>
        </w:tc>
      </w:tr>
      <w:tr>
        <w:trPr>
          <w:trHeight w:val="90"/>
        </w:trPr>
        <w:tc>
          <w:tcPr>
            <w:tcW w:w="2620" w:type="dxa"/>
            <w:vAlign w:val="bottom"/>
          </w:tcPr>
          <w:p>
            <w:pPr>
              <w:spacing w:after="0" w:line="91" w:lineRule="exact"/>
              <w:rPr>
                <w:sz w:val="20"/>
                <w:szCs w:val="20"/>
                <w:color w:val="auto"/>
              </w:rPr>
            </w:pPr>
            <w:r>
              <w:rPr>
                <w:rFonts w:ascii="Arial" w:cs="Arial" w:eastAsia="Arial" w:hAnsi="Arial"/>
                <w:sz w:val="10"/>
                <w:szCs w:val="10"/>
                <w:color w:val="auto"/>
              </w:rPr>
              <w:t>Allocated shares</w:t>
            </w:r>
          </w:p>
        </w:tc>
        <w:tc>
          <w:tcPr>
            <w:tcW w:w="2420" w:type="dxa"/>
            <w:vAlign w:val="bottom"/>
            <w:tcBorders>
              <w:right w:val="single" w:sz="8" w:color="0077C0"/>
            </w:tcBorders>
          </w:tcPr>
          <w:p>
            <w:pPr>
              <w:jc w:val="right"/>
              <w:ind w:right="290"/>
              <w:spacing w:after="0" w:line="91" w:lineRule="exact"/>
              <w:rPr>
                <w:sz w:val="20"/>
                <w:szCs w:val="20"/>
                <w:color w:val="auto"/>
              </w:rPr>
            </w:pPr>
            <w:r>
              <w:rPr>
                <w:rFonts w:ascii="Arial" w:cs="Arial" w:eastAsia="Arial" w:hAnsi="Arial"/>
                <w:sz w:val="10"/>
                <w:szCs w:val="10"/>
                <w:b w:val="1"/>
                <w:bCs w:val="1"/>
                <w:color w:val="auto"/>
              </w:rPr>
              <w:t>19,651</w:t>
            </w: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20,506</w:t>
            </w:r>
          </w:p>
        </w:tc>
        <w:tc>
          <w:tcPr>
            <w:tcW w:w="20" w:type="dxa"/>
            <w:vAlign w:val="bottom"/>
          </w:tcPr>
          <w:p>
            <w:pPr>
              <w:spacing w:after="0"/>
              <w:rPr>
                <w:sz w:val="7"/>
                <w:szCs w:val="7"/>
                <w:color w:val="auto"/>
              </w:rPr>
            </w:pPr>
          </w:p>
        </w:tc>
      </w:tr>
      <w:tr>
        <w:trPr>
          <w:trHeight w:val="120"/>
        </w:trPr>
        <w:tc>
          <w:tcPr>
            <w:tcW w:w="26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Unallocated shares</w:t>
            </w:r>
          </w:p>
        </w:tc>
        <w:tc>
          <w:tcPr>
            <w:tcW w:w="2420" w:type="dxa"/>
            <w:vAlign w:val="bottom"/>
            <w:tcBorders>
              <w:bottom w:val="single" w:sz="8" w:color="0077C0"/>
              <w:right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6,366</w:t>
            </w:r>
          </w:p>
        </w:tc>
        <w:tc>
          <w:tcPr>
            <w:tcW w:w="4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7,365</w:t>
            </w:r>
          </w:p>
        </w:tc>
      </w:tr>
      <w:tr>
        <w:trPr>
          <w:trHeight w:val="105"/>
        </w:trPr>
        <w:tc>
          <w:tcPr>
            <w:tcW w:w="26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LESOP shares</w:t>
            </w:r>
          </w:p>
        </w:tc>
        <w:tc>
          <w:tcPr>
            <w:tcW w:w="2420" w:type="dxa"/>
            <w:vAlign w:val="bottom"/>
            <w:tcBorders>
              <w:bottom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26,017</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27,871</w:t>
            </w:r>
          </w:p>
        </w:tc>
        <w:tc>
          <w:tcPr>
            <w:tcW w:w="20" w:type="dxa"/>
            <w:vAlign w:val="bottom"/>
          </w:tcPr>
          <w:p>
            <w:pPr>
              <w:spacing w:after="0"/>
              <w:rPr>
                <w:sz w:val="9"/>
                <w:szCs w:val="9"/>
                <w:color w:val="auto"/>
              </w:rPr>
            </w:pPr>
          </w:p>
        </w:tc>
      </w:tr>
    </w:tbl>
    <w:p>
      <w:pPr>
        <w:spacing w:after="0" w:line="135"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i w:val="1"/>
          <w:iCs w:val="1"/>
          <w:color w:val="E51837"/>
        </w:rPr>
        <w:t xml:space="preserve">Benefit Plan Trusts </w:t>
      </w:r>
      <w:r>
        <w:rPr>
          <w:rFonts w:ascii="Arial" w:cs="Arial" w:eastAsia="Arial" w:hAnsi="Arial"/>
          <w:sz w:val="12"/>
          <w:szCs w:val="12"/>
          <w:color w:val="000000"/>
        </w:rPr>
        <w:t>Prior to its acquisition by Chevron, Texaco established a benefit plan trust for funding</w:t>
      </w:r>
      <w:r>
        <w:rPr>
          <w:rFonts w:ascii="Arial" w:cs="Arial" w:eastAsia="Arial" w:hAnsi="Arial"/>
          <w:sz w:val="12"/>
          <w:szCs w:val="12"/>
          <w:i w:val="1"/>
          <w:iCs w:val="1"/>
          <w:color w:val="E51837"/>
        </w:rPr>
        <w:t xml:space="preserve"> </w:t>
      </w:r>
      <w:r>
        <w:rPr>
          <w:rFonts w:ascii="Arial" w:cs="Arial" w:eastAsia="Arial" w:hAnsi="Arial"/>
          <w:sz w:val="12"/>
          <w:szCs w:val="12"/>
          <w:color w:val="000000"/>
        </w:rPr>
        <w:t>obligations under some of its benefit plans. At year-end 2008, the trust contained 14.2 million shares of Chevron treasury stock. The trust will sell the shares or use the dividends from the shares to pay benefits only to the extent that the company does not pay such benefits. The company intends to continue to pay its obligations under the benefit plans. The trustee will vote the shares held in the trust as instructed by the trust’s beneficiaries. The shares held in the trust are not considered outstanding for earnings-per-share purposes until distributed or sold by the trust in payment of benefit obligations.</w:t>
      </w:r>
    </w:p>
    <w:p>
      <w:pPr>
        <w:spacing w:after="0" w:line="98" w:lineRule="exact"/>
        <w:rPr>
          <w:sz w:val="20"/>
          <w:szCs w:val="20"/>
          <w:color w:val="auto"/>
        </w:rPr>
      </w:pPr>
    </w:p>
    <w:p>
      <w:pPr>
        <w:ind w:right="20" w:firstLine="160"/>
        <w:spacing w:after="0" w:line="253" w:lineRule="auto"/>
        <w:rPr>
          <w:sz w:val="20"/>
          <w:szCs w:val="20"/>
          <w:color w:val="auto"/>
        </w:rPr>
      </w:pPr>
      <w:r>
        <w:rPr>
          <w:rFonts w:ascii="Arial" w:cs="Arial" w:eastAsia="Arial" w:hAnsi="Arial"/>
          <w:sz w:val="13"/>
          <w:szCs w:val="13"/>
          <w:color w:val="auto"/>
        </w:rPr>
        <w:t>Prior to its acquisition by Chevron, Unocal established various grantor trusts to fund obligations under some of its benefit plans, including the deferred compensation and supplemental retirement plans. At December 31, 2008 and 2007, trust assets of $60 and $69, respectively, were invested primarily in interest-earning accounts.</w:t>
      </w:r>
    </w:p>
    <w:p>
      <w:pPr>
        <w:spacing w:after="0" w:line="110"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i w:val="1"/>
          <w:iCs w:val="1"/>
          <w:color w:val="E51837"/>
        </w:rPr>
        <w:t xml:space="preserve">Employee Incentive Plans </w:t>
      </w:r>
      <w:r>
        <w:rPr>
          <w:rFonts w:ascii="Arial" w:cs="Arial" w:eastAsia="Arial" w:hAnsi="Arial"/>
          <w:sz w:val="12"/>
          <w:szCs w:val="12"/>
          <w:color w:val="000000"/>
        </w:rPr>
        <w:t>Effective January 2008, the company established the Chevron Incentive Plan</w:t>
      </w:r>
      <w:r>
        <w:rPr>
          <w:rFonts w:ascii="Arial" w:cs="Arial" w:eastAsia="Arial" w:hAnsi="Arial"/>
          <w:sz w:val="12"/>
          <w:szCs w:val="12"/>
          <w:i w:val="1"/>
          <w:iCs w:val="1"/>
          <w:color w:val="E51837"/>
        </w:rPr>
        <w:t xml:space="preserve"> </w:t>
      </w:r>
      <w:r>
        <w:rPr>
          <w:rFonts w:ascii="Arial" w:cs="Arial" w:eastAsia="Arial" w:hAnsi="Arial"/>
          <w:sz w:val="12"/>
          <w:szCs w:val="12"/>
          <w:color w:val="000000"/>
        </w:rPr>
        <w:t>(CIP), a single annual cash bonus plan for eligible employees that links awards to corporate, unit and individual performance in the prior year. This plan replaced other cash bonus programs, which primarily included the Management Incentive Plan (MIP) and the Chevron Success Sharing program. In 2008, charges to expense for cash bonuses were $757. Charges to expense for MIP were $184 and $180 in 2007 and 2006, respectively. Charges for other cash bonus programs were $431 and $329 in 2007 and 2006, respectively. Chevron also has a Long-Term Incentive Plan (LTIP) for officers and other regular salaried employees of the company and its subsidiaries who hold positions of significant responsibility. Awards under LTIP consist of stock options and other share-based compensation that are described in Note 21 on page FS-49.</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23</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0077C0"/>
        </w:rPr>
        <w:t>Other Contingencies and Commitments</w:t>
      </w:r>
    </w:p>
    <w:p>
      <w:pPr>
        <w:spacing w:after="0" w:line="1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i w:val="1"/>
          <w:iCs w:val="1"/>
          <w:color w:val="E51837"/>
        </w:rPr>
        <w:t xml:space="preserve">Income Taxes </w:t>
      </w:r>
      <w:r>
        <w:rPr>
          <w:rFonts w:ascii="Arial" w:cs="Arial" w:eastAsia="Arial" w:hAnsi="Arial"/>
          <w:sz w:val="13"/>
          <w:szCs w:val="13"/>
          <w:color w:val="000000"/>
        </w:rPr>
        <w:t>The company calculates its income tax expense and liabilities quarterly. These liabilities</w:t>
      </w:r>
      <w:r>
        <w:rPr>
          <w:rFonts w:ascii="Arial" w:cs="Arial" w:eastAsia="Arial" w:hAnsi="Arial"/>
          <w:sz w:val="13"/>
          <w:szCs w:val="13"/>
          <w:i w:val="1"/>
          <w:iCs w:val="1"/>
          <w:color w:val="E51837"/>
        </w:rPr>
        <w:t xml:space="preserve"> </w:t>
      </w:r>
      <w:r>
        <w:rPr>
          <w:rFonts w:ascii="Arial" w:cs="Arial" w:eastAsia="Arial" w:hAnsi="Arial"/>
          <w:sz w:val="13"/>
          <w:szCs w:val="13"/>
          <w:color w:val="000000"/>
        </w:rPr>
        <w:t>generally are subject to audit and are not finalized with the individual taxing authorities until several years after the end of the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period for which income taxes have been calculated. Refer to Note 16 beginning on page FS-45 for a discussion of the periods for which tax returns have been audited for the company’s major tax jurisdictions and a discussion for all tax jurisdictions of the differences between the amount of tax benefits recognized in the financial statements and the amount taken or expected to be taken in a tax return. The company does not expect settlement of income tax liabilities associated with uncertain tax positions will have a material effect on its results of operations, consolidated financial position or liquidity.</w:t>
      </w:r>
    </w:p>
    <w:p>
      <w:pPr>
        <w:spacing w:after="0" w:line="93"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i w:val="1"/>
          <w:iCs w:val="1"/>
          <w:color w:val="E51837"/>
        </w:rPr>
        <w:t xml:space="preserve">Guarantees </w:t>
      </w:r>
      <w:r>
        <w:rPr>
          <w:rFonts w:ascii="Arial" w:cs="Arial" w:eastAsia="Arial" w:hAnsi="Arial"/>
          <w:sz w:val="11"/>
          <w:szCs w:val="11"/>
          <w:color w:val="000000"/>
        </w:rPr>
        <w:t>The company has issued a guarantee of approximately $600 associated with certain payments</w:t>
      </w:r>
      <w:r>
        <w:rPr>
          <w:rFonts w:ascii="Arial" w:cs="Arial" w:eastAsia="Arial" w:hAnsi="Arial"/>
          <w:sz w:val="11"/>
          <w:szCs w:val="11"/>
          <w:i w:val="1"/>
          <w:iCs w:val="1"/>
          <w:color w:val="E51837"/>
        </w:rPr>
        <w:t xml:space="preserve"> </w:t>
      </w:r>
      <w:r>
        <w:rPr>
          <w:rFonts w:ascii="Arial" w:cs="Arial" w:eastAsia="Arial" w:hAnsi="Arial"/>
          <w:sz w:val="11"/>
          <w:szCs w:val="11"/>
          <w:color w:val="000000"/>
        </w:rPr>
        <w:t>under a terminal use agreement entered into by a company affiliate. The terminal is expected to be operational by 2012. Over the approximate 16-year term of the guarantee, the maximum guarantee amount will reduce over time as certain fees are paid by the affiliate. There are numerous cross-indemnity agreements with the affiliate and the other partners to permit recovery of any amounts paid under the guarantee. Chevron carries no liability for its obligation under this guarantee.</w:t>
      </w:r>
    </w:p>
    <w:p>
      <w:pPr>
        <w:spacing w:after="0" w:line="83" w:lineRule="exact"/>
        <w:rPr>
          <w:sz w:val="20"/>
          <w:szCs w:val="20"/>
          <w:color w:val="auto"/>
        </w:rPr>
      </w:pPr>
    </w:p>
    <w:p>
      <w:pPr>
        <w:ind w:right="180"/>
        <w:spacing w:after="0" w:line="305" w:lineRule="auto"/>
        <w:rPr>
          <w:sz w:val="20"/>
          <w:szCs w:val="20"/>
          <w:color w:val="auto"/>
        </w:rPr>
      </w:pPr>
      <w:r>
        <w:rPr>
          <w:rFonts w:ascii="Arial" w:cs="Arial" w:eastAsia="Arial" w:hAnsi="Arial"/>
          <w:sz w:val="11"/>
          <w:szCs w:val="11"/>
          <w:i w:val="1"/>
          <w:iCs w:val="1"/>
          <w:color w:val="E51837"/>
        </w:rPr>
        <w:t xml:space="preserve">Indemnifications </w:t>
      </w:r>
      <w:r>
        <w:rPr>
          <w:rFonts w:ascii="Arial" w:cs="Arial" w:eastAsia="Arial" w:hAnsi="Arial"/>
          <w:sz w:val="11"/>
          <w:szCs w:val="11"/>
          <w:color w:val="000000"/>
        </w:rPr>
        <w:t>The company provided certain indemnities of contingent liabilities of Equilon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Motiva to Shell and Saudi Refining, Inc., in connection with the February 2002 sale of the company’s interests in those investments. The company would be required to perform if the indemnified liabilities become actual losses. Were that to occur, the company could be required to make future payments up to $300. Through the end of 2008, the company paid $48 under these indemnities and continues to be obligated for possible additional indemnification payments in the future.</w:t>
      </w:r>
    </w:p>
    <w:p>
      <w:pPr>
        <w:spacing w:after="0" w:line="83" w:lineRule="exact"/>
        <w:rPr>
          <w:sz w:val="20"/>
          <w:szCs w:val="20"/>
          <w:color w:val="auto"/>
        </w:rPr>
      </w:pPr>
    </w:p>
    <w:p>
      <w:pPr>
        <w:ind w:firstLine="158"/>
        <w:spacing w:after="0" w:line="297" w:lineRule="auto"/>
        <w:rPr>
          <w:sz w:val="20"/>
          <w:szCs w:val="20"/>
          <w:color w:val="auto"/>
        </w:rPr>
      </w:pPr>
      <w:r>
        <w:rPr>
          <w:rFonts w:ascii="Arial" w:cs="Arial" w:eastAsia="Arial" w:hAnsi="Arial"/>
          <w:sz w:val="11"/>
          <w:szCs w:val="11"/>
          <w:color w:val="auto"/>
        </w:rPr>
        <w:t>The company has also provided indemnities relating to contingent environmental liabilities related to assets originally contributed by Texaco to the Equilon and Motiva joint ventures and environmental conditions that existed prior to the formation of Equilon and Motiva or that occurred during the period of Texaco’s ownership interest in the joint ventures. In general, the environmental conditions or events that are subject to these indemnities must have arisen prior to December 2001. Claims must be asserted no later than February 2009 for Equilon indemnities and no later than February 2012 for Motiva indemnities. Under the terms of these indemnities, there is no maximum limit on the amount of potential future payments. In February 2009, Shell delivered a letter to the company purporting to preserve unmatured claims for certain Equilon indemnities. The letter itself provides no estimate of the ultimate claim amount, and management does not believe the letter provides a basis to estimate the amount, if any, of a range of loss or potential range of loss with respect to the Equilon or the Motiva indemnities. The company posts no assets as collateral and has made no payments under the indemnities.</w:t>
      </w:r>
    </w:p>
    <w:p>
      <w:pPr>
        <w:spacing w:after="0" w:line="94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64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23 </w:t>
      </w:r>
      <w:r>
        <w:rPr>
          <w:rFonts w:ascii="Arial" w:cs="Arial" w:eastAsia="Arial" w:hAnsi="Arial"/>
          <w:sz w:val="8"/>
          <w:szCs w:val="8"/>
          <w:color w:val="000000"/>
        </w:rPr>
        <w:t>Other Contingencies and Commitments - Continued</w:t>
      </w:r>
    </w:p>
    <w:p>
      <w:pPr>
        <w:sectPr>
          <w:pgSz w:w="11900" w:h="16838" w:orient="portrait"/>
          <w:cols w:equalWidth="0" w:num="1">
            <w:col w:w="11460"/>
          </w:cols>
          <w:pgMar w:left="220" w:top="338" w:right="219" w:bottom="1440" w:gutter="0" w:footer="0" w:header="0"/>
        </w:sectPr>
      </w:pPr>
    </w:p>
    <w:p>
      <w:pPr>
        <w:spacing w:after="0" w:line="346" w:lineRule="exact"/>
        <w:rPr>
          <w:sz w:val="20"/>
          <w:szCs w:val="20"/>
          <w:color w:val="auto"/>
        </w:rPr>
      </w:pPr>
    </w:p>
    <w:p>
      <w:pPr>
        <w:ind w:right="140" w:firstLine="158"/>
        <w:spacing w:after="0" w:line="251" w:lineRule="auto"/>
        <w:rPr>
          <w:sz w:val="20"/>
          <w:szCs w:val="20"/>
          <w:color w:val="auto"/>
        </w:rPr>
      </w:pPr>
      <w:r>
        <w:rPr>
          <w:rFonts w:ascii="Arial" w:cs="Arial" w:eastAsia="Arial" w:hAnsi="Arial"/>
          <w:sz w:val="13"/>
          <w:szCs w:val="13"/>
          <w:color w:val="auto"/>
        </w:rPr>
        <w:t>The amounts payable for the indemnities described on the previous page are to be net of amounts recovered from insurance carriers and others and net of liabilities recorded by Equilon or Motiva prior to September 30, 2001, for any applicable incident.</w:t>
      </w:r>
    </w:p>
    <w:p>
      <w:pPr>
        <w:spacing w:after="0" w:line="1" w:lineRule="exact"/>
        <w:rPr>
          <w:sz w:val="20"/>
          <w:szCs w:val="20"/>
          <w:color w:val="auto"/>
        </w:rPr>
      </w:pPr>
    </w:p>
    <w:p>
      <w:pPr>
        <w:ind w:right="20" w:firstLine="160"/>
        <w:spacing w:after="0" w:line="248" w:lineRule="auto"/>
        <w:rPr>
          <w:sz w:val="20"/>
          <w:szCs w:val="20"/>
          <w:color w:val="auto"/>
        </w:rPr>
      </w:pPr>
      <w:r>
        <w:rPr>
          <w:rFonts w:ascii="Arial" w:cs="Arial" w:eastAsia="Arial" w:hAnsi="Arial"/>
          <w:sz w:val="13"/>
          <w:szCs w:val="13"/>
          <w:color w:val="auto"/>
        </w:rPr>
        <w:t>In the acquisition of Unocal, the company assumed certain indemnities relating to contingent environmental liabilities associated with assets that were sold in 1997. Under the indemnification agreement, the company’s liability is unlimited until April 2022, when the indemnification expires. The acquirer shares in certain environmental remediation costs up to a maximum obligation of $200, which had not been reached as of December 31, 2008.</w:t>
      </w:r>
    </w:p>
    <w:p>
      <w:pPr>
        <w:spacing w:after="0" w:line="123" w:lineRule="exact"/>
        <w:rPr>
          <w:sz w:val="20"/>
          <w:szCs w:val="20"/>
          <w:color w:val="auto"/>
        </w:rPr>
      </w:pPr>
    </w:p>
    <w:p>
      <w:pPr>
        <w:spacing w:after="0" w:line="288" w:lineRule="auto"/>
        <w:rPr>
          <w:sz w:val="20"/>
          <w:szCs w:val="20"/>
          <w:color w:val="auto"/>
        </w:rPr>
      </w:pPr>
      <w:r>
        <w:rPr>
          <w:rFonts w:ascii="Arial" w:cs="Arial" w:eastAsia="Arial" w:hAnsi="Arial"/>
          <w:sz w:val="12"/>
          <w:szCs w:val="12"/>
          <w:i w:val="1"/>
          <w:iCs w:val="1"/>
          <w:color w:val="E51837"/>
        </w:rPr>
        <w:t xml:space="preserve">Securitization </w:t>
      </w:r>
      <w:r>
        <w:rPr>
          <w:rFonts w:ascii="Arial" w:cs="Arial" w:eastAsia="Arial" w:hAnsi="Arial"/>
          <w:sz w:val="12"/>
          <w:szCs w:val="12"/>
          <w:color w:val="000000"/>
        </w:rPr>
        <w:t>During 2008, the company terminated the program used to securitize downstream-related</w:t>
      </w:r>
      <w:r>
        <w:rPr>
          <w:rFonts w:ascii="Arial" w:cs="Arial" w:eastAsia="Arial" w:hAnsi="Arial"/>
          <w:sz w:val="12"/>
          <w:szCs w:val="12"/>
          <w:i w:val="1"/>
          <w:iCs w:val="1"/>
          <w:color w:val="E51837"/>
        </w:rPr>
        <w:t xml:space="preserve"> </w:t>
      </w:r>
      <w:r>
        <w:rPr>
          <w:rFonts w:ascii="Arial" w:cs="Arial" w:eastAsia="Arial" w:hAnsi="Arial"/>
          <w:sz w:val="12"/>
          <w:szCs w:val="12"/>
          <w:color w:val="000000"/>
        </w:rPr>
        <w:t>trade accounts receivable. At year-end 2007, the balance of securitized receivables was $675 million. As of December 31, 2008, the company had no other securitization arrangements in place.</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2"/>
          <w:szCs w:val="12"/>
          <w:i w:val="1"/>
          <w:iCs w:val="1"/>
          <w:color w:val="E51837"/>
        </w:rPr>
        <w:t xml:space="preserve">Long-Term Unconditional Purchase Obligations and Commitments, Including Throughput and Take-or-Pay Agreements </w:t>
      </w:r>
      <w:r>
        <w:rPr>
          <w:rFonts w:ascii="Arial" w:cs="Arial" w:eastAsia="Arial" w:hAnsi="Arial"/>
          <w:sz w:val="12"/>
          <w:szCs w:val="12"/>
          <w:color w:val="000000"/>
        </w:rPr>
        <w:t>The company and its subsidiaries have certain other contingent liabilities relating to long-term unconditional purchase obligations and commitments, including throughput and take-or-pay agreements, some of which relate to suppliers’ financing arrangements. The agreements typically provide goods and services, such as pipeline and storage capacity, drilling rigs, utilities, and petroleum products, to be used or sold in the ordinary course of the company’s business. The aggregate approximate amounts of required payments under these various commitments are: 2009 – $6,405; 2010 – $3,964; 2011 – $3,578; 2012 – $1,473; 2013 – $1,329; 2014 and after – $4,333. A portion of these commitments may ultimately be shared with project partners. Total payments under the agreements were approximately $5,100 in 2008 $3,700 in 2007 and $3,000 in 2006.</w:t>
      </w:r>
    </w:p>
    <w:p>
      <w:pPr>
        <w:spacing w:after="0" w:line="99" w:lineRule="exact"/>
        <w:rPr>
          <w:sz w:val="20"/>
          <w:szCs w:val="20"/>
          <w:color w:val="auto"/>
        </w:rPr>
      </w:pPr>
    </w:p>
    <w:p>
      <w:pPr>
        <w:ind w:right="340"/>
        <w:spacing w:after="0" w:line="267" w:lineRule="auto"/>
        <w:rPr>
          <w:sz w:val="20"/>
          <w:szCs w:val="20"/>
          <w:color w:val="auto"/>
        </w:rPr>
      </w:pPr>
      <w:r>
        <w:rPr>
          <w:rFonts w:ascii="Arial" w:cs="Arial" w:eastAsia="Arial" w:hAnsi="Arial"/>
          <w:sz w:val="13"/>
          <w:szCs w:val="13"/>
          <w:i w:val="1"/>
          <w:iCs w:val="1"/>
          <w:color w:val="E51837"/>
        </w:rPr>
        <w:t xml:space="preserve">Minority Interests </w:t>
      </w:r>
      <w:r>
        <w:rPr>
          <w:rFonts w:ascii="Arial" w:cs="Arial" w:eastAsia="Arial" w:hAnsi="Arial"/>
          <w:sz w:val="13"/>
          <w:szCs w:val="13"/>
          <w:color w:val="000000"/>
        </w:rPr>
        <w:t>The company has commitments of $469 related to minority interests in subsidiary</w:t>
      </w:r>
      <w:r>
        <w:rPr>
          <w:rFonts w:ascii="Arial" w:cs="Arial" w:eastAsia="Arial" w:hAnsi="Arial"/>
          <w:sz w:val="13"/>
          <w:szCs w:val="13"/>
          <w:i w:val="1"/>
          <w:iCs w:val="1"/>
          <w:color w:val="E51837"/>
        </w:rPr>
        <w:t xml:space="preserve"> </w:t>
      </w:r>
      <w:r>
        <w:rPr>
          <w:rFonts w:ascii="Arial" w:cs="Arial" w:eastAsia="Arial" w:hAnsi="Arial"/>
          <w:sz w:val="13"/>
          <w:szCs w:val="13"/>
          <w:color w:val="000000"/>
        </w:rPr>
        <w:t>companies.</w:t>
      </w:r>
    </w:p>
    <w:p>
      <w:pPr>
        <w:spacing w:after="0" w:line="109" w:lineRule="exact"/>
        <w:rPr>
          <w:sz w:val="20"/>
          <w:szCs w:val="20"/>
          <w:color w:val="auto"/>
        </w:rPr>
      </w:pPr>
    </w:p>
    <w:p>
      <w:pPr>
        <w:ind w:right="20"/>
        <w:spacing w:after="0" w:line="303" w:lineRule="auto"/>
        <w:rPr>
          <w:sz w:val="20"/>
          <w:szCs w:val="20"/>
          <w:color w:val="auto"/>
        </w:rPr>
      </w:pPr>
      <w:r>
        <w:rPr>
          <w:rFonts w:ascii="Arial" w:cs="Arial" w:eastAsia="Arial" w:hAnsi="Arial"/>
          <w:sz w:val="11"/>
          <w:szCs w:val="11"/>
          <w:i w:val="1"/>
          <w:iCs w:val="1"/>
          <w:color w:val="E51837"/>
        </w:rPr>
        <w:t xml:space="preserve">Environmental </w:t>
      </w:r>
      <w:r>
        <w:rPr>
          <w:rFonts w:ascii="Arial" w:cs="Arial" w:eastAsia="Arial" w:hAnsi="Arial"/>
          <w:sz w:val="11"/>
          <w:szCs w:val="11"/>
          <w:color w:val="000000"/>
        </w:rPr>
        <w:t>The company is subject to loss contingencies pursuant to environmental laws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regulations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federal Superfund sites and analogous sites under state laws, refineries, crude oil fields, service stations, terminals, land development areas, and mining operations, whether operating, closed or divested. These future costs are not fully determinable due to such factors as the unknown magnitude of possible contamination,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260"/>
        <w:spacing w:after="0" w:line="251" w:lineRule="auto"/>
        <w:rPr>
          <w:sz w:val="20"/>
          <w:szCs w:val="20"/>
          <w:color w:val="auto"/>
        </w:rPr>
      </w:pPr>
      <w:r>
        <w:rPr>
          <w:rFonts w:ascii="Arial" w:cs="Arial" w:eastAsia="Arial" w:hAnsi="Arial"/>
          <w:sz w:val="13"/>
          <w:szCs w:val="13"/>
          <w:color w:val="auto"/>
        </w:rPr>
        <w:t>the unknown timing and extent of the corrective actions that may be required, the determination of the company’s liability in proportion to other responsible parties, and the extent to which such costs are recoverable from third parties.</w:t>
      </w:r>
    </w:p>
    <w:p>
      <w:pPr>
        <w:spacing w:after="0" w:line="1" w:lineRule="exact"/>
        <w:rPr>
          <w:sz w:val="20"/>
          <w:szCs w:val="20"/>
          <w:color w:val="auto"/>
        </w:rPr>
      </w:pPr>
    </w:p>
    <w:p>
      <w:pPr>
        <w:ind w:right="100" w:firstLine="153"/>
        <w:spacing w:after="0" w:line="291" w:lineRule="auto"/>
        <w:rPr>
          <w:sz w:val="20"/>
          <w:szCs w:val="20"/>
          <w:color w:val="auto"/>
        </w:rPr>
      </w:pPr>
      <w:r>
        <w:rPr>
          <w:rFonts w:ascii="Arial" w:cs="Arial" w:eastAsia="Arial" w:hAnsi="Arial"/>
          <w:sz w:val="11"/>
          <w:szCs w:val="11"/>
          <w:color w:val="auto"/>
        </w:rPr>
        <w:t>Although the company has provided for known environmental obligations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 Also, the company does not believe its obligations to make such expenditures have had, or will have, any significant impact on the company’s competitive position relative to other U.S. or international petroleum or chemical companies.</w:t>
      </w:r>
    </w:p>
    <w:p>
      <w:pPr>
        <w:spacing w:after="0" w:line="2" w:lineRule="exact"/>
        <w:rPr>
          <w:sz w:val="20"/>
          <w:szCs w:val="20"/>
          <w:color w:val="auto"/>
        </w:rPr>
      </w:pPr>
    </w:p>
    <w:p>
      <w:pPr>
        <w:ind w:right="20" w:firstLine="160"/>
        <w:spacing w:after="0" w:line="291" w:lineRule="auto"/>
        <w:rPr>
          <w:sz w:val="20"/>
          <w:szCs w:val="20"/>
          <w:color w:val="auto"/>
        </w:rPr>
      </w:pPr>
      <w:r>
        <w:rPr>
          <w:rFonts w:ascii="Arial" w:cs="Arial" w:eastAsia="Arial" w:hAnsi="Arial"/>
          <w:sz w:val="11"/>
          <w:szCs w:val="11"/>
          <w:color w:val="auto"/>
        </w:rPr>
        <w:t>Chevron’s environmental reserve as of December 31, 2008, was $1,818. Included in this balance were remediation activities of 248 sites for which the company had been identified as a potentially responsible party or otherwise involved in the remediation by the U.S. Environmental Protection Agency (EPA) or other regulatory agencies under the provisions of the federal Superfund law or analogous state laws. The company’s remediation reserve for these sites at year-end 2008 was $120. The federal Superfund law and analogous state laws provide for joint and several liability for all responsible parties. Any future actions by the EPA or other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4" w:lineRule="exact"/>
        <w:rPr>
          <w:sz w:val="20"/>
          <w:szCs w:val="20"/>
          <w:color w:val="auto"/>
        </w:rPr>
      </w:pPr>
    </w:p>
    <w:p>
      <w:pPr>
        <w:ind w:right="40" w:firstLine="160"/>
        <w:spacing w:after="0" w:line="291" w:lineRule="auto"/>
        <w:rPr>
          <w:sz w:val="20"/>
          <w:szCs w:val="20"/>
          <w:color w:val="auto"/>
        </w:rPr>
      </w:pPr>
      <w:r>
        <w:rPr>
          <w:rFonts w:ascii="Arial" w:cs="Arial" w:eastAsia="Arial" w:hAnsi="Arial"/>
          <w:sz w:val="11"/>
          <w:szCs w:val="11"/>
          <w:color w:val="auto"/>
        </w:rPr>
        <w:t>Of the remaining year-end 2008 environmental reserves balance of $1,698, $968 related to the company’s U.S. downstream operations, including refineries and other plants, marketing locations (i.e., service stations and terminals), and pipelines. The remaining $730 was associated with various sites in international downstream ($117), upstream ($390), chemicals ($154) and other businesses ($69). Liabilities at all sites, whether operating, closed or divested, were primarily associated with the company’s plans and activities to remediate soil or groundwater contamination or both. These and other activities include one or more of the following: site assessment; soil excavation; offsite disposal of contaminants; onsite containment, remediation and/or extraction of petroleum hydrocarbon liquid and vapor from soil; groundwater extraction and treatment; and monitoring of the natural attenuation of the contaminants.</w:t>
      </w:r>
    </w:p>
    <w:p>
      <w:pPr>
        <w:spacing w:after="0" w:line="4" w:lineRule="exact"/>
        <w:rPr>
          <w:sz w:val="20"/>
          <w:szCs w:val="20"/>
          <w:color w:val="auto"/>
        </w:rPr>
      </w:pPr>
    </w:p>
    <w:p>
      <w:pPr>
        <w:ind w:firstLine="158"/>
        <w:spacing w:after="0" w:line="276" w:lineRule="auto"/>
        <w:rPr>
          <w:sz w:val="20"/>
          <w:szCs w:val="20"/>
          <w:color w:val="auto"/>
        </w:rPr>
      </w:pPr>
      <w:r>
        <w:rPr>
          <w:rFonts w:ascii="Arial" w:cs="Arial" w:eastAsia="Arial" w:hAnsi="Arial"/>
          <w:sz w:val="12"/>
          <w:szCs w:val="12"/>
          <w:color w:val="auto"/>
        </w:rPr>
        <w:t>The company manages environmental liabilities under specific sets of regulatory requirements, which in the United States include the Resource Conservation and Recovery Act and various state or local regulations. No single remediation site at year-end 2008 had a recorded liability that was material to the company’s results of operations, consolidated financial position or liquidity.</w:t>
      </w:r>
    </w:p>
    <w:p>
      <w:pPr>
        <w:spacing w:after="0" w:line="578"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652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5990" cy="6527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ind w:right="5960"/>
        <w:spacing w:after="0"/>
        <w:rPr>
          <w:sz w:val="20"/>
          <w:szCs w:val="20"/>
          <w:color w:val="auto"/>
        </w:rPr>
      </w:pPr>
      <w:r>
        <w:rPr>
          <w:rFonts w:ascii="Arial" w:cs="Arial" w:eastAsia="Arial" w:hAnsi="Arial"/>
          <w:sz w:val="12"/>
          <w:szCs w:val="12"/>
          <w:color w:val="0077C0"/>
        </w:rPr>
        <w:t>Notes to the Consolidated Financial Statements</w:t>
      </w:r>
    </w:p>
    <w:p>
      <w:pPr>
        <w:jc w:val="right"/>
        <w:ind w:right="5960"/>
        <w:spacing w:after="0"/>
        <w:rPr>
          <w:sz w:val="20"/>
          <w:szCs w:val="20"/>
          <w:color w:val="auto"/>
        </w:rPr>
      </w:pPr>
      <w:r>
        <w:rPr>
          <w:rFonts w:ascii="Arial" w:cs="Arial" w:eastAsia="Arial" w:hAnsi="Arial"/>
          <w:sz w:val="10"/>
          <w:szCs w:val="10"/>
          <w:color w:val="0077C0"/>
        </w:rPr>
        <w:t>Millions of dollars, except per-share amounts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23 </w:t>
      </w:r>
      <w:r>
        <w:rPr>
          <w:rFonts w:ascii="Arial" w:cs="Arial" w:eastAsia="Arial" w:hAnsi="Arial"/>
          <w:sz w:val="8"/>
          <w:szCs w:val="8"/>
          <w:color w:val="000000"/>
        </w:rPr>
        <w:t>Other Contingencies and Commitments - Continued</w:t>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firstLine="160"/>
        <w:spacing w:after="0" w:line="294" w:lineRule="auto"/>
        <w:rPr>
          <w:sz w:val="20"/>
          <w:szCs w:val="20"/>
          <w:color w:val="auto"/>
        </w:rPr>
      </w:pPr>
      <w:r>
        <w:rPr>
          <w:rFonts w:ascii="Arial" w:cs="Arial" w:eastAsia="Arial" w:hAnsi="Arial"/>
          <w:sz w:val="11"/>
          <w:szCs w:val="11"/>
          <w:color w:val="auto"/>
        </w:rPr>
        <w:t>It is likely that the company will continue to incur additional liabilities, beyond those recorded, for environmental remediation relating to past operations.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 to Note 24 below for a discussion of the company’s Asset Retirement Obligations.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2"/>
          <w:szCs w:val="12"/>
          <w:i w:val="1"/>
          <w:iCs w:val="1"/>
          <w:color w:val="E51837"/>
        </w:rPr>
        <w:t xml:space="preserve">Equity Redetermination </w:t>
      </w:r>
      <w:r>
        <w:rPr>
          <w:rFonts w:ascii="Arial" w:cs="Arial" w:eastAsia="Arial" w:hAnsi="Arial"/>
          <w:sz w:val="12"/>
          <w:szCs w:val="12"/>
          <w:color w:val="000000"/>
        </w:rPr>
        <w:t>For oil and gas producing operations, ownership agreements may provide for</w:t>
      </w:r>
      <w:r>
        <w:rPr>
          <w:rFonts w:ascii="Arial" w:cs="Arial" w:eastAsia="Arial" w:hAnsi="Arial"/>
          <w:sz w:val="12"/>
          <w:szCs w:val="12"/>
          <w:i w:val="1"/>
          <w:iCs w:val="1"/>
          <w:color w:val="E51837"/>
        </w:rPr>
        <w:t xml:space="preserve"> </w:t>
      </w:r>
      <w:r>
        <w:rPr>
          <w:rFonts w:ascii="Arial" w:cs="Arial" w:eastAsia="Arial" w:hAnsi="Arial"/>
          <w:sz w:val="12"/>
          <w:szCs w:val="12"/>
          <w:color w:val="000000"/>
        </w:rPr>
        <w:t>periodic reassessments of equity interests in estimated crude oil and natural gas reserves. These activities, individually or together, may result in gains or losses that could be material to earnings in any given period. One such equity redetermination process has been under way since 1996 for Chevron’s interests in four producing zones at the Naval Petroleum Reserve at Elk Hills, California, for the time when the remaining interests in these zones were owned by the U.S. Department of Energy. A wide range remains for a possible net settlement amount for the four zones. For this range of settlement, Chevron estimates its maximum possible net before-tax liability at approximately $200, and the possible maximum net amount that could be owed to Chevron is estimated at about $150. The timing of the settlement and the exact amount within this range of estimates are uncertain.</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i w:val="1"/>
          <w:iCs w:val="1"/>
          <w:color w:val="E51837"/>
        </w:rPr>
        <w:t xml:space="preserve">Other Contingencies </w:t>
      </w:r>
      <w:r>
        <w:rPr>
          <w:rFonts w:ascii="Arial" w:cs="Arial" w:eastAsia="Arial" w:hAnsi="Arial"/>
          <w:sz w:val="13"/>
          <w:szCs w:val="13"/>
          <w:color w:val="000000"/>
        </w:rPr>
        <w:t>Chevron receives claims from and submits claims to customers; trading partners;</w:t>
      </w:r>
      <w:r>
        <w:rPr>
          <w:rFonts w:ascii="Arial" w:cs="Arial" w:eastAsia="Arial" w:hAnsi="Arial"/>
          <w:sz w:val="13"/>
          <w:szCs w:val="13"/>
          <w:i w:val="1"/>
          <w:iCs w:val="1"/>
          <w:color w:val="E51837"/>
        </w:rPr>
        <w:t xml:space="preserve"> </w:t>
      </w:r>
      <w:r>
        <w:rPr>
          <w:rFonts w:ascii="Arial" w:cs="Arial" w:eastAsia="Arial" w:hAnsi="Arial"/>
          <w:sz w:val="13"/>
          <w:szCs w:val="13"/>
          <w:color w:val="000000"/>
        </w:rPr>
        <w:t>U.S. federal, state and local regulatory bodies; governments; contractors; insurers; and suppliers. The amounts of these claims, individually and in the aggregate, may be significant and take lengthy periods to resolve.</w:t>
      </w:r>
    </w:p>
    <w:p>
      <w:pPr>
        <w:spacing w:after="0" w:line="110" w:lineRule="exact"/>
        <w:rPr>
          <w:sz w:val="20"/>
          <w:szCs w:val="20"/>
          <w:color w:val="auto"/>
        </w:rPr>
      </w:pPr>
    </w:p>
    <w:p>
      <w:pPr>
        <w:ind w:firstLine="158"/>
        <w:spacing w:after="0" w:line="253" w:lineRule="auto"/>
        <w:rPr>
          <w:sz w:val="20"/>
          <w:szCs w:val="20"/>
          <w:color w:val="auto"/>
        </w:rPr>
      </w:pPr>
      <w:r>
        <w:rPr>
          <w:rFonts w:ascii="Arial" w:cs="Arial" w:eastAsia="Arial" w:hAnsi="Arial"/>
          <w:sz w:val="13"/>
          <w:szCs w:val="13"/>
          <w:color w:val="auto"/>
        </w:rPr>
        <w:t>The company and its affiliates also continue to review and analyze their operations and may close, abandon, sell, exchange, acquire or restructure assets to achieve operational or strategic benefits and to improve competitiveness and profitability. These activities, individually or together, may result in gains or losses in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24</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Asset Retirement Obligations</w:t>
      </w:r>
    </w:p>
    <w:p>
      <w:pPr>
        <w:spacing w:after="0" w:line="120"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 xml:space="preserve">The company accounts for asset retirement obligations (ARO) in accordance with Financial Accounting Standards Board (FASB) Statement No. 143, </w:t>
      </w:r>
      <w:r>
        <w:rPr>
          <w:rFonts w:ascii="Arial" w:cs="Arial" w:eastAsia="Arial" w:hAnsi="Arial"/>
          <w:sz w:val="12"/>
          <w:szCs w:val="12"/>
          <w:i w:val="1"/>
          <w:iCs w:val="1"/>
          <w:color w:val="auto"/>
        </w:rPr>
        <w:t>Accounting for Asset Retirement Obligations</w:t>
      </w:r>
      <w:r>
        <w:rPr>
          <w:rFonts w:ascii="Arial" w:cs="Arial" w:eastAsia="Arial" w:hAnsi="Arial"/>
          <w:sz w:val="12"/>
          <w:szCs w:val="12"/>
          <w:color w:val="auto"/>
        </w:rPr>
        <w:t xml:space="preserve"> (FAS 143) and FASB Interpretation No. 47, </w:t>
      </w:r>
      <w:r>
        <w:rPr>
          <w:rFonts w:ascii="Arial" w:cs="Arial" w:eastAsia="Arial" w:hAnsi="Arial"/>
          <w:sz w:val="12"/>
          <w:szCs w:val="12"/>
          <w:i w:val="1"/>
          <w:iCs w:val="1"/>
          <w:color w:val="auto"/>
        </w:rPr>
        <w:t>Accounting for Conditional Asset Retirement Obligations – An Interpretation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of FASB Statement No. 143 </w:t>
      </w:r>
      <w:r>
        <w:rPr>
          <w:rFonts w:ascii="Arial" w:cs="Arial" w:eastAsia="Arial" w:hAnsi="Arial"/>
          <w:sz w:val="12"/>
          <w:szCs w:val="12"/>
          <w:color w:val="auto"/>
        </w:rPr>
        <w:t>(FIN 47). FAS 143 applies to the fair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value of a liability for an ARO that is recorded when there is a legal obligation associated with the retirement of a tangible long-lived asset and the liability can be reasonably estimated. Obligations associated with the retirement of these assets require recognition in certain circumstances: (1) the present value of a liability and offsetting asset for an ARO, (2) the subsequent accretion of that liability and depreciation of the asset, and (3) the periodic review of the ARO liability estimates and discount rates. FIN 47 clarifies that the phrase “conditional asset retirement obligation,” as used in FAS 143, refers to a legal obligation to perform asset retirement activity for which the timing and/or method of settlement are conditional on a future event that may or may not be within the control of the company. The obligation to perform the asset retirement activity is unconditional even though uncertainty exists about the timing and/or method of settlement. Uncertainty about the timing and/or method of settlement of a conditional ARO should be factored into the measurement of the liability when sufficient information exists. FAS 143 acknowledges that in some cases, sufficient information may not be available to reasonably estimate the fair value of an ARO. FIN 47 also clarifies when an entity would have sufficient information to reasonably estimate the fair value of an ARO.</w:t>
      </w:r>
    </w:p>
    <w:p>
      <w:pPr>
        <w:spacing w:after="0" w:line="4"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FAS 143 and FIN 47 primarily affect the company’s accounting for crude oil and natural gas producing assets. No significant AROs associated with any legal obligations to retire refining, marketing and transportation (downstream) and chemical long-lived assets have been recognized, as indeterminate settlement dates for the asset retirements prevent estimation of the fair value of the associated ARO. The company performs periodic reviews of its downstream and chemical long-lived assets for any changes in facts and circumstances that might require recognition of a retirement obligation.</w:t>
      </w:r>
    </w:p>
    <w:p>
      <w:pPr>
        <w:spacing w:after="0" w:line="2" w:lineRule="exact"/>
        <w:rPr>
          <w:sz w:val="20"/>
          <w:szCs w:val="20"/>
          <w:color w:val="auto"/>
        </w:rPr>
      </w:pPr>
    </w:p>
    <w:p>
      <w:pPr>
        <w:ind w:right="200" w:firstLine="158"/>
        <w:spacing w:after="0" w:line="253" w:lineRule="auto"/>
        <w:rPr>
          <w:sz w:val="20"/>
          <w:szCs w:val="20"/>
          <w:color w:val="auto"/>
        </w:rPr>
      </w:pPr>
      <w:r>
        <w:rPr>
          <w:rFonts w:ascii="Arial" w:cs="Arial" w:eastAsia="Arial" w:hAnsi="Arial"/>
          <w:sz w:val="13"/>
          <w:szCs w:val="13"/>
          <w:color w:val="auto"/>
        </w:rPr>
        <w:t>The following table indicates the changes to the company’s before-tax asset retirement obligations in 2008, 2007 and 2006: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80" w:type="dxa"/>
            <w:vAlign w:val="bottom"/>
            <w:tcBorders>
              <w:bottom w:val="single" w:sz="8" w:color="0077C0"/>
            </w:tcBorders>
          </w:tcPr>
          <w:p>
            <w:pPr>
              <w:spacing w:after="0"/>
              <w:rPr>
                <w:sz w:val="10"/>
                <w:szCs w:val="10"/>
                <w:color w:val="auto"/>
              </w:rPr>
            </w:pPr>
          </w:p>
        </w:tc>
        <w:tc>
          <w:tcPr>
            <w:tcW w:w="118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2007</w:t>
            </w:r>
          </w:p>
        </w:tc>
        <w:tc>
          <w:tcPr>
            <w:tcW w:w="2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2006</w:t>
            </w:r>
          </w:p>
        </w:tc>
      </w:tr>
      <w:tr>
        <w:trPr>
          <w:trHeight w:val="90"/>
        </w:trPr>
        <w:tc>
          <w:tcPr>
            <w:tcW w:w="20" w:type="dxa"/>
            <w:vAlign w:val="bottom"/>
          </w:tcPr>
          <w:p>
            <w:pPr>
              <w:spacing w:after="0"/>
              <w:rPr>
                <w:sz w:val="7"/>
                <w:szCs w:val="7"/>
                <w:color w:val="auto"/>
              </w:rPr>
            </w:pPr>
          </w:p>
        </w:tc>
        <w:tc>
          <w:tcPr>
            <w:tcW w:w="248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1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62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8,253</w:t>
            </w:r>
          </w:p>
        </w:tc>
        <w:tc>
          <w:tcPr>
            <w:tcW w:w="1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29"/>
              <w:spacing w:after="0" w:line="91" w:lineRule="exact"/>
              <w:rPr>
                <w:sz w:val="20"/>
                <w:szCs w:val="20"/>
                <w:color w:val="auto"/>
              </w:rPr>
            </w:pPr>
            <w:r>
              <w:rPr>
                <w:rFonts w:ascii="Arial" w:cs="Arial" w:eastAsia="Arial" w:hAnsi="Arial"/>
                <w:sz w:val="10"/>
                <w:szCs w:val="10"/>
                <w:color w:val="auto"/>
              </w:rPr>
              <w:t>5,773</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40" w:type="dxa"/>
            <w:vAlign w:val="bottom"/>
          </w:tcPr>
          <w:p>
            <w:pPr>
              <w:jc w:val="right"/>
              <w:ind w:right="9"/>
              <w:spacing w:after="0" w:line="91" w:lineRule="exact"/>
              <w:rPr>
                <w:sz w:val="20"/>
                <w:szCs w:val="20"/>
                <w:color w:val="auto"/>
              </w:rPr>
            </w:pPr>
            <w:r>
              <w:rPr>
                <w:rFonts w:ascii="Arial" w:cs="Arial" w:eastAsia="Arial" w:hAnsi="Arial"/>
                <w:sz w:val="10"/>
                <w:szCs w:val="10"/>
                <w:color w:val="auto"/>
              </w:rPr>
              <w:t>4,304</w:t>
            </w:r>
          </w:p>
        </w:tc>
      </w:tr>
      <w:tr>
        <w:trPr>
          <w:trHeight w:val="106"/>
        </w:trPr>
        <w:tc>
          <w:tcPr>
            <w:tcW w:w="2500" w:type="dxa"/>
            <w:vAlign w:val="bottom"/>
            <w:gridSpan w:val="2"/>
          </w:tcPr>
          <w:p>
            <w:pPr>
              <w:spacing w:after="0" w:line="106" w:lineRule="exact"/>
              <w:rPr>
                <w:sz w:val="20"/>
                <w:szCs w:val="20"/>
                <w:color w:val="auto"/>
              </w:rPr>
            </w:pPr>
            <w:r>
              <w:rPr>
                <w:rFonts w:ascii="Arial" w:cs="Arial" w:eastAsia="Arial" w:hAnsi="Arial"/>
                <w:sz w:val="10"/>
                <w:szCs w:val="10"/>
                <w:color w:val="auto"/>
              </w:rPr>
              <w:t>Liabilities incurred</w:t>
            </w:r>
          </w:p>
        </w:tc>
        <w:tc>
          <w:tcPr>
            <w:tcW w:w="1180" w:type="dxa"/>
            <w:vAlign w:val="bottom"/>
          </w:tcPr>
          <w:p>
            <w:pPr>
              <w:spacing w:after="0"/>
              <w:rPr>
                <w:sz w:val="9"/>
                <w:szCs w:val="9"/>
                <w:color w:val="auto"/>
              </w:rPr>
            </w:pPr>
          </w:p>
        </w:tc>
        <w:tc>
          <w:tcPr>
            <w:tcW w:w="62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308</w:t>
            </w:r>
          </w:p>
        </w:tc>
        <w:tc>
          <w:tcPr>
            <w:tcW w:w="180" w:type="dxa"/>
            <w:vAlign w:val="bottom"/>
          </w:tcPr>
          <w:p>
            <w:pPr>
              <w:spacing w:after="0"/>
              <w:rPr>
                <w:sz w:val="9"/>
                <w:szCs w:val="9"/>
                <w:color w:val="auto"/>
              </w:rPr>
            </w:pPr>
          </w:p>
        </w:tc>
        <w:tc>
          <w:tcPr>
            <w:tcW w:w="4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178</w:t>
            </w:r>
          </w:p>
        </w:tc>
        <w:tc>
          <w:tcPr>
            <w:tcW w:w="240" w:type="dxa"/>
            <w:vAlign w:val="bottom"/>
          </w:tcPr>
          <w:p>
            <w:pPr>
              <w:spacing w:after="0"/>
              <w:rPr>
                <w:sz w:val="9"/>
                <w:szCs w:val="9"/>
                <w:color w:val="auto"/>
              </w:rPr>
            </w:pPr>
          </w:p>
        </w:tc>
        <w:tc>
          <w:tcPr>
            <w:tcW w:w="340" w:type="dxa"/>
            <w:vAlign w:val="bottom"/>
          </w:tcPr>
          <w:p>
            <w:pPr>
              <w:jc w:val="right"/>
              <w:ind w:right="9"/>
              <w:spacing w:after="0" w:line="106" w:lineRule="exact"/>
              <w:rPr>
                <w:sz w:val="20"/>
                <w:szCs w:val="20"/>
                <w:color w:val="auto"/>
              </w:rPr>
            </w:pPr>
            <w:r>
              <w:rPr>
                <w:rFonts w:ascii="Arial" w:cs="Arial" w:eastAsia="Arial" w:hAnsi="Arial"/>
                <w:sz w:val="10"/>
                <w:szCs w:val="10"/>
                <w:color w:val="auto"/>
              </w:rPr>
              <w:t>153</w:t>
            </w:r>
          </w:p>
        </w:tc>
      </w:tr>
      <w:tr>
        <w:trPr>
          <w:trHeight w:val="106"/>
        </w:trPr>
        <w:tc>
          <w:tcPr>
            <w:tcW w:w="2500" w:type="dxa"/>
            <w:vAlign w:val="bottom"/>
            <w:gridSpan w:val="2"/>
          </w:tcPr>
          <w:p>
            <w:pPr>
              <w:spacing w:after="0" w:line="106" w:lineRule="exact"/>
              <w:rPr>
                <w:sz w:val="20"/>
                <w:szCs w:val="20"/>
                <w:color w:val="auto"/>
              </w:rPr>
            </w:pPr>
            <w:r>
              <w:rPr>
                <w:rFonts w:ascii="Arial" w:cs="Arial" w:eastAsia="Arial" w:hAnsi="Arial"/>
                <w:sz w:val="10"/>
                <w:szCs w:val="10"/>
                <w:color w:val="auto"/>
              </w:rPr>
              <w:t>Liabilities settled</w:t>
            </w:r>
          </w:p>
        </w:tc>
        <w:tc>
          <w:tcPr>
            <w:tcW w:w="1180" w:type="dxa"/>
            <w:vAlign w:val="bottom"/>
          </w:tcPr>
          <w:p>
            <w:pPr>
              <w:spacing w:after="0"/>
              <w:rPr>
                <w:sz w:val="9"/>
                <w:szCs w:val="9"/>
                <w:color w:val="auto"/>
              </w:rPr>
            </w:pPr>
          </w:p>
        </w:tc>
        <w:tc>
          <w:tcPr>
            <w:tcW w:w="620" w:type="dxa"/>
            <w:vAlign w:val="bottom"/>
            <w:tcBorders>
              <w:right w:val="single" w:sz="8" w:color="0077C0"/>
            </w:tcBorders>
          </w:tcPr>
          <w:p>
            <w:pPr>
              <w:jc w:val="right"/>
              <w:ind w:right="249"/>
              <w:spacing w:after="0" w:line="106" w:lineRule="exact"/>
              <w:rPr>
                <w:sz w:val="20"/>
                <w:szCs w:val="20"/>
                <w:color w:val="auto"/>
              </w:rPr>
            </w:pPr>
            <w:r>
              <w:rPr>
                <w:rFonts w:ascii="Arial" w:cs="Arial" w:eastAsia="Arial" w:hAnsi="Arial"/>
                <w:sz w:val="10"/>
                <w:szCs w:val="10"/>
                <w:b w:val="1"/>
                <w:bCs w:val="1"/>
                <w:color w:val="auto"/>
              </w:rPr>
              <w:t>(973)</w:t>
            </w:r>
          </w:p>
        </w:tc>
        <w:tc>
          <w:tcPr>
            <w:tcW w:w="1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(818)</w:t>
            </w:r>
          </w:p>
        </w:tc>
        <w:tc>
          <w:tcPr>
            <w:tcW w:w="2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(387)</w:t>
            </w:r>
          </w:p>
        </w:tc>
      </w:tr>
      <w:tr>
        <w:trPr>
          <w:trHeight w:val="106"/>
        </w:trPr>
        <w:tc>
          <w:tcPr>
            <w:tcW w:w="2500" w:type="dxa"/>
            <w:vAlign w:val="bottom"/>
            <w:gridSpan w:val="2"/>
          </w:tcPr>
          <w:p>
            <w:pPr>
              <w:spacing w:after="0" w:line="106" w:lineRule="exact"/>
              <w:rPr>
                <w:sz w:val="20"/>
                <w:szCs w:val="20"/>
                <w:color w:val="auto"/>
              </w:rPr>
            </w:pPr>
            <w:r>
              <w:rPr>
                <w:rFonts w:ascii="Arial" w:cs="Arial" w:eastAsia="Arial" w:hAnsi="Arial"/>
                <w:sz w:val="10"/>
                <w:szCs w:val="10"/>
                <w:color w:val="auto"/>
              </w:rPr>
              <w:t>Accretion expense</w:t>
            </w:r>
          </w:p>
        </w:tc>
        <w:tc>
          <w:tcPr>
            <w:tcW w:w="1180" w:type="dxa"/>
            <w:vAlign w:val="bottom"/>
          </w:tcPr>
          <w:p>
            <w:pPr>
              <w:spacing w:after="0"/>
              <w:rPr>
                <w:sz w:val="9"/>
                <w:szCs w:val="9"/>
                <w:color w:val="auto"/>
              </w:rPr>
            </w:pPr>
          </w:p>
        </w:tc>
        <w:tc>
          <w:tcPr>
            <w:tcW w:w="62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430</w:t>
            </w:r>
          </w:p>
        </w:tc>
        <w:tc>
          <w:tcPr>
            <w:tcW w:w="18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399*</w:t>
            </w:r>
          </w:p>
        </w:tc>
        <w:tc>
          <w:tcPr>
            <w:tcW w:w="240" w:type="dxa"/>
            <w:vAlign w:val="bottom"/>
          </w:tcPr>
          <w:p>
            <w:pPr>
              <w:spacing w:after="0"/>
              <w:rPr>
                <w:sz w:val="9"/>
                <w:szCs w:val="9"/>
                <w:color w:val="auto"/>
              </w:rPr>
            </w:pPr>
          </w:p>
        </w:tc>
        <w:tc>
          <w:tcPr>
            <w:tcW w:w="340" w:type="dxa"/>
            <w:vAlign w:val="bottom"/>
          </w:tcPr>
          <w:p>
            <w:pPr>
              <w:jc w:val="right"/>
              <w:ind w:right="9"/>
              <w:spacing w:after="0" w:line="106" w:lineRule="exact"/>
              <w:rPr>
                <w:sz w:val="20"/>
                <w:szCs w:val="20"/>
                <w:color w:val="auto"/>
              </w:rPr>
            </w:pPr>
            <w:r>
              <w:rPr>
                <w:rFonts w:ascii="Arial" w:cs="Arial" w:eastAsia="Arial" w:hAnsi="Arial"/>
                <w:sz w:val="10"/>
                <w:szCs w:val="10"/>
                <w:color w:val="auto"/>
              </w:rPr>
              <w:t>275</w:t>
            </w:r>
          </w:p>
        </w:tc>
      </w:tr>
      <w:tr>
        <w:trPr>
          <w:trHeight w:val="120"/>
        </w:trPr>
        <w:tc>
          <w:tcPr>
            <w:tcW w:w="25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Revisions in estimated cash flows</w:t>
            </w:r>
          </w:p>
        </w:tc>
        <w:tc>
          <w:tcPr>
            <w:tcW w:w="118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1,377</w:t>
            </w:r>
          </w:p>
        </w:tc>
        <w:tc>
          <w:tcPr>
            <w:tcW w:w="1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2,721</w:t>
            </w:r>
          </w:p>
        </w:tc>
        <w:tc>
          <w:tcPr>
            <w:tcW w:w="2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1,428</w:t>
            </w:r>
          </w:p>
        </w:tc>
      </w:tr>
      <w:tr>
        <w:trPr>
          <w:trHeight w:val="105"/>
        </w:trPr>
        <w:tc>
          <w:tcPr>
            <w:tcW w:w="2500" w:type="dxa"/>
            <w:vAlign w:val="bottom"/>
            <w:gridSpan w:val="2"/>
          </w:tcPr>
          <w:p>
            <w:pPr>
              <w:spacing w:after="0" w:line="105" w:lineRule="exact"/>
              <w:rPr>
                <w:sz w:val="20"/>
                <w:szCs w:val="20"/>
                <w:color w:val="auto"/>
              </w:rPr>
            </w:pPr>
            <w:r>
              <w:rPr>
                <w:rFonts w:ascii="Arial" w:cs="Arial" w:eastAsia="Arial" w:hAnsi="Arial"/>
                <w:sz w:val="10"/>
                <w:szCs w:val="10"/>
                <w:color w:val="auto"/>
              </w:rPr>
              <w:t>Balance at December 31</w:t>
            </w:r>
          </w:p>
        </w:tc>
        <w:tc>
          <w:tcPr>
            <w:tcW w:w="118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620" w:type="dxa"/>
            <w:vAlign w:val="bottom"/>
            <w:tcBorders>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9,395</w:t>
            </w:r>
          </w:p>
        </w:tc>
        <w:tc>
          <w:tcPr>
            <w:tcW w:w="1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29"/>
              <w:spacing w:after="0" w:line="105" w:lineRule="exact"/>
              <w:rPr>
                <w:sz w:val="20"/>
                <w:szCs w:val="20"/>
                <w:color w:val="auto"/>
              </w:rPr>
            </w:pPr>
            <w:r>
              <w:rPr>
                <w:rFonts w:ascii="Arial" w:cs="Arial" w:eastAsia="Arial" w:hAnsi="Arial"/>
                <w:sz w:val="10"/>
                <w:szCs w:val="10"/>
                <w:color w:val="auto"/>
              </w:rPr>
              <w:t>8,253</w:t>
            </w:r>
          </w:p>
        </w:tc>
        <w:tc>
          <w:tcPr>
            <w:tcW w:w="2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color w:val="auto"/>
              </w:rPr>
              <w:t>5,773</w:t>
            </w:r>
          </w:p>
        </w:tc>
      </w:tr>
      <w:tr>
        <w:trPr>
          <w:trHeight w:val="29"/>
        </w:trPr>
        <w:tc>
          <w:tcPr>
            <w:tcW w:w="20" w:type="dxa"/>
            <w:vAlign w:val="bottom"/>
          </w:tcPr>
          <w:p>
            <w:pPr>
              <w:spacing w:after="0"/>
              <w:rPr>
                <w:sz w:val="2"/>
                <w:szCs w:val="2"/>
                <w:color w:val="auto"/>
              </w:rPr>
            </w:pPr>
          </w:p>
        </w:tc>
        <w:tc>
          <w:tcPr>
            <w:tcW w:w="2480" w:type="dxa"/>
            <w:vAlign w:val="bottom"/>
            <w:shd w:val="clear" w:color="auto" w:fill="0077C0"/>
          </w:tcPr>
          <w:p>
            <w:pPr>
              <w:spacing w:after="0"/>
              <w:rPr>
                <w:sz w:val="2"/>
                <w:szCs w:val="2"/>
                <w:color w:val="auto"/>
              </w:rPr>
            </w:pPr>
          </w:p>
        </w:tc>
        <w:tc>
          <w:tcPr>
            <w:tcW w:w="1180" w:type="dxa"/>
            <w:vAlign w:val="bottom"/>
            <w:shd w:val="clear" w:color="auto" w:fill="0077C0"/>
          </w:tcPr>
          <w:p>
            <w:pPr>
              <w:spacing w:after="0"/>
              <w:rPr>
                <w:sz w:val="2"/>
                <w:szCs w:val="2"/>
                <w:color w:val="auto"/>
              </w:rPr>
            </w:pPr>
          </w:p>
        </w:tc>
        <w:tc>
          <w:tcPr>
            <w:tcW w:w="620" w:type="dxa"/>
            <w:vAlign w:val="bottom"/>
            <w:tcBorders>
              <w:right w:val="single" w:sz="8" w:color="0077C0"/>
            </w:tcBorders>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340" w:type="dxa"/>
            <w:vAlign w:val="bottom"/>
            <w:shd w:val="clear" w:color="auto" w:fill="0077C0"/>
          </w:tcPr>
          <w:p>
            <w:pPr>
              <w:spacing w:after="0"/>
              <w:rPr>
                <w:sz w:val="2"/>
                <w:szCs w:val="2"/>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9"/>
          <w:szCs w:val="9"/>
          <w:color w:val="auto"/>
        </w:rPr>
        <w:t>*Includes $175 for revision to the ARO liability retained on properties that had been sold.</w:t>
      </w:r>
    </w:p>
    <w:p>
      <w:pPr>
        <w:spacing w:after="0" w:line="120" w:lineRule="exact"/>
        <w:rPr>
          <w:sz w:val="20"/>
          <w:szCs w:val="20"/>
          <w:color w:val="auto"/>
        </w:rPr>
      </w:pPr>
    </w:p>
    <w:p>
      <w:pPr>
        <w:ind w:right="20" w:firstLine="160"/>
        <w:spacing w:after="0" w:line="251" w:lineRule="auto"/>
        <w:rPr>
          <w:sz w:val="20"/>
          <w:szCs w:val="20"/>
          <w:color w:val="auto"/>
        </w:rPr>
      </w:pPr>
      <w:r>
        <w:rPr>
          <w:rFonts w:ascii="Arial" w:cs="Arial" w:eastAsia="Arial" w:hAnsi="Arial"/>
          <w:sz w:val="13"/>
          <w:szCs w:val="13"/>
          <w:color w:val="auto"/>
        </w:rPr>
        <w:t>In the table above, the amounts associated with “Revisions in estimated cash flows” reflect increasing costs to abandon onshore and offshore wells, equipment and facilities, including an aggregate of $1,804 for 2006 through 2008 for the estimated costs to dismantle and abandon wells and facilities damaged by hurricanes in the U.S. Gulf of Mexico in 2005 and 2008. The long-term portion of the $9,395 balance at the end of 2008 was $8,588.</w:t>
      </w:r>
    </w:p>
    <w:p>
      <w:pPr>
        <w:spacing w:after="0" w:line="323" w:lineRule="exact"/>
        <w:rPr>
          <w:sz w:val="20"/>
          <w:szCs w:val="20"/>
          <w:color w:val="auto"/>
        </w:rPr>
      </w:pPr>
    </w:p>
    <w:p>
      <w:pPr>
        <w:sectPr>
          <w:pgSz w:w="11900" w:h="16838" w:orient="portrait"/>
          <w:cols w:equalWidth="0" w:num="2">
            <w:col w:w="5440" w:space="520"/>
            <w:col w:w="5520"/>
          </w:cols>
          <w:pgMar w:left="220" w:top="338" w:right="19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99" w:name="page100"/>
    <w:bookmarkEnd w:id="9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245110</wp:posOffset>
            </wp:positionV>
            <wp:extent cx="7285990" cy="664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5990" cy="664845"/>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Note 25 </w:t>
      </w:r>
      <w:r>
        <w:rPr>
          <w:rFonts w:ascii="Arial" w:cs="Arial" w:eastAsia="Arial" w:hAnsi="Arial"/>
          <w:sz w:val="8"/>
          <w:szCs w:val="8"/>
          <w:color w:val="000000"/>
        </w:rPr>
        <w:t>Other Financial Information</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25</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Other Financial Information</w:t>
      </w:r>
    </w:p>
    <w:p>
      <w:pPr>
        <w:spacing w:after="0" w:line="293" w:lineRule="auto"/>
        <w:rPr>
          <w:sz w:val="20"/>
          <w:szCs w:val="20"/>
          <w:color w:val="auto"/>
        </w:rPr>
      </w:pPr>
      <w:r>
        <w:rPr>
          <w:rFonts w:ascii="Arial" w:cs="Arial" w:eastAsia="Arial" w:hAnsi="Arial"/>
          <w:sz w:val="11"/>
          <w:szCs w:val="11"/>
          <w:color w:val="auto"/>
        </w:rPr>
        <w:t>Net income in 2008 included gains of approximately $1,200 relating to the sale of nonstrategic properties. Of this amount, approximately $1,000 related to upstream assets. Net income in 2007 included gains of approximately $2,000 relating to the sale of nonstrategic properties. Of this amount, approximately $1,100 related to downstream assets and $680 related to the sale of the company’s investment in Dynegy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Other financial information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26</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Assets Held for Sale</w:t>
      </w:r>
    </w:p>
    <w:p>
      <w:pPr>
        <w:ind w:right="20"/>
        <w:spacing w:after="0" w:line="251" w:lineRule="auto"/>
        <w:rPr>
          <w:sz w:val="20"/>
          <w:szCs w:val="20"/>
          <w:color w:val="auto"/>
        </w:rPr>
      </w:pPr>
      <w:r>
        <w:rPr>
          <w:rFonts w:ascii="Arial" w:cs="Arial" w:eastAsia="Arial" w:hAnsi="Arial"/>
          <w:sz w:val="13"/>
          <w:szCs w:val="13"/>
          <w:color w:val="auto"/>
        </w:rPr>
        <w:t>At December 31, 2008, the company classified $252 of net properties, plant and equipment as “Assets held for sale” on the Consolidated Balance Sheet. Assets in this category related to groups of service stations, aviation facilities, lubricants blending plants, and commercial and industrial fuels business. These assets are anticipated to be sold in 2009.</w:t>
      </w:r>
    </w:p>
    <w:p>
      <w:pPr>
        <w:spacing w:after="0" w:line="145" w:lineRule="exact"/>
        <w:rPr>
          <w:sz w:val="20"/>
          <w:szCs w:val="20"/>
          <w:color w:val="auto"/>
        </w:rPr>
      </w:pPr>
    </w:p>
    <w:p>
      <w:pPr>
        <w:sectPr>
          <w:pgSz w:w="11900" w:h="16838" w:orient="portrait"/>
          <w:cols w:equalWidth="0" w:num="2">
            <w:col w:w="5460" w:space="500"/>
            <w:col w:w="5520"/>
          </w:cols>
          <w:pgMar w:left="220" w:top="338" w:right="199" w:bottom="1440" w:gutter="0" w:footer="0" w:header="0"/>
          <w:type w:val="continuous"/>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0"/>
                <w:szCs w:val="10"/>
                <w:color w:val="auto"/>
                <w:w w:val="85"/>
              </w:rPr>
              <w:t>Year ended December 31</w:t>
            </w:r>
          </w:p>
        </w:tc>
      </w:tr>
      <w:tr>
        <w:trPr>
          <w:trHeight w:val="95"/>
        </w:trPr>
        <w:tc>
          <w:tcPr>
            <w:tcW w:w="3760" w:type="dxa"/>
            <w:vAlign w:val="bottom"/>
            <w:tcBorders>
              <w:bottom w:val="single" w:sz="8" w:color="0077C0"/>
            </w:tcBorders>
          </w:tcPr>
          <w:p>
            <w:pPr>
              <w:spacing w:after="0"/>
              <w:rPr>
                <w:sz w:val="8"/>
                <w:szCs w:val="8"/>
                <w:color w:val="auto"/>
              </w:rPr>
            </w:pPr>
          </w:p>
        </w:tc>
        <w:tc>
          <w:tcPr>
            <w:tcW w:w="120" w:type="dxa"/>
            <w:vAlign w:val="bottom"/>
            <w:tcBorders>
              <w:top w:val="single" w:sz="8" w:color="0077C0"/>
              <w:bottom w:val="single" w:sz="8" w:color="0077C0"/>
            </w:tcBorders>
          </w:tcPr>
          <w:p>
            <w:pPr>
              <w:spacing w:after="0"/>
              <w:rPr>
                <w:sz w:val="8"/>
                <w:szCs w:val="8"/>
                <w:color w:val="auto"/>
              </w:rPr>
            </w:pPr>
          </w:p>
        </w:tc>
        <w:tc>
          <w:tcPr>
            <w:tcW w:w="420" w:type="dxa"/>
            <w:vAlign w:val="bottom"/>
            <w:tcBorders>
              <w:top w:val="single" w:sz="8" w:color="0077C0"/>
              <w:bottom w:val="single" w:sz="8" w:color="0077C0"/>
            </w:tcBorders>
          </w:tcPr>
          <w:p>
            <w:pPr>
              <w:jc w:val="right"/>
              <w:ind w:right="129"/>
              <w:spacing w:after="0" w:line="95" w:lineRule="exact"/>
              <w:rPr>
                <w:sz w:val="20"/>
                <w:szCs w:val="20"/>
                <w:color w:val="auto"/>
              </w:rPr>
            </w:pPr>
            <w:r>
              <w:rPr>
                <w:rFonts w:ascii="Arial" w:cs="Arial" w:eastAsia="Arial" w:hAnsi="Arial"/>
                <w:sz w:val="10"/>
                <w:szCs w:val="10"/>
                <w:b w:val="1"/>
                <w:bCs w:val="1"/>
                <w:color w:val="auto"/>
                <w:w w:val="98"/>
              </w:rPr>
              <w:t>2008</w:t>
            </w:r>
          </w:p>
        </w:tc>
        <w:tc>
          <w:tcPr>
            <w:tcW w:w="16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30"/>
              <w:spacing w:after="0" w:line="95" w:lineRule="exact"/>
              <w:rPr>
                <w:sz w:val="20"/>
                <w:szCs w:val="20"/>
                <w:color w:val="auto"/>
              </w:rPr>
            </w:pPr>
            <w:r>
              <w:rPr>
                <w:rFonts w:ascii="Arial" w:cs="Arial" w:eastAsia="Arial" w:hAnsi="Arial"/>
                <w:sz w:val="10"/>
                <w:szCs w:val="10"/>
                <w:color w:val="auto"/>
              </w:rPr>
              <w:t>2007</w:t>
            </w:r>
          </w:p>
        </w:tc>
        <w:tc>
          <w:tcPr>
            <w:tcW w:w="26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2006</w:t>
            </w:r>
          </w:p>
        </w:tc>
        <w:tc>
          <w:tcPr>
            <w:tcW w:w="20" w:type="dxa"/>
            <w:vAlign w:val="bottom"/>
          </w:tcPr>
          <w:p>
            <w:pPr>
              <w:spacing w:after="0"/>
              <w:rPr>
                <w:sz w:val="8"/>
                <w:szCs w:val="8"/>
                <w:color w:val="auto"/>
              </w:rPr>
            </w:pPr>
          </w:p>
        </w:tc>
      </w:tr>
      <w:tr>
        <w:trPr>
          <w:trHeight w:val="90"/>
        </w:trPr>
        <w:tc>
          <w:tcPr>
            <w:tcW w:w="3760" w:type="dxa"/>
            <w:vAlign w:val="bottom"/>
          </w:tcPr>
          <w:p>
            <w:pPr>
              <w:spacing w:after="0" w:line="91" w:lineRule="exact"/>
              <w:rPr>
                <w:sz w:val="20"/>
                <w:szCs w:val="20"/>
                <w:color w:val="auto"/>
              </w:rPr>
            </w:pPr>
            <w:r>
              <w:rPr>
                <w:rFonts w:ascii="Arial" w:cs="Arial" w:eastAsia="Arial" w:hAnsi="Arial"/>
                <w:sz w:val="10"/>
                <w:szCs w:val="10"/>
                <w:color w:val="auto"/>
              </w:rPr>
              <w:t>Total financing interest and debt costs</w:t>
            </w: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256</w:t>
            </w:r>
          </w:p>
        </w:tc>
        <w:tc>
          <w:tcPr>
            <w:tcW w:w="1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30"/>
              <w:spacing w:after="0" w:line="91" w:lineRule="exact"/>
              <w:rPr>
                <w:sz w:val="20"/>
                <w:szCs w:val="20"/>
                <w:color w:val="auto"/>
              </w:rPr>
            </w:pPr>
            <w:r>
              <w:rPr>
                <w:rFonts w:ascii="Arial" w:cs="Arial" w:eastAsia="Arial" w:hAnsi="Arial"/>
                <w:sz w:val="10"/>
                <w:szCs w:val="10"/>
                <w:color w:val="auto"/>
              </w:rPr>
              <w:t>468</w:t>
            </w:r>
          </w:p>
        </w:tc>
        <w:tc>
          <w:tcPr>
            <w:tcW w:w="260" w:type="dxa"/>
            <w:vAlign w:val="bottom"/>
          </w:tcPr>
          <w:p>
            <w:pPr>
              <w:jc w:val="right"/>
              <w:ind w:right="9"/>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608</w:t>
            </w:r>
          </w:p>
        </w:tc>
        <w:tc>
          <w:tcPr>
            <w:tcW w:w="20" w:type="dxa"/>
            <w:vAlign w:val="bottom"/>
          </w:tcPr>
          <w:p>
            <w:pPr>
              <w:spacing w:after="0"/>
              <w:rPr>
                <w:sz w:val="7"/>
                <w:szCs w:val="7"/>
                <w:color w:val="auto"/>
              </w:rPr>
            </w:pPr>
          </w:p>
        </w:tc>
      </w:tr>
      <w:tr>
        <w:trPr>
          <w:trHeight w:val="120"/>
        </w:trPr>
        <w:tc>
          <w:tcPr>
            <w:tcW w:w="3760" w:type="dxa"/>
            <w:vAlign w:val="bottom"/>
          </w:tcPr>
          <w:p>
            <w:pPr>
              <w:spacing w:after="0"/>
              <w:rPr>
                <w:sz w:val="20"/>
                <w:szCs w:val="20"/>
                <w:color w:val="auto"/>
              </w:rPr>
            </w:pPr>
            <w:r>
              <w:rPr>
                <w:rFonts w:ascii="Arial" w:cs="Arial" w:eastAsia="Arial" w:hAnsi="Arial"/>
                <w:sz w:val="10"/>
                <w:szCs w:val="10"/>
                <w:color w:val="auto"/>
              </w:rPr>
              <w:t>Less: Capitalized interest</w:t>
            </w:r>
          </w:p>
        </w:tc>
        <w:tc>
          <w:tcPr>
            <w:tcW w:w="12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256</w:t>
            </w:r>
          </w:p>
        </w:tc>
        <w:tc>
          <w:tcPr>
            <w:tcW w:w="1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302</w:t>
            </w:r>
          </w:p>
        </w:tc>
        <w:tc>
          <w:tcPr>
            <w:tcW w:w="2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157</w:t>
            </w:r>
          </w:p>
        </w:tc>
        <w:tc>
          <w:tcPr>
            <w:tcW w:w="20" w:type="dxa"/>
            <w:vAlign w:val="bottom"/>
          </w:tcPr>
          <w:p>
            <w:pPr>
              <w:spacing w:after="0"/>
              <w:rPr>
                <w:sz w:val="10"/>
                <w:szCs w:val="10"/>
                <w:color w:val="auto"/>
              </w:rPr>
            </w:pPr>
          </w:p>
        </w:tc>
      </w:tr>
      <w:tr>
        <w:trPr>
          <w:trHeight w:val="114"/>
        </w:trPr>
        <w:tc>
          <w:tcPr>
            <w:tcW w:w="37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Interest and debt expense</w:t>
            </w:r>
          </w:p>
        </w:tc>
        <w:tc>
          <w:tcPr>
            <w:tcW w:w="120" w:type="dxa"/>
            <w:vAlign w:val="bottom"/>
            <w:tcBorders>
              <w:bottom w:val="single" w:sz="8" w:color="0077C0"/>
            </w:tcBorders>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rPr>
              <w:t>166</w:t>
            </w:r>
          </w:p>
        </w:tc>
        <w:tc>
          <w:tcPr>
            <w:tcW w:w="2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451</w:t>
            </w:r>
          </w:p>
        </w:tc>
        <w:tc>
          <w:tcPr>
            <w:tcW w:w="20" w:type="dxa"/>
            <w:vAlign w:val="bottom"/>
          </w:tcPr>
          <w:p>
            <w:pPr>
              <w:spacing w:after="0"/>
              <w:rPr>
                <w:sz w:val="9"/>
                <w:szCs w:val="9"/>
                <w:color w:val="auto"/>
              </w:rPr>
            </w:pPr>
          </w:p>
        </w:tc>
      </w:tr>
      <w:tr>
        <w:trPr>
          <w:trHeight w:val="101"/>
        </w:trPr>
        <w:tc>
          <w:tcPr>
            <w:tcW w:w="3760" w:type="dxa"/>
            <w:vAlign w:val="bottom"/>
          </w:tcPr>
          <w:p>
            <w:pPr>
              <w:spacing w:after="0" w:line="101" w:lineRule="exact"/>
              <w:rPr>
                <w:sz w:val="20"/>
                <w:szCs w:val="20"/>
                <w:color w:val="auto"/>
              </w:rPr>
            </w:pPr>
            <w:r>
              <w:rPr>
                <w:rFonts w:ascii="Arial" w:cs="Arial" w:eastAsia="Arial" w:hAnsi="Arial"/>
                <w:sz w:val="10"/>
                <w:szCs w:val="10"/>
                <w:color w:val="auto"/>
              </w:rPr>
              <w:t>Research and development expenses</w:t>
            </w: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0077C0"/>
            </w:tcBorders>
          </w:tcPr>
          <w:p>
            <w:pPr>
              <w:jc w:val="right"/>
              <w:ind w:right="129"/>
              <w:spacing w:after="0" w:line="101" w:lineRule="exact"/>
              <w:rPr>
                <w:sz w:val="20"/>
                <w:szCs w:val="20"/>
                <w:color w:val="auto"/>
              </w:rPr>
            </w:pPr>
            <w:r>
              <w:rPr>
                <w:rFonts w:ascii="Arial" w:cs="Arial" w:eastAsia="Arial" w:hAnsi="Arial"/>
                <w:sz w:val="10"/>
                <w:szCs w:val="10"/>
                <w:b w:val="1"/>
                <w:bCs w:val="1"/>
                <w:color w:val="auto"/>
              </w:rPr>
              <w:t>835</w:t>
            </w:r>
          </w:p>
        </w:tc>
        <w:tc>
          <w:tcPr>
            <w:tcW w:w="160" w:type="dxa"/>
            <w:vAlign w:val="bottom"/>
          </w:tcPr>
          <w:p>
            <w:pPr>
              <w:jc w:val="right"/>
              <w:spacing w:after="0" w:line="101"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30"/>
              <w:spacing w:after="0" w:line="101" w:lineRule="exact"/>
              <w:rPr>
                <w:sz w:val="20"/>
                <w:szCs w:val="20"/>
                <w:color w:val="auto"/>
              </w:rPr>
            </w:pPr>
            <w:r>
              <w:rPr>
                <w:rFonts w:ascii="Arial" w:cs="Arial" w:eastAsia="Arial" w:hAnsi="Arial"/>
                <w:sz w:val="10"/>
                <w:szCs w:val="10"/>
                <w:color w:val="auto"/>
              </w:rPr>
              <w:t>562</w:t>
            </w:r>
          </w:p>
        </w:tc>
        <w:tc>
          <w:tcPr>
            <w:tcW w:w="260" w:type="dxa"/>
            <w:vAlign w:val="bottom"/>
          </w:tcPr>
          <w:p>
            <w:pPr>
              <w:jc w:val="right"/>
              <w:ind w:right="9"/>
              <w:spacing w:after="0" w:line="10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1" w:lineRule="exact"/>
              <w:rPr>
                <w:sz w:val="20"/>
                <w:szCs w:val="20"/>
                <w:color w:val="auto"/>
              </w:rPr>
            </w:pPr>
            <w:r>
              <w:rPr>
                <w:rFonts w:ascii="Arial" w:cs="Arial" w:eastAsia="Arial" w:hAnsi="Arial"/>
                <w:sz w:val="10"/>
                <w:szCs w:val="10"/>
                <w:color w:val="auto"/>
              </w:rPr>
              <w:t>468</w:t>
            </w:r>
          </w:p>
        </w:tc>
        <w:tc>
          <w:tcPr>
            <w:tcW w:w="20" w:type="dxa"/>
            <w:vAlign w:val="bottom"/>
          </w:tcPr>
          <w:p>
            <w:pPr>
              <w:spacing w:after="0"/>
              <w:rPr>
                <w:sz w:val="8"/>
                <w:szCs w:val="8"/>
                <w:color w:val="auto"/>
              </w:rPr>
            </w:pPr>
          </w:p>
        </w:tc>
      </w:tr>
      <w:tr>
        <w:trPr>
          <w:trHeight w:val="120"/>
        </w:trPr>
        <w:tc>
          <w:tcPr>
            <w:tcW w:w="3760" w:type="dxa"/>
            <w:vAlign w:val="bottom"/>
          </w:tcPr>
          <w:p>
            <w:pPr>
              <w:spacing w:after="0"/>
              <w:rPr>
                <w:sz w:val="20"/>
                <w:szCs w:val="20"/>
                <w:color w:val="auto"/>
              </w:rPr>
            </w:pPr>
            <w:r>
              <w:rPr>
                <w:rFonts w:ascii="Arial" w:cs="Arial" w:eastAsia="Arial" w:hAnsi="Arial"/>
                <w:sz w:val="10"/>
                <w:szCs w:val="10"/>
                <w:color w:val="auto"/>
              </w:rPr>
              <w:t>Foreign currency effects*</w:t>
            </w:r>
          </w:p>
        </w:tc>
        <w:tc>
          <w:tcPr>
            <w:tcW w:w="120" w:type="dxa"/>
            <w:vAlign w:val="bottom"/>
          </w:tcPr>
          <w:p>
            <w:pPr>
              <w:jc w:val="right"/>
              <w:ind w:right="54"/>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862</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90"/>
              <w:spacing w:after="0"/>
              <w:rPr>
                <w:sz w:val="20"/>
                <w:szCs w:val="20"/>
                <w:color w:val="auto"/>
              </w:rPr>
            </w:pPr>
            <w:r>
              <w:rPr>
                <w:rFonts w:ascii="Arial" w:cs="Arial" w:eastAsia="Arial" w:hAnsi="Arial"/>
                <w:sz w:val="10"/>
                <w:szCs w:val="10"/>
                <w:color w:val="auto"/>
              </w:rPr>
              <w:t>(352)</w:t>
            </w:r>
          </w:p>
        </w:tc>
        <w:tc>
          <w:tcPr>
            <w:tcW w:w="26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(219)</w:t>
            </w:r>
          </w:p>
        </w:tc>
      </w:tr>
      <w:tr>
        <w:trPr>
          <w:trHeight w:val="29"/>
        </w:trPr>
        <w:tc>
          <w:tcPr>
            <w:tcW w:w="3760" w:type="dxa"/>
            <w:vAlign w:val="bottom"/>
            <w:shd w:val="clear" w:color="auto" w:fill="0077C0"/>
          </w:tcPr>
          <w:p>
            <w:pPr>
              <w:spacing w:after="0"/>
              <w:rPr>
                <w:sz w:val="2"/>
                <w:szCs w:val="2"/>
                <w:color w:val="auto"/>
              </w:rPr>
            </w:pPr>
          </w:p>
        </w:tc>
        <w:tc>
          <w:tcPr>
            <w:tcW w:w="120" w:type="dxa"/>
            <w:vAlign w:val="bottom"/>
            <w:shd w:val="clear" w:color="auto" w:fill="0077C0"/>
          </w:tcPr>
          <w:p>
            <w:pPr>
              <w:spacing w:after="0"/>
              <w:rPr>
                <w:sz w:val="2"/>
                <w:szCs w:val="2"/>
                <w:color w:val="auto"/>
              </w:rPr>
            </w:pPr>
          </w:p>
        </w:tc>
        <w:tc>
          <w:tcPr>
            <w:tcW w:w="420" w:type="dxa"/>
            <w:vAlign w:val="bottom"/>
            <w:tcBorders>
              <w:right w:val="single" w:sz="8" w:color="0077C0"/>
            </w:tcBorders>
            <w:shd w:val="clear" w:color="auto" w:fill="0077C0"/>
          </w:tcPr>
          <w:p>
            <w:pPr>
              <w:spacing w:after="0"/>
              <w:rPr>
                <w:sz w:val="2"/>
                <w:szCs w:val="2"/>
                <w:color w:val="auto"/>
              </w:rPr>
            </w:pPr>
          </w:p>
        </w:tc>
        <w:tc>
          <w:tcPr>
            <w:tcW w:w="16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r>
    </w:tbl>
    <w:p>
      <w:pPr>
        <w:spacing w:after="0"/>
        <w:rPr>
          <w:sz w:val="20"/>
          <w:szCs w:val="20"/>
          <w:color w:val="auto"/>
        </w:rPr>
      </w:pPr>
      <w:r>
        <w:rPr>
          <w:rFonts w:ascii="Arial" w:cs="Arial" w:eastAsia="Arial" w:hAnsi="Arial"/>
          <w:sz w:val="9"/>
          <w:szCs w:val="9"/>
          <w:color w:val="auto"/>
        </w:rPr>
        <w:t>*  Includes $420, $18 and $15 in 2008, 2007 and 2006, respectively, for the company’s share of equity affiliates’ foreign currency effects.</w:t>
      </w:r>
    </w:p>
    <w:p>
      <w:pPr>
        <w:spacing w:after="0" w:line="128" w:lineRule="exact"/>
        <w:rPr>
          <w:sz w:val="20"/>
          <w:szCs w:val="20"/>
          <w:color w:val="auto"/>
        </w:rPr>
      </w:pPr>
    </w:p>
    <w:p>
      <w:pPr>
        <w:ind w:right="20" w:firstLine="158"/>
        <w:spacing w:after="0" w:line="281" w:lineRule="auto"/>
        <w:rPr>
          <w:sz w:val="20"/>
          <w:szCs w:val="20"/>
          <w:color w:val="auto"/>
        </w:rPr>
      </w:pPr>
      <w:r>
        <w:rPr>
          <w:rFonts w:ascii="Arial" w:cs="Arial" w:eastAsia="Arial" w:hAnsi="Arial"/>
          <w:sz w:val="12"/>
          <w:szCs w:val="12"/>
          <w:color w:val="auto"/>
        </w:rPr>
        <w:t>The excess of replacement cost over the carrying value of inventories for which the Last-In, First-Out (LIFO) method is used was $9,368 and $6,958 at December 31, 2008 and 2007, respectively. Replacement cost is generally based on average acquisition costs for the year. LIFO profits of $210, $113 and $82 were included in net income for the years 2008, 2007 and 2006,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Note 27</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Earnings Per Share</w:t>
      </w:r>
    </w:p>
    <w:p>
      <w:pPr>
        <w:ind w:right="60"/>
        <w:spacing w:after="0" w:line="272" w:lineRule="auto"/>
        <w:rPr>
          <w:sz w:val="20"/>
          <w:szCs w:val="20"/>
          <w:color w:val="auto"/>
        </w:rPr>
      </w:pPr>
      <w:r>
        <w:rPr>
          <w:rFonts w:ascii="Arial" w:cs="Arial" w:eastAsia="Arial" w:hAnsi="Arial"/>
          <w:sz w:val="12"/>
          <w:szCs w:val="12"/>
          <w:color w:val="auto"/>
        </w:rPr>
        <w:t>Basic earnings per share (EPS) is based upon net income less preferred stock dividend requirements and includes the effects of deferrals of salary and other compensation awards that are invested in Chevron stock units by certain officers and employees of the company and the company’s share of stock transactions of affiliates, which, under the applicable accounting rules, may be recorded directly to the company’s retained earnings instead of net income. Diluted EPS includes the effects of these items as well as the dilutive effects of outstanding stock options awarded under the company’s stock option programs (refer to Note 21, “Stock Options and Other Share-Based Compensation” beginning on page FS-49). The table below sets forth the computation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240" w:type="dxa"/>
            <w:vAlign w:val="bottom"/>
            <w:tcBorders>
              <w:bottom w:val="single" w:sz="8" w:color="0077C0"/>
            </w:tcBorders>
          </w:tcPr>
          <w:p>
            <w:pPr>
              <w:spacing w:after="0"/>
              <w:rPr>
                <w:sz w:val="10"/>
                <w:szCs w:val="10"/>
                <w:color w:val="auto"/>
              </w:rPr>
            </w:pPr>
          </w:p>
        </w:tc>
        <w:tc>
          <w:tcPr>
            <w:tcW w:w="920" w:type="dxa"/>
            <w:vAlign w:val="bottom"/>
            <w:tcBorders>
              <w:bottom w:val="single" w:sz="8" w:color="0077C0"/>
            </w:tcBorders>
          </w:tcPr>
          <w:p>
            <w:pPr>
              <w:spacing w:after="0"/>
              <w:rPr>
                <w:sz w:val="10"/>
                <w:szCs w:val="10"/>
                <w:color w:val="auto"/>
              </w:rPr>
            </w:pP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9"/>
              </w:rPr>
              <w:t>Year ended December 31</w:t>
            </w:r>
          </w:p>
        </w:tc>
      </w:tr>
      <w:tr>
        <w:trPr>
          <w:trHeight w:val="95"/>
        </w:trPr>
        <w:tc>
          <w:tcPr>
            <w:tcW w:w="1240" w:type="dxa"/>
            <w:vAlign w:val="bottom"/>
          </w:tcPr>
          <w:p>
            <w:pPr>
              <w:jc w:val="right"/>
              <w:ind w:right="492"/>
              <w:spacing w:after="0" w:line="95" w:lineRule="exact"/>
              <w:rPr>
                <w:sz w:val="20"/>
                <w:szCs w:val="20"/>
                <w:color w:val="auto"/>
              </w:rPr>
            </w:pPr>
            <w:r>
              <w:rPr>
                <w:rFonts w:ascii="Arial" w:cs="Arial" w:eastAsia="Arial" w:hAnsi="Arial"/>
                <w:sz w:val="10"/>
                <w:szCs w:val="10"/>
                <w:b w:val="1"/>
                <w:bCs w:val="1"/>
                <w:color w:val="auto"/>
              </w:rPr>
              <w:t>2008</w:t>
            </w:r>
          </w:p>
        </w:tc>
        <w:tc>
          <w:tcPr>
            <w:tcW w:w="920" w:type="dxa"/>
            <w:vAlign w:val="bottom"/>
          </w:tcPr>
          <w:p>
            <w:pPr>
              <w:jc w:val="right"/>
              <w:ind w:right="152"/>
              <w:spacing w:after="0" w:line="95" w:lineRule="exact"/>
              <w:rPr>
                <w:sz w:val="20"/>
                <w:szCs w:val="20"/>
                <w:color w:val="auto"/>
              </w:rPr>
            </w:pPr>
            <w:r>
              <w:rPr>
                <w:rFonts w:ascii="Arial" w:cs="Arial" w:eastAsia="Arial" w:hAnsi="Arial"/>
                <w:sz w:val="10"/>
                <w:szCs w:val="10"/>
                <w:color w:val="auto"/>
              </w:rPr>
              <w:t>2007</w:t>
            </w:r>
          </w:p>
        </w:tc>
        <w:tc>
          <w:tcPr>
            <w:tcW w:w="1160" w:type="dxa"/>
            <w:vAlign w:val="bottom"/>
          </w:tcPr>
          <w:p>
            <w:pPr>
              <w:jc w:val="right"/>
              <w:spacing w:after="0" w:line="95" w:lineRule="exact"/>
              <w:rPr>
                <w:sz w:val="20"/>
                <w:szCs w:val="20"/>
                <w:color w:val="auto"/>
              </w:rPr>
            </w:pPr>
            <w:r>
              <w:rPr>
                <w:rFonts w:ascii="Arial" w:cs="Arial" w:eastAsia="Arial" w:hAnsi="Arial"/>
                <w:sz w:val="10"/>
                <w:szCs w:val="10"/>
                <w:color w:val="auto"/>
              </w:rPr>
              <w:t>2006</w:t>
            </w:r>
          </w:p>
        </w:tc>
      </w:tr>
    </w:tbl>
    <w:p>
      <w:pPr>
        <w:spacing w:after="0" w:line="1" w:lineRule="exact"/>
        <w:rPr>
          <w:sz w:val="20"/>
          <w:szCs w:val="20"/>
          <w:color w:val="auto"/>
        </w:rPr>
      </w:pPr>
    </w:p>
    <w:p>
      <w:pPr>
        <w:sectPr>
          <w:pgSz w:w="11900" w:h="16838" w:orient="portrait"/>
          <w:cols w:equalWidth="0" w:num="2">
            <w:col w:w="5480" w:space="480"/>
            <w:col w:w="5520"/>
          </w:cols>
          <w:pgMar w:left="220" w:top="338" w:right="199" w:bottom="1440" w:gutter="0" w:footer="0" w:header="0"/>
          <w:type w:val="continuous"/>
        </w:sectPr>
      </w:pPr>
    </w:p>
    <w:tbl>
      <w:tblPr>
        <w:tblLayout w:type="fixed"/>
        <w:tblInd w:w="0" w:type="dxa"/>
        <w:tblCellMar>
          <w:top w:w="0" w:type="dxa"/>
          <w:left w:w="0" w:type="dxa"/>
          <w:bottom w:w="0" w:type="dxa"/>
          <w:right w:w="0" w:type="dxa"/>
        </w:tblCellMar>
      </w:tblPr>
      <w:tr>
        <w:trPr>
          <w:trHeight w:val="92"/>
        </w:trPr>
        <w:tc>
          <w:tcPr>
            <w:tcW w:w="4080" w:type="dxa"/>
            <w:vAlign w:val="bottom"/>
            <w:tcBorders>
              <w:top w:val="single" w:sz="8" w:color="0077C0"/>
            </w:tcBorders>
            <w:gridSpan w:val="2"/>
          </w:tcPr>
          <w:p>
            <w:pPr>
              <w:spacing w:after="0" w:line="92" w:lineRule="exact"/>
              <w:rPr>
                <w:sz w:val="20"/>
                <w:szCs w:val="20"/>
                <w:color w:val="auto"/>
              </w:rPr>
            </w:pPr>
            <w:r>
              <w:rPr>
                <w:rFonts w:ascii="Arial" w:cs="Arial" w:eastAsia="Arial" w:hAnsi="Arial"/>
                <w:sz w:val="10"/>
                <w:szCs w:val="10"/>
                <w:b w:val="1"/>
                <w:bCs w:val="1"/>
                <w:color w:val="0077C0"/>
              </w:rPr>
              <w:t>Basic EPS Calculation</w:t>
            </w:r>
          </w:p>
        </w:tc>
        <w:tc>
          <w:tcPr>
            <w:tcW w:w="4200" w:type="dxa"/>
            <w:vAlign w:val="bottom"/>
            <w:tcBorders>
              <w:top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23,931</w:t>
            </w:r>
          </w:p>
        </w:tc>
        <w:tc>
          <w:tcPr>
            <w:tcW w:w="46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80" w:type="dxa"/>
            <w:vAlign w:val="bottom"/>
            <w:gridSpan w:val="2"/>
          </w:tcPr>
          <w:p>
            <w:pPr>
              <w:spacing w:after="0" w:line="104" w:lineRule="exact"/>
              <w:rPr>
                <w:sz w:val="20"/>
                <w:szCs w:val="20"/>
                <w:color w:val="auto"/>
              </w:rPr>
            </w:pPr>
            <w:r>
              <w:rPr>
                <w:rFonts w:ascii="Arial" w:cs="Arial" w:eastAsia="Arial" w:hAnsi="Arial"/>
                <w:sz w:val="10"/>
                <w:szCs w:val="10"/>
                <w:color w:val="auto"/>
              </w:rPr>
              <w:t>Income from operations</w:t>
            </w:r>
          </w:p>
        </w:tc>
        <w:tc>
          <w:tcPr>
            <w:tcW w:w="4200" w:type="dxa"/>
            <w:vAlign w:val="bottom"/>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4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18,688</w:t>
            </w:r>
          </w:p>
        </w:tc>
        <w:tc>
          <w:tcPr>
            <w:tcW w:w="5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17,138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Add: Dividend equivalents paid on stock units</w:t>
            </w:r>
          </w:p>
        </w:tc>
        <w:tc>
          <w:tcPr>
            <w:tcW w:w="420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40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Net income available to common stockholders – Basic</w:t>
            </w:r>
          </w:p>
        </w:tc>
        <w:tc>
          <w:tcPr>
            <w:tcW w:w="420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23,931</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18,688</w:t>
            </w:r>
          </w:p>
        </w:tc>
        <w:tc>
          <w:tcPr>
            <w:tcW w:w="5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17,139</w:t>
            </w:r>
          </w:p>
        </w:tc>
        <w:tc>
          <w:tcPr>
            <w:tcW w:w="20" w:type="dxa"/>
            <w:vAlign w:val="bottom"/>
            <w:tcBorders>
              <w:bottom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80" w:type="dxa"/>
            <w:vAlign w:val="bottom"/>
            <w:gridSpan w:val="2"/>
          </w:tcPr>
          <w:p>
            <w:pPr>
              <w:spacing w:after="0" w:line="101" w:lineRule="exact"/>
              <w:rPr>
                <w:sz w:val="20"/>
                <w:szCs w:val="20"/>
                <w:color w:val="auto"/>
              </w:rPr>
            </w:pPr>
            <w:r>
              <w:rPr>
                <w:rFonts w:ascii="Arial" w:cs="Arial" w:eastAsia="Arial" w:hAnsi="Arial"/>
                <w:sz w:val="10"/>
                <w:szCs w:val="10"/>
                <w:color w:val="auto"/>
              </w:rPr>
              <w:t>Weighted-average number of common shares outstanding</w:t>
            </w:r>
          </w:p>
        </w:tc>
        <w:tc>
          <w:tcPr>
            <w:tcW w:w="4200" w:type="dxa"/>
            <w:vAlign w:val="bottom"/>
          </w:tcPr>
          <w:p>
            <w:pPr>
              <w:spacing w:after="0"/>
              <w:rPr>
                <w:sz w:val="8"/>
                <w:szCs w:val="8"/>
                <w:color w:val="auto"/>
              </w:rPr>
            </w:pPr>
          </w:p>
        </w:tc>
        <w:tc>
          <w:tcPr>
            <w:tcW w:w="800" w:type="dxa"/>
            <w:vAlign w:val="bottom"/>
            <w:tcBorders>
              <w:right w:val="single" w:sz="8" w:color="0077C0"/>
            </w:tcBorders>
          </w:tcPr>
          <w:p>
            <w:pPr>
              <w:jc w:val="right"/>
              <w:ind w:right="289"/>
              <w:spacing w:after="0" w:line="101" w:lineRule="exact"/>
              <w:rPr>
                <w:sz w:val="20"/>
                <w:szCs w:val="20"/>
                <w:color w:val="auto"/>
              </w:rPr>
            </w:pPr>
            <w:r>
              <w:rPr>
                <w:rFonts w:ascii="Arial" w:cs="Arial" w:eastAsia="Arial" w:hAnsi="Arial"/>
                <w:sz w:val="10"/>
                <w:szCs w:val="10"/>
                <w:b w:val="1"/>
                <w:bCs w:val="1"/>
                <w:color w:val="auto"/>
              </w:rPr>
              <w:t>2,037</w:t>
            </w:r>
          </w:p>
        </w:tc>
        <w:tc>
          <w:tcPr>
            <w:tcW w:w="460" w:type="dxa"/>
            <w:vAlign w:val="bottom"/>
          </w:tcPr>
          <w:p>
            <w:pPr>
              <w:spacing w:after="0"/>
              <w:rPr>
                <w:sz w:val="8"/>
                <w:szCs w:val="8"/>
                <w:color w:val="auto"/>
              </w:rPr>
            </w:pPr>
          </w:p>
        </w:tc>
        <w:tc>
          <w:tcPr>
            <w:tcW w:w="800" w:type="dxa"/>
            <w:vAlign w:val="bottom"/>
          </w:tcPr>
          <w:p>
            <w:pPr>
              <w:jc w:val="right"/>
              <w:ind w:right="289"/>
              <w:spacing w:after="0" w:line="101" w:lineRule="exact"/>
              <w:rPr>
                <w:sz w:val="20"/>
                <w:szCs w:val="20"/>
                <w:color w:val="auto"/>
              </w:rPr>
            </w:pPr>
            <w:r>
              <w:rPr>
                <w:rFonts w:ascii="Arial" w:cs="Arial" w:eastAsia="Arial" w:hAnsi="Arial"/>
                <w:sz w:val="10"/>
                <w:szCs w:val="10"/>
                <w:color w:val="auto"/>
              </w:rPr>
              <w:t>2,117</w:t>
            </w:r>
          </w:p>
        </w:tc>
        <w:tc>
          <w:tcPr>
            <w:tcW w:w="58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2,185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Add: Deferred awards held as stock units</w:t>
            </w:r>
          </w:p>
        </w:tc>
        <w:tc>
          <w:tcPr>
            <w:tcW w:w="420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w:t>
            </w:r>
          </w:p>
        </w:tc>
        <w:tc>
          <w:tcPr>
            <w:tcW w:w="46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w:t>
            </w:r>
          </w:p>
        </w:tc>
        <w:tc>
          <w:tcPr>
            <w:tcW w:w="5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40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weighted-average number of common shares outstanding</w:t>
            </w:r>
          </w:p>
        </w:tc>
        <w:tc>
          <w:tcPr>
            <w:tcW w:w="4200" w:type="dxa"/>
            <w:vAlign w:val="bottom"/>
            <w:tcBorders>
              <w:bottom w:val="single" w:sz="8" w:color="0077C0"/>
            </w:tcBorders>
          </w:tcPr>
          <w:p>
            <w:pPr>
              <w:spacing w:after="0"/>
              <w:rPr>
                <w:sz w:val="9"/>
                <w:szCs w:val="9"/>
                <w:color w:val="auto"/>
              </w:rPr>
            </w:pPr>
          </w:p>
        </w:tc>
        <w:tc>
          <w:tcPr>
            <w:tcW w:w="80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2,038</w:t>
            </w:r>
          </w:p>
        </w:tc>
        <w:tc>
          <w:tcPr>
            <w:tcW w:w="460" w:type="dxa"/>
            <w:vAlign w:val="bottom"/>
            <w:tcBorders>
              <w:bottom w:val="single" w:sz="8" w:color="0077C0"/>
            </w:tcBorders>
          </w:tcPr>
          <w:p>
            <w:pPr>
              <w:spacing w:after="0"/>
              <w:rPr>
                <w:sz w:val="9"/>
                <w:szCs w:val="9"/>
                <w:color w:val="auto"/>
              </w:rPr>
            </w:pPr>
          </w:p>
        </w:tc>
        <w:tc>
          <w:tcPr>
            <w:tcW w:w="80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2,118</w:t>
            </w:r>
          </w:p>
        </w:tc>
        <w:tc>
          <w:tcPr>
            <w:tcW w:w="5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2,186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080" w:type="dxa"/>
            <w:vAlign w:val="bottom"/>
            <w:gridSpan w:val="2"/>
          </w:tcPr>
          <w:p>
            <w:pPr>
              <w:spacing w:after="0" w:line="103" w:lineRule="exact"/>
              <w:rPr>
                <w:sz w:val="20"/>
                <w:szCs w:val="20"/>
                <w:color w:val="auto"/>
              </w:rPr>
            </w:pPr>
            <w:r>
              <w:rPr>
                <w:rFonts w:ascii="Arial" w:cs="Arial" w:eastAsia="Arial" w:hAnsi="Arial"/>
                <w:sz w:val="10"/>
                <w:szCs w:val="10"/>
                <w:color w:val="auto"/>
              </w:rPr>
              <w:t>Per share of common stock</w:t>
            </w:r>
          </w:p>
        </w:tc>
        <w:tc>
          <w:tcPr>
            <w:tcW w:w="420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11.74</w:t>
            </w: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80" w:type="dxa"/>
            <w:vAlign w:val="bottom"/>
            <w:gridSpan w:val="2"/>
          </w:tcPr>
          <w:p>
            <w:pPr>
              <w:spacing w:after="0"/>
              <w:rPr>
                <w:sz w:val="20"/>
                <w:szCs w:val="20"/>
                <w:color w:val="auto"/>
              </w:rPr>
            </w:pPr>
            <w:r>
              <w:rPr>
                <w:rFonts w:ascii="Arial" w:cs="Arial" w:eastAsia="Arial" w:hAnsi="Arial"/>
                <w:sz w:val="10"/>
                <w:szCs w:val="10"/>
                <w:color w:val="auto"/>
              </w:rPr>
              <w:t>Net income – Basic</w:t>
            </w:r>
          </w:p>
        </w:tc>
        <w:tc>
          <w:tcPr>
            <w:tcW w:w="4200" w:type="dxa"/>
            <w:vAlign w:val="bottom"/>
            <w:vMerge w:val="continue"/>
          </w:tcPr>
          <w:p>
            <w:pPr>
              <w:spacing w:after="0"/>
              <w:rPr>
                <w:sz w:val="11"/>
                <w:szCs w:val="11"/>
                <w:color w:val="auto"/>
              </w:rPr>
            </w:pPr>
          </w:p>
        </w:tc>
        <w:tc>
          <w:tcPr>
            <w:tcW w:w="800" w:type="dxa"/>
            <w:vAlign w:val="bottom"/>
            <w:tcBorders>
              <w:right w:val="single" w:sz="8" w:color="0077C0"/>
            </w:tcBorders>
            <w:vMerge w:val="continue"/>
          </w:tcPr>
          <w:p>
            <w:pPr>
              <w:spacing w:after="0"/>
              <w:rPr>
                <w:sz w:val="11"/>
                <w:szCs w:val="11"/>
                <w:color w:val="auto"/>
              </w:rPr>
            </w:pPr>
          </w:p>
        </w:tc>
        <w:tc>
          <w:tcPr>
            <w:tcW w:w="46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8.83</w:t>
            </w:r>
          </w:p>
        </w:tc>
        <w:tc>
          <w:tcPr>
            <w:tcW w:w="58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7.84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080" w:type="dxa"/>
            <w:vAlign w:val="bottom"/>
            <w:tcBorders>
              <w:top w:val="single" w:sz="8" w:color="0077C0"/>
            </w:tcBorders>
            <w:gridSpan w:val="2"/>
          </w:tcPr>
          <w:p>
            <w:pPr>
              <w:spacing w:after="0"/>
              <w:rPr>
                <w:sz w:val="20"/>
                <w:szCs w:val="20"/>
                <w:color w:val="auto"/>
              </w:rPr>
            </w:pPr>
            <w:r>
              <w:rPr>
                <w:rFonts w:ascii="Arial" w:cs="Arial" w:eastAsia="Arial" w:hAnsi="Arial"/>
                <w:sz w:val="10"/>
                <w:szCs w:val="10"/>
                <w:b w:val="1"/>
                <w:bCs w:val="1"/>
                <w:color w:val="0077C0"/>
              </w:rPr>
              <w:t>Diluted EPS Calculation</w:t>
            </w:r>
          </w:p>
        </w:tc>
        <w:tc>
          <w:tcPr>
            <w:tcW w:w="4200" w:type="dxa"/>
            <w:vAlign w:val="bottom"/>
            <w:tcBorders>
              <w:top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23,931</w:t>
            </w:r>
          </w:p>
        </w:tc>
        <w:tc>
          <w:tcPr>
            <w:tcW w:w="460" w:type="dxa"/>
            <w:vAlign w:val="bottom"/>
            <w:tcBorders>
              <w:top w:val="single" w:sz="8" w:color="0077C0"/>
            </w:tcBorders>
          </w:tcPr>
          <w:p>
            <w:pPr>
              <w:spacing w:after="0"/>
              <w:rPr>
                <w:sz w:val="18"/>
                <w:szCs w:val="18"/>
                <w:color w:val="auto"/>
              </w:rPr>
            </w:pPr>
          </w:p>
        </w:tc>
        <w:tc>
          <w:tcPr>
            <w:tcW w:w="800" w:type="dxa"/>
            <w:vAlign w:val="bottom"/>
            <w:tcBorders>
              <w:top w:val="single" w:sz="8" w:color="0077C0"/>
            </w:tcBorders>
          </w:tcPr>
          <w:p>
            <w:pPr>
              <w:spacing w:after="0"/>
              <w:rPr>
                <w:sz w:val="18"/>
                <w:szCs w:val="18"/>
                <w:color w:val="auto"/>
              </w:rPr>
            </w:pPr>
          </w:p>
        </w:tc>
        <w:tc>
          <w:tcPr>
            <w:tcW w:w="580" w:type="dxa"/>
            <w:vAlign w:val="bottom"/>
            <w:tcBorders>
              <w:top w:val="single" w:sz="8" w:color="0077C0"/>
            </w:tcBorders>
          </w:tcPr>
          <w:p>
            <w:pPr>
              <w:spacing w:after="0"/>
              <w:rPr>
                <w:sz w:val="18"/>
                <w:szCs w:val="18"/>
                <w:color w:val="auto"/>
              </w:rPr>
            </w:pPr>
          </w:p>
        </w:tc>
        <w:tc>
          <w:tcPr>
            <w:tcW w:w="440" w:type="dxa"/>
            <w:vAlign w:val="bottom"/>
            <w:tcBorders>
              <w:top w:val="single" w:sz="8" w:color="0077C0"/>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080" w:type="dxa"/>
            <w:vAlign w:val="bottom"/>
            <w:gridSpan w:val="2"/>
          </w:tcPr>
          <w:p>
            <w:pPr>
              <w:spacing w:after="0" w:line="104" w:lineRule="exact"/>
              <w:rPr>
                <w:sz w:val="20"/>
                <w:szCs w:val="20"/>
                <w:color w:val="auto"/>
              </w:rPr>
            </w:pPr>
            <w:r>
              <w:rPr>
                <w:rFonts w:ascii="Arial" w:cs="Arial" w:eastAsia="Arial" w:hAnsi="Arial"/>
                <w:sz w:val="10"/>
                <w:szCs w:val="10"/>
                <w:color w:val="auto"/>
              </w:rPr>
              <w:t>Income from operations</w:t>
            </w:r>
          </w:p>
        </w:tc>
        <w:tc>
          <w:tcPr>
            <w:tcW w:w="4200" w:type="dxa"/>
            <w:vAlign w:val="bottom"/>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4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18,688</w:t>
            </w:r>
          </w:p>
        </w:tc>
        <w:tc>
          <w:tcPr>
            <w:tcW w:w="5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17,138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Pr>
          <w:p>
            <w:pPr>
              <w:ind w:left="80"/>
              <w:spacing w:after="0" w:line="106" w:lineRule="exact"/>
              <w:rPr>
                <w:sz w:val="20"/>
                <w:szCs w:val="20"/>
                <w:color w:val="auto"/>
              </w:rPr>
            </w:pPr>
            <w:r>
              <w:rPr>
                <w:rFonts w:ascii="Arial" w:cs="Arial" w:eastAsia="Arial" w:hAnsi="Arial"/>
                <w:sz w:val="10"/>
                <w:szCs w:val="10"/>
                <w:color w:val="auto"/>
              </w:rPr>
              <w:t>Add: Dividend equivalents paid on stock units</w:t>
            </w:r>
          </w:p>
        </w:tc>
        <w:tc>
          <w:tcPr>
            <w:tcW w:w="420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ind w:left="80"/>
              <w:spacing w:after="0"/>
              <w:rPr>
                <w:sz w:val="20"/>
                <w:szCs w:val="20"/>
                <w:color w:val="auto"/>
              </w:rPr>
            </w:pPr>
            <w:r>
              <w:rPr>
                <w:rFonts w:ascii="Arial" w:cs="Arial" w:eastAsia="Arial" w:hAnsi="Arial"/>
                <w:sz w:val="10"/>
                <w:szCs w:val="10"/>
                <w:color w:val="auto"/>
              </w:rPr>
              <w:t>Add: Dilutive effects of employee stock-based awards</w:t>
            </w:r>
          </w:p>
        </w:tc>
        <w:tc>
          <w:tcPr>
            <w:tcW w:w="4200" w:type="dxa"/>
            <w:vAlign w:val="bottom"/>
          </w:tcPr>
          <w:p>
            <w:pPr>
              <w:spacing w:after="0"/>
              <w:rPr>
                <w:sz w:val="10"/>
                <w:szCs w:val="10"/>
                <w:color w:val="auto"/>
              </w:rPr>
            </w:pPr>
          </w:p>
        </w:tc>
        <w:tc>
          <w:tcPr>
            <w:tcW w:w="800" w:type="dxa"/>
            <w:vAlign w:val="bottom"/>
            <w:tcBorders>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10"/>
                <w:szCs w:val="10"/>
                <w:color w:val="auto"/>
              </w:rPr>
            </w:pP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40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income available to common stockholders – Diluted</w:t>
            </w:r>
          </w:p>
        </w:tc>
        <w:tc>
          <w:tcPr>
            <w:tcW w:w="420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23,931</w:t>
            </w:r>
          </w:p>
        </w:tc>
        <w:tc>
          <w:tcPr>
            <w:tcW w:w="46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18,688</w:t>
            </w:r>
          </w:p>
        </w:tc>
        <w:tc>
          <w:tcPr>
            <w:tcW w:w="58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17,139</w:t>
            </w:r>
          </w:p>
        </w:tc>
        <w:tc>
          <w:tcPr>
            <w:tcW w:w="20" w:type="dxa"/>
            <w:vAlign w:val="bottom"/>
            <w:tcBorders>
              <w:bottom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80" w:type="dxa"/>
            <w:vAlign w:val="bottom"/>
            <w:gridSpan w:val="2"/>
          </w:tcPr>
          <w:p>
            <w:pPr>
              <w:spacing w:after="0" w:line="101" w:lineRule="exact"/>
              <w:rPr>
                <w:sz w:val="20"/>
                <w:szCs w:val="20"/>
                <w:color w:val="auto"/>
              </w:rPr>
            </w:pPr>
            <w:r>
              <w:rPr>
                <w:rFonts w:ascii="Arial" w:cs="Arial" w:eastAsia="Arial" w:hAnsi="Arial"/>
                <w:sz w:val="10"/>
                <w:szCs w:val="10"/>
                <w:color w:val="auto"/>
              </w:rPr>
              <w:t>Weighted-average number of common shares outstanding</w:t>
            </w:r>
          </w:p>
        </w:tc>
        <w:tc>
          <w:tcPr>
            <w:tcW w:w="4200" w:type="dxa"/>
            <w:vAlign w:val="bottom"/>
          </w:tcPr>
          <w:p>
            <w:pPr>
              <w:spacing w:after="0"/>
              <w:rPr>
                <w:sz w:val="8"/>
                <w:szCs w:val="8"/>
                <w:color w:val="auto"/>
              </w:rPr>
            </w:pPr>
          </w:p>
        </w:tc>
        <w:tc>
          <w:tcPr>
            <w:tcW w:w="800" w:type="dxa"/>
            <w:vAlign w:val="bottom"/>
            <w:tcBorders>
              <w:right w:val="single" w:sz="8" w:color="0077C0"/>
            </w:tcBorders>
          </w:tcPr>
          <w:p>
            <w:pPr>
              <w:jc w:val="right"/>
              <w:ind w:right="289"/>
              <w:spacing w:after="0" w:line="101" w:lineRule="exact"/>
              <w:rPr>
                <w:sz w:val="20"/>
                <w:szCs w:val="20"/>
                <w:color w:val="auto"/>
              </w:rPr>
            </w:pPr>
            <w:r>
              <w:rPr>
                <w:rFonts w:ascii="Arial" w:cs="Arial" w:eastAsia="Arial" w:hAnsi="Arial"/>
                <w:sz w:val="10"/>
                <w:szCs w:val="10"/>
                <w:b w:val="1"/>
                <w:bCs w:val="1"/>
                <w:color w:val="auto"/>
              </w:rPr>
              <w:t>2,037</w:t>
            </w:r>
          </w:p>
        </w:tc>
        <w:tc>
          <w:tcPr>
            <w:tcW w:w="460" w:type="dxa"/>
            <w:vAlign w:val="bottom"/>
          </w:tcPr>
          <w:p>
            <w:pPr>
              <w:spacing w:after="0"/>
              <w:rPr>
                <w:sz w:val="8"/>
                <w:szCs w:val="8"/>
                <w:color w:val="auto"/>
              </w:rPr>
            </w:pPr>
          </w:p>
        </w:tc>
        <w:tc>
          <w:tcPr>
            <w:tcW w:w="800" w:type="dxa"/>
            <w:vAlign w:val="bottom"/>
          </w:tcPr>
          <w:p>
            <w:pPr>
              <w:jc w:val="right"/>
              <w:ind w:right="289"/>
              <w:spacing w:after="0" w:line="101" w:lineRule="exact"/>
              <w:rPr>
                <w:sz w:val="20"/>
                <w:szCs w:val="20"/>
                <w:color w:val="auto"/>
              </w:rPr>
            </w:pPr>
            <w:r>
              <w:rPr>
                <w:rFonts w:ascii="Arial" w:cs="Arial" w:eastAsia="Arial" w:hAnsi="Arial"/>
                <w:sz w:val="10"/>
                <w:szCs w:val="10"/>
                <w:color w:val="auto"/>
              </w:rPr>
              <w:t>2,117</w:t>
            </w:r>
          </w:p>
        </w:tc>
        <w:tc>
          <w:tcPr>
            <w:tcW w:w="58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2,185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Pr>
          <w:p>
            <w:pPr>
              <w:ind w:left="80"/>
              <w:spacing w:after="0" w:line="106" w:lineRule="exact"/>
              <w:rPr>
                <w:sz w:val="20"/>
                <w:szCs w:val="20"/>
                <w:color w:val="auto"/>
              </w:rPr>
            </w:pPr>
            <w:r>
              <w:rPr>
                <w:rFonts w:ascii="Arial" w:cs="Arial" w:eastAsia="Arial" w:hAnsi="Arial"/>
                <w:sz w:val="10"/>
                <w:szCs w:val="10"/>
                <w:color w:val="auto"/>
              </w:rPr>
              <w:t>Add: Deferred awards held as stock units</w:t>
            </w:r>
          </w:p>
        </w:tc>
        <w:tc>
          <w:tcPr>
            <w:tcW w:w="420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w:t>
            </w:r>
          </w:p>
        </w:tc>
        <w:tc>
          <w:tcPr>
            <w:tcW w:w="46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bottom w:val="single" w:sz="8" w:color="0077C0"/>
            </w:tcBorders>
          </w:tcPr>
          <w:p>
            <w:pPr>
              <w:ind w:left="80"/>
              <w:spacing w:after="0"/>
              <w:rPr>
                <w:sz w:val="20"/>
                <w:szCs w:val="20"/>
                <w:color w:val="auto"/>
              </w:rPr>
            </w:pPr>
            <w:r>
              <w:rPr>
                <w:rFonts w:ascii="Arial" w:cs="Arial" w:eastAsia="Arial" w:hAnsi="Arial"/>
                <w:sz w:val="10"/>
                <w:szCs w:val="10"/>
                <w:color w:val="auto"/>
              </w:rPr>
              <w:t>Add: Dilutive effect of employee stock-based awards</w:t>
            </w:r>
          </w:p>
        </w:tc>
        <w:tc>
          <w:tcPr>
            <w:tcW w:w="4200" w:type="dxa"/>
            <w:vAlign w:val="bottom"/>
            <w:tcBorders>
              <w:bottom w:val="single" w:sz="8" w:color="0077C0"/>
            </w:tcBorders>
          </w:tcPr>
          <w:p>
            <w:pPr>
              <w:spacing w:after="0"/>
              <w:rPr>
                <w:sz w:val="11"/>
                <w:szCs w:val="11"/>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12</w:t>
            </w:r>
          </w:p>
        </w:tc>
        <w:tc>
          <w:tcPr>
            <w:tcW w:w="460" w:type="dxa"/>
            <w:vAlign w:val="bottom"/>
            <w:tcBorders>
              <w:bottom w:val="single" w:sz="8" w:color="0077C0"/>
            </w:tcBorders>
          </w:tcPr>
          <w:p>
            <w:pPr>
              <w:spacing w:after="0"/>
              <w:rPr>
                <w:sz w:val="11"/>
                <w:szCs w:val="11"/>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14</w:t>
            </w:r>
          </w:p>
        </w:tc>
        <w:tc>
          <w:tcPr>
            <w:tcW w:w="580" w:type="dxa"/>
            <w:vAlign w:val="bottom"/>
            <w:tcBorders>
              <w:bottom w:val="single" w:sz="8" w:color="0077C0"/>
            </w:tcBorders>
          </w:tcPr>
          <w:p>
            <w:pPr>
              <w:spacing w:after="0"/>
              <w:rPr>
                <w:sz w:val="11"/>
                <w:szCs w:val="11"/>
                <w:color w:val="auto"/>
              </w:rPr>
            </w:pPr>
          </w:p>
        </w:tc>
        <w:tc>
          <w:tcPr>
            <w:tcW w:w="46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60" w:type="dxa"/>
            <w:vAlign w:val="bottom"/>
          </w:tcPr>
          <w:p>
            <w:pPr>
              <w:spacing w:after="0"/>
              <w:rPr>
                <w:sz w:val="20"/>
                <w:szCs w:val="20"/>
                <w:color w:val="auto"/>
              </w:rPr>
            </w:pPr>
            <w:r>
              <w:rPr>
                <w:rFonts w:ascii="Arial" w:cs="Arial" w:eastAsia="Arial" w:hAnsi="Arial"/>
                <w:sz w:val="10"/>
                <w:szCs w:val="10"/>
                <w:color w:val="auto"/>
              </w:rPr>
              <w:t>Total weighted-average number of common shares outstanding</w:t>
            </w:r>
          </w:p>
        </w:tc>
        <w:tc>
          <w:tcPr>
            <w:tcW w:w="4200" w:type="dxa"/>
            <w:vAlign w:val="bottom"/>
          </w:tcPr>
          <w:p>
            <w:pPr>
              <w:spacing w:after="0"/>
              <w:rPr>
                <w:sz w:val="10"/>
                <w:szCs w:val="10"/>
                <w:color w:val="auto"/>
              </w:rPr>
            </w:pPr>
          </w:p>
        </w:tc>
        <w:tc>
          <w:tcPr>
            <w:tcW w:w="800" w:type="dxa"/>
            <w:vAlign w:val="bottom"/>
            <w:tcBorders>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2,050</w:t>
            </w:r>
          </w:p>
        </w:tc>
        <w:tc>
          <w:tcPr>
            <w:tcW w:w="460" w:type="dxa"/>
            <w:vAlign w:val="bottom"/>
          </w:tcPr>
          <w:p>
            <w:pPr>
              <w:spacing w:after="0"/>
              <w:rPr>
                <w:sz w:val="10"/>
                <w:szCs w:val="10"/>
                <w:color w:val="auto"/>
              </w:rPr>
            </w:pP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2,132</w:t>
            </w:r>
          </w:p>
        </w:tc>
        <w:tc>
          <w:tcPr>
            <w:tcW w:w="58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2,197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080" w:type="dxa"/>
            <w:vAlign w:val="bottom"/>
            <w:tcBorders>
              <w:top w:val="single" w:sz="8" w:color="0077C0"/>
            </w:tcBorders>
            <w:gridSpan w:val="2"/>
          </w:tcPr>
          <w:p>
            <w:pPr>
              <w:spacing w:after="0" w:line="103" w:lineRule="exact"/>
              <w:rPr>
                <w:sz w:val="20"/>
                <w:szCs w:val="20"/>
                <w:color w:val="auto"/>
              </w:rPr>
            </w:pPr>
            <w:r>
              <w:rPr>
                <w:rFonts w:ascii="Arial" w:cs="Arial" w:eastAsia="Arial" w:hAnsi="Arial"/>
                <w:sz w:val="10"/>
                <w:szCs w:val="10"/>
                <w:color w:val="auto"/>
              </w:rPr>
              <w:t>Per share of common stock</w:t>
            </w:r>
          </w:p>
        </w:tc>
        <w:tc>
          <w:tcPr>
            <w:tcW w:w="4200" w:type="dxa"/>
            <w:vAlign w:val="bottom"/>
            <w:tcBorders>
              <w:top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11.67</w:t>
            </w:r>
          </w:p>
        </w:tc>
        <w:tc>
          <w:tcPr>
            <w:tcW w:w="46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80" w:type="dxa"/>
            <w:vAlign w:val="bottom"/>
            <w:gridSpan w:val="2"/>
          </w:tcPr>
          <w:p>
            <w:pPr>
              <w:spacing w:after="0"/>
              <w:rPr>
                <w:sz w:val="20"/>
                <w:szCs w:val="20"/>
                <w:color w:val="auto"/>
              </w:rPr>
            </w:pPr>
            <w:r>
              <w:rPr>
                <w:rFonts w:ascii="Arial" w:cs="Arial" w:eastAsia="Arial" w:hAnsi="Arial"/>
                <w:sz w:val="10"/>
                <w:szCs w:val="10"/>
                <w:color w:val="auto"/>
              </w:rPr>
              <w:t>Net income – Diluted</w:t>
            </w:r>
          </w:p>
        </w:tc>
        <w:tc>
          <w:tcPr>
            <w:tcW w:w="4200" w:type="dxa"/>
            <w:vAlign w:val="bottom"/>
            <w:vMerge w:val="continue"/>
          </w:tcPr>
          <w:p>
            <w:pPr>
              <w:spacing w:after="0"/>
              <w:rPr>
                <w:sz w:val="11"/>
                <w:szCs w:val="11"/>
                <w:color w:val="auto"/>
              </w:rPr>
            </w:pPr>
          </w:p>
        </w:tc>
        <w:tc>
          <w:tcPr>
            <w:tcW w:w="800" w:type="dxa"/>
            <w:vAlign w:val="bottom"/>
            <w:tcBorders>
              <w:right w:val="single" w:sz="8" w:color="0077C0"/>
            </w:tcBorders>
            <w:vMerge w:val="continue"/>
          </w:tcPr>
          <w:p>
            <w:pPr>
              <w:spacing w:after="0"/>
              <w:rPr>
                <w:sz w:val="11"/>
                <w:szCs w:val="11"/>
                <w:color w:val="auto"/>
              </w:rPr>
            </w:pPr>
          </w:p>
        </w:tc>
        <w:tc>
          <w:tcPr>
            <w:tcW w:w="46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8.77</w:t>
            </w:r>
          </w:p>
        </w:tc>
        <w:tc>
          <w:tcPr>
            <w:tcW w:w="58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7.80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Borders>
              <w:top w:val="single" w:sz="8" w:color="0077C0"/>
            </w:tcBorders>
          </w:tcPr>
          <w:p>
            <w:pPr>
              <w:spacing w:after="0"/>
              <w:rPr>
                <w:sz w:val="20"/>
                <w:szCs w:val="20"/>
                <w:color w:val="auto"/>
              </w:rPr>
            </w:pPr>
          </w:p>
        </w:tc>
        <w:tc>
          <w:tcPr>
            <w:tcW w:w="4200" w:type="dxa"/>
            <w:vAlign w:val="bottom"/>
            <w:tcBorders>
              <w:top w:val="single" w:sz="8" w:color="0077C0"/>
            </w:tcBorders>
          </w:tcPr>
          <w:p>
            <w:pPr>
              <w:jc w:val="right"/>
              <w:ind w:right="2349"/>
              <w:spacing w:after="0"/>
              <w:rPr>
                <w:sz w:val="20"/>
                <w:szCs w:val="20"/>
                <w:color w:val="auto"/>
              </w:rPr>
            </w:pPr>
            <w:r>
              <w:rPr>
                <w:rFonts w:ascii="Arial" w:cs="Arial" w:eastAsia="Arial" w:hAnsi="Arial"/>
                <w:sz w:val="10"/>
                <w:szCs w:val="10"/>
                <w:color w:val="auto"/>
              </w:rPr>
              <w:t>FS-59</w:t>
            </w:r>
          </w:p>
        </w:tc>
        <w:tc>
          <w:tcPr>
            <w:tcW w:w="800" w:type="dxa"/>
            <w:vAlign w:val="bottom"/>
            <w:tcBorders>
              <w:top w:val="single" w:sz="8" w:color="0077C0"/>
            </w:tcBorders>
          </w:tcPr>
          <w:p>
            <w:pPr>
              <w:spacing w:after="0"/>
              <w:rPr>
                <w:sz w:val="20"/>
                <w:szCs w:val="20"/>
                <w:color w:val="auto"/>
              </w:rPr>
            </w:pPr>
          </w:p>
        </w:tc>
        <w:tc>
          <w:tcPr>
            <w:tcW w:w="460" w:type="dxa"/>
            <w:vAlign w:val="bottom"/>
            <w:tcBorders>
              <w:top w:val="single" w:sz="8" w:color="0077C0"/>
            </w:tcBorders>
          </w:tcPr>
          <w:p>
            <w:pPr>
              <w:spacing w:after="0"/>
              <w:rPr>
                <w:sz w:val="20"/>
                <w:szCs w:val="20"/>
                <w:color w:val="auto"/>
              </w:rPr>
            </w:pPr>
          </w:p>
        </w:tc>
        <w:tc>
          <w:tcPr>
            <w:tcW w:w="800" w:type="dxa"/>
            <w:vAlign w:val="bottom"/>
            <w:tcBorders>
              <w:top w:val="single" w:sz="8" w:color="0077C0"/>
            </w:tcBorders>
          </w:tcPr>
          <w:p>
            <w:pPr>
              <w:spacing w:after="0"/>
              <w:rPr>
                <w:sz w:val="20"/>
                <w:szCs w:val="20"/>
                <w:color w:val="auto"/>
              </w:rPr>
            </w:pPr>
          </w:p>
        </w:tc>
        <w:tc>
          <w:tcPr>
            <w:tcW w:w="580" w:type="dxa"/>
            <w:vAlign w:val="bottom"/>
            <w:tcBorders>
              <w:top w:val="single" w:sz="8" w:color="0077C0"/>
            </w:tcBorders>
          </w:tcPr>
          <w:p>
            <w:pPr>
              <w:spacing w:after="0"/>
              <w:rPr>
                <w:sz w:val="20"/>
                <w:szCs w:val="20"/>
                <w:color w:val="auto"/>
              </w:rPr>
            </w:pPr>
          </w:p>
        </w:tc>
        <w:tc>
          <w:tcPr>
            <w:tcW w:w="440" w:type="dxa"/>
            <w:vAlign w:val="bottom"/>
            <w:tcBorders>
              <w:top w:val="single" w:sz="8" w:color="0077C0"/>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tcBorders>
              <w:bottom w:val="single" w:sz="8" w:color="808080"/>
            </w:tcBorders>
          </w:tcPr>
          <w:p>
            <w:pPr>
              <w:spacing w:after="0"/>
              <w:rPr>
                <w:sz w:val="12"/>
                <w:szCs w:val="12"/>
                <w:color w:val="auto"/>
              </w:rPr>
            </w:pPr>
          </w:p>
        </w:tc>
        <w:tc>
          <w:tcPr>
            <w:tcW w:w="42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10"/>
          <w:szCs w:val="10"/>
          <w:color w:val="auto"/>
        </w:rPr>
        <w:t>THIS PAGE INTENTIONALLY LEFT BLANK</w:t>
      </w:r>
    </w:p>
    <w:p>
      <w:pPr>
        <w:spacing w:after="0" w:line="137"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FS-60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239"/>
          </w:cols>
          <w:pgMar w:left="220" w:top="338"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Five-Year Financial Summary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3081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29805"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i w:val="1"/>
                <w:iCs w:val="1"/>
                <w:color w:val="auto"/>
              </w:rPr>
              <w:t>Millions of dollars, except per-share amounts</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2007</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2006</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2005</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2004</w:t>
            </w:r>
          </w:p>
        </w:tc>
        <w:tc>
          <w:tcPr>
            <w:tcW w:w="0" w:type="dxa"/>
            <w:vAlign w:val="bottom"/>
          </w:tcPr>
          <w:p>
            <w:pPr>
              <w:spacing w:after="0"/>
              <w:rPr>
                <w:sz w:val="1"/>
                <w:szCs w:val="1"/>
                <w:color w:val="auto"/>
              </w:rPr>
            </w:pPr>
          </w:p>
        </w:tc>
      </w:tr>
      <w:tr>
        <w:trPr>
          <w:trHeight w:val="90"/>
        </w:trPr>
        <w:tc>
          <w:tcPr>
            <w:tcW w:w="3920" w:type="dxa"/>
            <w:vAlign w:val="bottom"/>
          </w:tcPr>
          <w:p>
            <w:pPr>
              <w:spacing w:after="0" w:line="91" w:lineRule="exact"/>
              <w:rPr>
                <w:sz w:val="20"/>
                <w:szCs w:val="20"/>
                <w:color w:val="auto"/>
              </w:rPr>
            </w:pPr>
            <w:r>
              <w:rPr>
                <w:rFonts w:ascii="Arial" w:cs="Arial" w:eastAsia="Arial" w:hAnsi="Arial"/>
                <w:sz w:val="10"/>
                <w:szCs w:val="10"/>
                <w:b w:val="1"/>
                <w:bCs w:val="1"/>
                <w:color w:val="0077C0"/>
              </w:rPr>
              <w:t>Statement of Income Data</w:t>
            </w:r>
          </w:p>
        </w:tc>
        <w:tc>
          <w:tcPr>
            <w:tcW w:w="1560" w:type="dxa"/>
            <w:vAlign w:val="bottom"/>
          </w:tcPr>
          <w:p>
            <w:pPr>
              <w:spacing w:after="0"/>
              <w:rPr>
                <w:sz w:val="7"/>
                <w:szCs w:val="7"/>
                <w:color w:val="auto"/>
              </w:rPr>
            </w:pPr>
          </w:p>
        </w:tc>
        <w:tc>
          <w:tcPr>
            <w:tcW w:w="840" w:type="dxa"/>
            <w:vAlign w:val="bottom"/>
            <w:tcBorders>
              <w:right w:val="single" w:sz="8" w:color="0077C0"/>
            </w:tcBorders>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line="108" w:lineRule="exact"/>
              <w:rPr>
                <w:sz w:val="20"/>
                <w:szCs w:val="20"/>
                <w:color w:val="auto"/>
              </w:rPr>
            </w:pPr>
            <w:r>
              <w:rPr>
                <w:rFonts w:ascii="Arial" w:cs="Arial" w:eastAsia="Arial" w:hAnsi="Arial"/>
                <w:sz w:val="10"/>
                <w:szCs w:val="10"/>
                <w:b w:val="1"/>
                <w:bCs w:val="1"/>
                <w:color w:val="0077C0"/>
              </w:rPr>
              <w:t>Revenues and Other Income</w:t>
            </w:r>
          </w:p>
        </w:tc>
        <w:tc>
          <w:tcPr>
            <w:tcW w:w="15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264,958</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20" w:type="dxa"/>
            <w:vAlign w:val="bottom"/>
          </w:tcPr>
          <w:p>
            <w:pPr>
              <w:spacing w:after="0" w:line="104" w:lineRule="exact"/>
              <w:rPr>
                <w:sz w:val="20"/>
                <w:szCs w:val="20"/>
                <w:color w:val="auto"/>
              </w:rPr>
            </w:pPr>
            <w:r>
              <w:rPr>
                <w:rFonts w:ascii="Arial" w:cs="Arial" w:eastAsia="Arial" w:hAnsi="Arial"/>
                <w:sz w:val="10"/>
                <w:szCs w:val="10"/>
                <w:color w:val="auto"/>
              </w:rPr>
              <w:t>Total sales and other operating revenues</w:t>
            </w:r>
            <w:r>
              <w:rPr>
                <w:rFonts w:ascii="Arial" w:cs="Arial" w:eastAsia="Arial" w:hAnsi="Arial"/>
                <w:sz w:val="8"/>
                <w:szCs w:val="8"/>
                <w:color w:val="auto"/>
              </w:rPr>
              <w:t>1,2</w:t>
            </w:r>
          </w:p>
        </w:tc>
        <w:tc>
          <w:tcPr>
            <w:tcW w:w="1560" w:type="dxa"/>
            <w:vAlign w:val="bottom"/>
            <w:vMerge w:val="continue"/>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214,091</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204,892</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193,641</w:t>
            </w:r>
          </w:p>
        </w:tc>
        <w:tc>
          <w:tcPr>
            <w:tcW w:w="54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150,865</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Income from equity affiliates and other income</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8,047</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6,813</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5,226</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4,559</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4,435</w:t>
            </w:r>
          </w:p>
        </w:tc>
        <w:tc>
          <w:tcPr>
            <w:tcW w:w="0" w:type="dxa"/>
            <w:vAlign w:val="bottom"/>
          </w:tcPr>
          <w:p>
            <w:pPr>
              <w:spacing w:after="0"/>
              <w:rPr>
                <w:sz w:val="1"/>
                <w:szCs w:val="1"/>
                <w:color w:val="auto"/>
              </w:rPr>
            </w:pPr>
          </w:p>
        </w:tc>
      </w:tr>
      <w:tr>
        <w:trPr>
          <w:trHeight w:val="90"/>
        </w:trPr>
        <w:tc>
          <w:tcPr>
            <w:tcW w:w="3920" w:type="dxa"/>
            <w:vAlign w:val="bottom"/>
          </w:tcPr>
          <w:p>
            <w:pPr>
              <w:spacing w:after="0" w:line="91" w:lineRule="exact"/>
              <w:rPr>
                <w:sz w:val="20"/>
                <w:szCs w:val="20"/>
                <w:color w:val="auto"/>
              </w:rPr>
            </w:pPr>
            <w:r>
              <w:rPr>
                <w:rFonts w:ascii="Arial" w:cs="Arial" w:eastAsia="Arial" w:hAnsi="Arial"/>
                <w:sz w:val="10"/>
                <w:szCs w:val="10"/>
                <w:b w:val="1"/>
                <w:bCs w:val="1"/>
                <w:color w:val="0077C0"/>
              </w:rPr>
              <w:t>Total Revenues and Other Income</w:t>
            </w:r>
          </w:p>
        </w:tc>
        <w:tc>
          <w:tcPr>
            <w:tcW w:w="1560" w:type="dxa"/>
            <w:vAlign w:val="bottom"/>
          </w:tcPr>
          <w:p>
            <w:pPr>
              <w:spacing w:after="0"/>
              <w:rPr>
                <w:sz w:val="7"/>
                <w:szCs w:val="7"/>
                <w:color w:val="auto"/>
              </w:rPr>
            </w:pPr>
          </w:p>
        </w:tc>
        <w:tc>
          <w:tcPr>
            <w:tcW w:w="84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273,005</w:t>
            </w:r>
          </w:p>
        </w:tc>
        <w:tc>
          <w:tcPr>
            <w:tcW w:w="44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220,904</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210,118</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198,200</w:t>
            </w:r>
          </w:p>
        </w:tc>
        <w:tc>
          <w:tcPr>
            <w:tcW w:w="54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155,300</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Total Costs and Other Deductions</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230,048</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188,737</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178,142</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173,003</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134,749</w:t>
            </w:r>
          </w:p>
        </w:tc>
        <w:tc>
          <w:tcPr>
            <w:tcW w:w="0" w:type="dxa"/>
            <w:vAlign w:val="bottom"/>
          </w:tcPr>
          <w:p>
            <w:pPr>
              <w:spacing w:after="0"/>
              <w:rPr>
                <w:sz w:val="1"/>
                <w:szCs w:val="1"/>
                <w:color w:val="auto"/>
              </w:rPr>
            </w:pPr>
          </w:p>
        </w:tc>
      </w:tr>
      <w:tr>
        <w:trPr>
          <w:trHeight w:val="90"/>
        </w:trPr>
        <w:tc>
          <w:tcPr>
            <w:tcW w:w="3920" w:type="dxa"/>
            <w:vAlign w:val="bottom"/>
          </w:tcPr>
          <w:p>
            <w:pPr>
              <w:spacing w:after="0" w:line="91" w:lineRule="exact"/>
              <w:rPr>
                <w:sz w:val="20"/>
                <w:szCs w:val="20"/>
                <w:color w:val="auto"/>
              </w:rPr>
            </w:pPr>
            <w:r>
              <w:rPr>
                <w:rFonts w:ascii="Arial" w:cs="Arial" w:eastAsia="Arial" w:hAnsi="Arial"/>
                <w:sz w:val="10"/>
                <w:szCs w:val="10"/>
                <w:b w:val="1"/>
                <w:bCs w:val="1"/>
                <w:color w:val="0077C0"/>
              </w:rPr>
              <w:t>Income From Continuing Operations Before Income Taxes</w:t>
            </w:r>
          </w:p>
        </w:tc>
        <w:tc>
          <w:tcPr>
            <w:tcW w:w="1560" w:type="dxa"/>
            <w:vAlign w:val="bottom"/>
          </w:tcPr>
          <w:p>
            <w:pPr>
              <w:spacing w:after="0"/>
              <w:rPr>
                <w:sz w:val="7"/>
                <w:szCs w:val="7"/>
                <w:color w:val="auto"/>
              </w:rPr>
            </w:pPr>
          </w:p>
        </w:tc>
        <w:tc>
          <w:tcPr>
            <w:tcW w:w="84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42,957</w:t>
            </w:r>
          </w:p>
        </w:tc>
        <w:tc>
          <w:tcPr>
            <w:tcW w:w="44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32,167</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31,976</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25,197</w:t>
            </w:r>
          </w:p>
        </w:tc>
        <w:tc>
          <w:tcPr>
            <w:tcW w:w="54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20,551</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Income Tax Expense</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19,026</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13,479</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14,838</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11,098</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7,517</w:t>
            </w:r>
          </w:p>
        </w:tc>
        <w:tc>
          <w:tcPr>
            <w:tcW w:w="0" w:type="dxa"/>
            <w:vAlign w:val="bottom"/>
          </w:tcPr>
          <w:p>
            <w:pPr>
              <w:spacing w:after="0"/>
              <w:rPr>
                <w:sz w:val="1"/>
                <w:szCs w:val="1"/>
                <w:color w:val="auto"/>
              </w:rPr>
            </w:pPr>
          </w:p>
        </w:tc>
      </w:tr>
      <w:tr>
        <w:trPr>
          <w:trHeight w:val="90"/>
        </w:trPr>
        <w:tc>
          <w:tcPr>
            <w:tcW w:w="3920" w:type="dxa"/>
            <w:vAlign w:val="bottom"/>
          </w:tcPr>
          <w:p>
            <w:pPr>
              <w:spacing w:after="0" w:line="91" w:lineRule="exact"/>
              <w:rPr>
                <w:sz w:val="20"/>
                <w:szCs w:val="20"/>
                <w:color w:val="auto"/>
              </w:rPr>
            </w:pPr>
            <w:r>
              <w:rPr>
                <w:rFonts w:ascii="Arial" w:cs="Arial" w:eastAsia="Arial" w:hAnsi="Arial"/>
                <w:sz w:val="10"/>
                <w:szCs w:val="10"/>
                <w:b w:val="1"/>
                <w:bCs w:val="1"/>
                <w:color w:val="0077C0"/>
              </w:rPr>
              <w:t>Income From Continuing Operations</w:t>
            </w:r>
          </w:p>
        </w:tc>
        <w:tc>
          <w:tcPr>
            <w:tcW w:w="1560" w:type="dxa"/>
            <w:vAlign w:val="bottom"/>
          </w:tcPr>
          <w:p>
            <w:pPr>
              <w:spacing w:after="0"/>
              <w:rPr>
                <w:sz w:val="7"/>
                <w:szCs w:val="7"/>
                <w:color w:val="auto"/>
              </w:rPr>
            </w:pPr>
          </w:p>
        </w:tc>
        <w:tc>
          <w:tcPr>
            <w:tcW w:w="84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23,931</w:t>
            </w:r>
          </w:p>
        </w:tc>
        <w:tc>
          <w:tcPr>
            <w:tcW w:w="44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18,688</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17,138</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14,099</w:t>
            </w:r>
          </w:p>
        </w:tc>
        <w:tc>
          <w:tcPr>
            <w:tcW w:w="54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13,034</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Income From Discontinued Operations</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294</w:t>
            </w:r>
          </w:p>
        </w:tc>
        <w:tc>
          <w:tcPr>
            <w:tcW w:w="0" w:type="dxa"/>
            <w:vAlign w:val="bottom"/>
          </w:tcPr>
          <w:p>
            <w:pPr>
              <w:spacing w:after="0"/>
              <w:rPr>
                <w:sz w:val="1"/>
                <w:szCs w:val="1"/>
                <w:color w:val="auto"/>
              </w:rPr>
            </w:pPr>
          </w:p>
        </w:tc>
      </w:tr>
      <w:tr>
        <w:trPr>
          <w:trHeight w:val="114"/>
        </w:trPr>
        <w:tc>
          <w:tcPr>
            <w:tcW w:w="3920" w:type="dxa"/>
            <w:vAlign w:val="bottom"/>
            <w:tcBorders>
              <w:bottom w:val="single" w:sz="8" w:color="0077C0"/>
            </w:tcBorders>
          </w:tcPr>
          <w:p>
            <w:pPr>
              <w:ind w:left="80"/>
              <w:spacing w:after="0" w:line="105" w:lineRule="exact"/>
              <w:rPr>
                <w:sz w:val="20"/>
                <w:szCs w:val="20"/>
                <w:color w:val="auto"/>
              </w:rPr>
            </w:pPr>
            <w:r>
              <w:rPr>
                <w:rFonts w:ascii="Arial" w:cs="Arial" w:eastAsia="Arial" w:hAnsi="Arial"/>
                <w:sz w:val="10"/>
                <w:szCs w:val="10"/>
                <w:b w:val="1"/>
                <w:bCs w:val="1"/>
                <w:color w:val="0077C0"/>
              </w:rPr>
              <w:t>Net Income</w:t>
            </w:r>
          </w:p>
        </w:tc>
        <w:tc>
          <w:tcPr>
            <w:tcW w:w="1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23,931</w:t>
            </w:r>
          </w:p>
        </w:tc>
        <w:tc>
          <w:tcPr>
            <w:tcW w:w="4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18,688</w:t>
            </w: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17,138</w:t>
            </w: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14,099</w:t>
            </w:r>
          </w:p>
        </w:tc>
        <w:tc>
          <w:tcPr>
            <w:tcW w:w="5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13,328</w:t>
            </w:r>
          </w:p>
        </w:tc>
        <w:tc>
          <w:tcPr>
            <w:tcW w:w="0" w:type="dxa"/>
            <w:vAlign w:val="bottom"/>
          </w:tcPr>
          <w:p>
            <w:pPr>
              <w:spacing w:after="0"/>
              <w:rPr>
                <w:sz w:val="1"/>
                <w:szCs w:val="1"/>
                <w:color w:val="auto"/>
              </w:rPr>
            </w:pPr>
          </w:p>
        </w:tc>
      </w:tr>
      <w:tr>
        <w:trPr>
          <w:trHeight w:val="101"/>
        </w:trPr>
        <w:tc>
          <w:tcPr>
            <w:tcW w:w="3920" w:type="dxa"/>
            <w:vAlign w:val="bottom"/>
          </w:tcPr>
          <w:p>
            <w:pPr>
              <w:spacing w:after="0" w:line="101" w:lineRule="exact"/>
              <w:rPr>
                <w:sz w:val="20"/>
                <w:szCs w:val="20"/>
                <w:color w:val="auto"/>
              </w:rPr>
            </w:pPr>
            <w:r>
              <w:rPr>
                <w:rFonts w:ascii="Arial" w:cs="Arial" w:eastAsia="Arial" w:hAnsi="Arial"/>
                <w:sz w:val="10"/>
                <w:szCs w:val="10"/>
                <w:b w:val="1"/>
                <w:bCs w:val="1"/>
                <w:color w:val="0077C0"/>
              </w:rPr>
              <w:t>Per Share of Common Stock</w:t>
            </w:r>
            <w:r>
              <w:rPr>
                <w:rFonts w:ascii="Arial" w:cs="Arial" w:eastAsia="Arial" w:hAnsi="Arial"/>
                <w:sz w:val="8"/>
                <w:szCs w:val="8"/>
                <w:b w:val="1"/>
                <w:bCs w:val="1"/>
                <w:color w:val="000000"/>
              </w:rPr>
              <w:t>3</w:t>
            </w:r>
          </w:p>
        </w:tc>
        <w:tc>
          <w:tcPr>
            <w:tcW w:w="1560" w:type="dxa"/>
            <w:vAlign w:val="bottom"/>
          </w:tcPr>
          <w:p>
            <w:pPr>
              <w:spacing w:after="0"/>
              <w:rPr>
                <w:sz w:val="8"/>
                <w:szCs w:val="8"/>
                <w:color w:val="auto"/>
              </w:rPr>
            </w:pPr>
          </w:p>
        </w:tc>
        <w:tc>
          <w:tcPr>
            <w:tcW w:w="840" w:type="dxa"/>
            <w:vAlign w:val="bottom"/>
            <w:tcBorders>
              <w:right w:val="single" w:sz="8" w:color="0077C0"/>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20" w:type="dxa"/>
            <w:vAlign w:val="bottom"/>
          </w:tcPr>
          <w:p>
            <w:pPr>
              <w:ind w:left="80"/>
              <w:spacing w:after="0" w:line="108" w:lineRule="exact"/>
              <w:rPr>
                <w:sz w:val="20"/>
                <w:szCs w:val="20"/>
                <w:color w:val="auto"/>
              </w:rPr>
            </w:pPr>
            <w:r>
              <w:rPr>
                <w:rFonts w:ascii="Arial" w:cs="Arial" w:eastAsia="Arial" w:hAnsi="Arial"/>
                <w:sz w:val="10"/>
                <w:szCs w:val="10"/>
                <w:b w:val="1"/>
                <w:bCs w:val="1"/>
                <w:color w:val="0077C0"/>
              </w:rPr>
              <w:t>Income From Continuing Operations</w:t>
            </w:r>
          </w:p>
        </w:tc>
        <w:tc>
          <w:tcPr>
            <w:tcW w:w="15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11.74</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20" w:type="dxa"/>
            <w:vAlign w:val="bottom"/>
          </w:tcPr>
          <w:p>
            <w:pPr>
              <w:ind w:left="180"/>
              <w:spacing w:after="0" w:line="104" w:lineRule="exact"/>
              <w:rPr>
                <w:sz w:val="20"/>
                <w:szCs w:val="20"/>
                <w:color w:val="auto"/>
              </w:rPr>
            </w:pPr>
            <w:r>
              <w:rPr>
                <w:rFonts w:ascii="Arial" w:cs="Arial" w:eastAsia="Arial" w:hAnsi="Arial"/>
                <w:sz w:val="10"/>
                <w:szCs w:val="10"/>
                <w:color w:val="auto"/>
              </w:rPr>
              <w:t>– Basic</w:t>
            </w:r>
          </w:p>
        </w:tc>
        <w:tc>
          <w:tcPr>
            <w:tcW w:w="1560" w:type="dxa"/>
            <w:vAlign w:val="bottom"/>
            <w:vMerge w:val="continue"/>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8.83</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7.84</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6.58</w:t>
            </w:r>
          </w:p>
        </w:tc>
        <w:tc>
          <w:tcPr>
            <w:tcW w:w="54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6.16</w:t>
            </w:r>
          </w:p>
        </w:tc>
        <w:tc>
          <w:tcPr>
            <w:tcW w:w="0" w:type="dxa"/>
            <w:vAlign w:val="bottom"/>
          </w:tcPr>
          <w:p>
            <w:pPr>
              <w:spacing w:after="0"/>
              <w:rPr>
                <w:sz w:val="1"/>
                <w:szCs w:val="1"/>
                <w:color w:val="auto"/>
              </w:rPr>
            </w:pPr>
          </w:p>
        </w:tc>
      </w:tr>
      <w:tr>
        <w:trPr>
          <w:trHeight w:val="106"/>
        </w:trPr>
        <w:tc>
          <w:tcPr>
            <w:tcW w:w="3920" w:type="dxa"/>
            <w:vAlign w:val="bottom"/>
          </w:tcPr>
          <w:p>
            <w:pPr>
              <w:ind w:left="180"/>
              <w:spacing w:after="0" w:line="106" w:lineRule="exact"/>
              <w:rPr>
                <w:sz w:val="20"/>
                <w:szCs w:val="20"/>
                <w:color w:val="auto"/>
              </w:rPr>
            </w:pPr>
            <w:r>
              <w:rPr>
                <w:rFonts w:ascii="Arial" w:cs="Arial" w:eastAsia="Arial" w:hAnsi="Arial"/>
                <w:sz w:val="10"/>
                <w:szCs w:val="10"/>
                <w:color w:val="auto"/>
              </w:rPr>
              <w:t>– Diluted</w:t>
            </w:r>
          </w:p>
        </w:tc>
        <w:tc>
          <w:tcPr>
            <w:tcW w:w="156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11.67</w:t>
            </w:r>
          </w:p>
        </w:tc>
        <w:tc>
          <w:tcPr>
            <w:tcW w:w="4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8.77</w:t>
            </w:r>
          </w:p>
        </w:tc>
        <w:tc>
          <w:tcPr>
            <w:tcW w:w="5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7.80</w:t>
            </w:r>
          </w:p>
        </w:tc>
        <w:tc>
          <w:tcPr>
            <w:tcW w:w="5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6.54</w:t>
            </w:r>
          </w:p>
        </w:tc>
        <w:tc>
          <w:tcPr>
            <w:tcW w:w="54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6.14</w:t>
            </w:r>
          </w:p>
        </w:tc>
        <w:tc>
          <w:tcPr>
            <w:tcW w:w="0" w:type="dxa"/>
            <w:vAlign w:val="bottom"/>
          </w:tcPr>
          <w:p>
            <w:pPr>
              <w:spacing w:after="0"/>
              <w:rPr>
                <w:sz w:val="1"/>
                <w:szCs w:val="1"/>
                <w:color w:val="auto"/>
              </w:rPr>
            </w:pPr>
          </w:p>
        </w:tc>
      </w:tr>
      <w:tr>
        <w:trPr>
          <w:trHeight w:val="108"/>
        </w:trPr>
        <w:tc>
          <w:tcPr>
            <w:tcW w:w="3920" w:type="dxa"/>
            <w:vAlign w:val="bottom"/>
          </w:tcPr>
          <w:p>
            <w:pPr>
              <w:ind w:left="80"/>
              <w:spacing w:after="0" w:line="108" w:lineRule="exact"/>
              <w:rPr>
                <w:sz w:val="20"/>
                <w:szCs w:val="20"/>
                <w:color w:val="auto"/>
              </w:rPr>
            </w:pPr>
            <w:r>
              <w:rPr>
                <w:rFonts w:ascii="Arial" w:cs="Arial" w:eastAsia="Arial" w:hAnsi="Arial"/>
                <w:sz w:val="10"/>
                <w:szCs w:val="10"/>
                <w:b w:val="1"/>
                <w:bCs w:val="1"/>
                <w:color w:val="0077C0"/>
              </w:rPr>
              <w:t>Income From Discontinued Operations</w:t>
            </w:r>
          </w:p>
        </w:tc>
        <w:tc>
          <w:tcPr>
            <w:tcW w:w="15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20" w:type="dxa"/>
            <w:vAlign w:val="bottom"/>
          </w:tcPr>
          <w:p>
            <w:pPr>
              <w:ind w:left="180"/>
              <w:spacing w:after="0" w:line="104" w:lineRule="exact"/>
              <w:rPr>
                <w:sz w:val="20"/>
                <w:szCs w:val="20"/>
                <w:color w:val="auto"/>
              </w:rPr>
            </w:pPr>
            <w:r>
              <w:rPr>
                <w:rFonts w:ascii="Arial" w:cs="Arial" w:eastAsia="Arial" w:hAnsi="Arial"/>
                <w:sz w:val="10"/>
                <w:szCs w:val="10"/>
                <w:color w:val="auto"/>
              </w:rPr>
              <w:t>– Basic</w:t>
            </w:r>
          </w:p>
        </w:tc>
        <w:tc>
          <w:tcPr>
            <w:tcW w:w="1560" w:type="dxa"/>
            <w:vAlign w:val="bottom"/>
            <w:vMerge w:val="continue"/>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0.14</w:t>
            </w:r>
          </w:p>
        </w:tc>
        <w:tc>
          <w:tcPr>
            <w:tcW w:w="0" w:type="dxa"/>
            <w:vAlign w:val="bottom"/>
          </w:tcPr>
          <w:p>
            <w:pPr>
              <w:spacing w:after="0"/>
              <w:rPr>
                <w:sz w:val="1"/>
                <w:szCs w:val="1"/>
                <w:color w:val="auto"/>
              </w:rPr>
            </w:pPr>
          </w:p>
        </w:tc>
      </w:tr>
      <w:tr>
        <w:trPr>
          <w:trHeight w:val="106"/>
        </w:trPr>
        <w:tc>
          <w:tcPr>
            <w:tcW w:w="3920" w:type="dxa"/>
            <w:vAlign w:val="bottom"/>
          </w:tcPr>
          <w:p>
            <w:pPr>
              <w:ind w:left="180"/>
              <w:spacing w:after="0" w:line="106" w:lineRule="exact"/>
              <w:rPr>
                <w:sz w:val="20"/>
                <w:szCs w:val="20"/>
                <w:color w:val="auto"/>
              </w:rPr>
            </w:pPr>
            <w:r>
              <w:rPr>
                <w:rFonts w:ascii="Arial" w:cs="Arial" w:eastAsia="Arial" w:hAnsi="Arial"/>
                <w:sz w:val="10"/>
                <w:szCs w:val="10"/>
                <w:color w:val="auto"/>
              </w:rPr>
              <w:t>– Diluted</w:t>
            </w:r>
          </w:p>
        </w:tc>
        <w:tc>
          <w:tcPr>
            <w:tcW w:w="156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0.14</w:t>
            </w:r>
          </w:p>
        </w:tc>
        <w:tc>
          <w:tcPr>
            <w:tcW w:w="0" w:type="dxa"/>
            <w:vAlign w:val="bottom"/>
          </w:tcPr>
          <w:p>
            <w:pPr>
              <w:spacing w:after="0"/>
              <w:rPr>
                <w:sz w:val="1"/>
                <w:szCs w:val="1"/>
                <w:color w:val="auto"/>
              </w:rPr>
            </w:pPr>
          </w:p>
        </w:tc>
      </w:tr>
      <w:tr>
        <w:trPr>
          <w:trHeight w:val="108"/>
        </w:trPr>
        <w:tc>
          <w:tcPr>
            <w:tcW w:w="3920" w:type="dxa"/>
            <w:vAlign w:val="bottom"/>
          </w:tcPr>
          <w:p>
            <w:pPr>
              <w:ind w:left="80"/>
              <w:spacing w:after="0" w:line="108" w:lineRule="exact"/>
              <w:rPr>
                <w:sz w:val="20"/>
                <w:szCs w:val="20"/>
                <w:color w:val="auto"/>
              </w:rPr>
            </w:pPr>
            <w:r>
              <w:rPr>
                <w:rFonts w:ascii="Arial" w:cs="Arial" w:eastAsia="Arial" w:hAnsi="Arial"/>
                <w:sz w:val="10"/>
                <w:szCs w:val="10"/>
                <w:b w:val="1"/>
                <w:bCs w:val="1"/>
                <w:color w:val="0077C0"/>
              </w:rPr>
              <w:t>Net Income</w:t>
            </w:r>
            <w:r>
              <w:rPr>
                <w:rFonts w:ascii="Arial" w:cs="Arial" w:eastAsia="Arial" w:hAnsi="Arial"/>
                <w:sz w:val="8"/>
                <w:szCs w:val="8"/>
                <w:b w:val="1"/>
                <w:bCs w:val="1"/>
                <w:color w:val="000000"/>
              </w:rPr>
              <w:t>2</w:t>
            </w:r>
          </w:p>
        </w:tc>
        <w:tc>
          <w:tcPr>
            <w:tcW w:w="15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11.74</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20" w:type="dxa"/>
            <w:vAlign w:val="bottom"/>
          </w:tcPr>
          <w:p>
            <w:pPr>
              <w:ind w:left="180"/>
              <w:spacing w:after="0" w:line="104" w:lineRule="exact"/>
              <w:rPr>
                <w:sz w:val="20"/>
                <w:szCs w:val="20"/>
                <w:color w:val="auto"/>
              </w:rPr>
            </w:pPr>
            <w:r>
              <w:rPr>
                <w:rFonts w:ascii="Arial" w:cs="Arial" w:eastAsia="Arial" w:hAnsi="Arial"/>
                <w:sz w:val="10"/>
                <w:szCs w:val="10"/>
                <w:color w:val="auto"/>
              </w:rPr>
              <w:t>– Basic</w:t>
            </w:r>
          </w:p>
        </w:tc>
        <w:tc>
          <w:tcPr>
            <w:tcW w:w="1560" w:type="dxa"/>
            <w:vAlign w:val="bottom"/>
            <w:vMerge w:val="continue"/>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8.83</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7.84</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6.58</w:t>
            </w:r>
          </w:p>
        </w:tc>
        <w:tc>
          <w:tcPr>
            <w:tcW w:w="54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6.30</w:t>
            </w:r>
          </w:p>
        </w:tc>
        <w:tc>
          <w:tcPr>
            <w:tcW w:w="0" w:type="dxa"/>
            <w:vAlign w:val="bottom"/>
          </w:tcPr>
          <w:p>
            <w:pPr>
              <w:spacing w:after="0"/>
              <w:rPr>
                <w:sz w:val="1"/>
                <w:szCs w:val="1"/>
                <w:color w:val="auto"/>
              </w:rPr>
            </w:pPr>
          </w:p>
        </w:tc>
      </w:tr>
      <w:tr>
        <w:trPr>
          <w:trHeight w:val="129"/>
        </w:trPr>
        <w:tc>
          <w:tcPr>
            <w:tcW w:w="3920" w:type="dxa"/>
            <w:vAlign w:val="bottom"/>
            <w:tcBorders>
              <w:bottom w:val="single" w:sz="8" w:color="0077C0"/>
            </w:tcBorders>
          </w:tcPr>
          <w:p>
            <w:pPr>
              <w:ind w:left="180"/>
              <w:spacing w:after="0"/>
              <w:rPr>
                <w:sz w:val="20"/>
                <w:szCs w:val="20"/>
                <w:color w:val="auto"/>
              </w:rPr>
            </w:pPr>
            <w:r>
              <w:rPr>
                <w:rFonts w:ascii="Arial" w:cs="Arial" w:eastAsia="Arial" w:hAnsi="Arial"/>
                <w:sz w:val="10"/>
                <w:szCs w:val="10"/>
                <w:color w:val="auto"/>
              </w:rPr>
              <w:t>– Diluted</w:t>
            </w:r>
          </w:p>
        </w:tc>
        <w:tc>
          <w:tcPr>
            <w:tcW w:w="1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11.67</w:t>
            </w:r>
          </w:p>
        </w:tc>
        <w:tc>
          <w:tcPr>
            <w:tcW w:w="44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8.77</w:t>
            </w:r>
          </w:p>
        </w:tc>
        <w:tc>
          <w:tcPr>
            <w:tcW w:w="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7.80</w:t>
            </w:r>
          </w:p>
        </w:tc>
        <w:tc>
          <w:tcPr>
            <w:tcW w:w="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6.54</w:t>
            </w:r>
          </w:p>
        </w:tc>
        <w:tc>
          <w:tcPr>
            <w:tcW w:w="54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6.28</w:t>
            </w:r>
          </w:p>
        </w:tc>
        <w:tc>
          <w:tcPr>
            <w:tcW w:w="0" w:type="dxa"/>
            <w:vAlign w:val="bottom"/>
          </w:tcPr>
          <w:p>
            <w:pPr>
              <w:spacing w:after="0"/>
              <w:rPr>
                <w:sz w:val="1"/>
                <w:szCs w:val="1"/>
                <w:color w:val="auto"/>
              </w:rPr>
            </w:pPr>
          </w:p>
        </w:tc>
      </w:tr>
      <w:tr>
        <w:trPr>
          <w:trHeight w:val="124"/>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0077C0"/>
              </w:rPr>
              <w:t>Cash Dividends Per Share</w:t>
            </w:r>
          </w:p>
        </w:tc>
        <w:tc>
          <w:tcPr>
            <w:tcW w:w="1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2.53</w:t>
            </w:r>
          </w:p>
        </w:tc>
        <w:tc>
          <w:tcPr>
            <w:tcW w:w="44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2.26</w:t>
            </w:r>
          </w:p>
        </w:tc>
        <w:tc>
          <w:tcPr>
            <w:tcW w:w="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2.01</w:t>
            </w:r>
          </w:p>
        </w:tc>
        <w:tc>
          <w:tcPr>
            <w:tcW w:w="5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1.75</w:t>
            </w:r>
          </w:p>
        </w:tc>
        <w:tc>
          <w:tcPr>
            <w:tcW w:w="54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1.53</w:t>
            </w:r>
          </w:p>
        </w:tc>
        <w:tc>
          <w:tcPr>
            <w:tcW w:w="0" w:type="dxa"/>
            <w:vAlign w:val="bottom"/>
          </w:tcPr>
          <w:p>
            <w:pPr>
              <w:spacing w:after="0"/>
              <w:rPr>
                <w:sz w:val="1"/>
                <w:szCs w:val="1"/>
                <w:color w:val="auto"/>
              </w:rPr>
            </w:pPr>
          </w:p>
        </w:tc>
      </w:tr>
      <w:tr>
        <w:trPr>
          <w:trHeight w:val="103"/>
        </w:trPr>
        <w:tc>
          <w:tcPr>
            <w:tcW w:w="3920" w:type="dxa"/>
            <w:vAlign w:val="bottom"/>
          </w:tcPr>
          <w:p>
            <w:pPr>
              <w:spacing w:after="0" w:line="103" w:lineRule="exact"/>
              <w:rPr>
                <w:sz w:val="20"/>
                <w:szCs w:val="20"/>
                <w:color w:val="auto"/>
              </w:rPr>
            </w:pPr>
            <w:r>
              <w:rPr>
                <w:rFonts w:ascii="Arial" w:cs="Arial" w:eastAsia="Arial" w:hAnsi="Arial"/>
                <w:sz w:val="10"/>
                <w:szCs w:val="10"/>
                <w:b w:val="1"/>
                <w:bCs w:val="1"/>
                <w:color w:val="0077C0"/>
              </w:rPr>
              <w:t>Balance Sheet Data (at December 31)</w:t>
            </w:r>
          </w:p>
        </w:tc>
        <w:tc>
          <w:tcPr>
            <w:tcW w:w="15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36,470</w:t>
            </w: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20" w:type="dxa"/>
            <w:vAlign w:val="bottom"/>
          </w:tcPr>
          <w:p>
            <w:pPr>
              <w:spacing w:after="0" w:line="104" w:lineRule="exact"/>
              <w:rPr>
                <w:sz w:val="20"/>
                <w:szCs w:val="20"/>
                <w:color w:val="auto"/>
              </w:rPr>
            </w:pPr>
            <w:r>
              <w:rPr>
                <w:rFonts w:ascii="Arial" w:cs="Arial" w:eastAsia="Arial" w:hAnsi="Arial"/>
                <w:sz w:val="10"/>
                <w:szCs w:val="10"/>
                <w:color w:val="auto"/>
              </w:rPr>
              <w:t>Current assets</w:t>
            </w:r>
          </w:p>
        </w:tc>
        <w:tc>
          <w:tcPr>
            <w:tcW w:w="1560" w:type="dxa"/>
            <w:vAlign w:val="bottom"/>
            <w:vMerge w:val="continue"/>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39,377</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36,304</w:t>
            </w:r>
          </w:p>
        </w:tc>
        <w:tc>
          <w:tcPr>
            <w:tcW w:w="5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04" w:lineRule="exact"/>
              <w:rPr>
                <w:sz w:val="20"/>
                <w:szCs w:val="20"/>
                <w:color w:val="auto"/>
              </w:rPr>
            </w:pPr>
            <w:r>
              <w:rPr>
                <w:rFonts w:ascii="Arial" w:cs="Arial" w:eastAsia="Arial" w:hAnsi="Arial"/>
                <w:sz w:val="10"/>
                <w:szCs w:val="10"/>
                <w:color w:val="auto"/>
              </w:rPr>
              <w:t>34,336</w:t>
            </w:r>
          </w:p>
        </w:tc>
        <w:tc>
          <w:tcPr>
            <w:tcW w:w="54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28,503</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Noncurrent assets</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124,695</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109,409</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96,324</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91,497</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64,705</w:t>
            </w:r>
          </w:p>
        </w:tc>
        <w:tc>
          <w:tcPr>
            <w:tcW w:w="0" w:type="dxa"/>
            <w:vAlign w:val="bottom"/>
          </w:tcPr>
          <w:p>
            <w:pPr>
              <w:spacing w:after="0"/>
              <w:rPr>
                <w:sz w:val="1"/>
                <w:szCs w:val="1"/>
                <w:color w:val="auto"/>
              </w:rPr>
            </w:pPr>
          </w:p>
        </w:tc>
      </w:tr>
      <w:tr>
        <w:trPr>
          <w:trHeight w:val="105"/>
        </w:trPr>
        <w:tc>
          <w:tcPr>
            <w:tcW w:w="3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Assets</w:t>
            </w:r>
          </w:p>
        </w:tc>
        <w:tc>
          <w:tcPr>
            <w:tcW w:w="1560" w:type="dxa"/>
            <w:vAlign w:val="bottom"/>
            <w:tcBorders>
              <w:bottom w:val="single" w:sz="8" w:color="0077C0"/>
            </w:tcBorders>
          </w:tcPr>
          <w:p>
            <w:pPr>
              <w:spacing w:after="0"/>
              <w:rPr>
                <w:sz w:val="9"/>
                <w:szCs w:val="9"/>
                <w:color w:val="auto"/>
              </w:rPr>
            </w:pPr>
          </w:p>
        </w:tc>
        <w:tc>
          <w:tcPr>
            <w:tcW w:w="84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161,165</w:t>
            </w:r>
          </w:p>
        </w:tc>
        <w:tc>
          <w:tcPr>
            <w:tcW w:w="44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148,786</w:t>
            </w:r>
          </w:p>
        </w:tc>
        <w:tc>
          <w:tcPr>
            <w:tcW w:w="56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132,628</w:t>
            </w:r>
          </w:p>
        </w:tc>
        <w:tc>
          <w:tcPr>
            <w:tcW w:w="56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125,833</w:t>
            </w:r>
          </w:p>
        </w:tc>
        <w:tc>
          <w:tcPr>
            <w:tcW w:w="54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93,208</w:t>
            </w:r>
          </w:p>
        </w:tc>
        <w:tc>
          <w:tcPr>
            <w:tcW w:w="0" w:type="dxa"/>
            <w:vAlign w:val="bottom"/>
          </w:tcPr>
          <w:p>
            <w:pPr>
              <w:spacing w:after="0"/>
              <w:rPr>
                <w:sz w:val="1"/>
                <w:szCs w:val="1"/>
                <w:color w:val="auto"/>
              </w:rPr>
            </w:pPr>
          </w:p>
        </w:tc>
      </w:tr>
      <w:tr>
        <w:trPr>
          <w:trHeight w:val="90"/>
        </w:trPr>
        <w:tc>
          <w:tcPr>
            <w:tcW w:w="3920" w:type="dxa"/>
            <w:vAlign w:val="bottom"/>
          </w:tcPr>
          <w:p>
            <w:pPr>
              <w:spacing w:after="0" w:line="91" w:lineRule="exact"/>
              <w:rPr>
                <w:sz w:val="20"/>
                <w:szCs w:val="20"/>
                <w:color w:val="auto"/>
              </w:rPr>
            </w:pPr>
            <w:r>
              <w:rPr>
                <w:rFonts w:ascii="Arial" w:cs="Arial" w:eastAsia="Arial" w:hAnsi="Arial"/>
                <w:sz w:val="10"/>
                <w:szCs w:val="10"/>
                <w:color w:val="auto"/>
              </w:rPr>
              <w:t>Short-term debt</w:t>
            </w:r>
          </w:p>
        </w:tc>
        <w:tc>
          <w:tcPr>
            <w:tcW w:w="1560" w:type="dxa"/>
            <w:vAlign w:val="bottom"/>
          </w:tcPr>
          <w:p>
            <w:pPr>
              <w:spacing w:after="0"/>
              <w:rPr>
                <w:sz w:val="7"/>
                <w:szCs w:val="7"/>
                <w:color w:val="auto"/>
              </w:rPr>
            </w:pPr>
          </w:p>
        </w:tc>
        <w:tc>
          <w:tcPr>
            <w:tcW w:w="840" w:type="dxa"/>
            <w:vAlign w:val="bottom"/>
            <w:tcBorders>
              <w:right w:val="single" w:sz="8" w:color="0077C0"/>
            </w:tcBorders>
          </w:tcPr>
          <w:p>
            <w:pPr>
              <w:jc w:val="right"/>
              <w:ind w:right="289"/>
              <w:spacing w:after="0" w:line="91" w:lineRule="exact"/>
              <w:rPr>
                <w:sz w:val="20"/>
                <w:szCs w:val="20"/>
                <w:color w:val="auto"/>
              </w:rPr>
            </w:pPr>
            <w:r>
              <w:rPr>
                <w:rFonts w:ascii="Arial" w:cs="Arial" w:eastAsia="Arial" w:hAnsi="Arial"/>
                <w:sz w:val="10"/>
                <w:szCs w:val="10"/>
                <w:b w:val="1"/>
                <w:bCs w:val="1"/>
                <w:color w:val="auto"/>
              </w:rPr>
              <w:t>2,818</w:t>
            </w:r>
          </w:p>
        </w:tc>
        <w:tc>
          <w:tcPr>
            <w:tcW w:w="44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1,162</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2,159</w:t>
            </w:r>
          </w:p>
        </w:tc>
        <w:tc>
          <w:tcPr>
            <w:tcW w:w="560" w:type="dxa"/>
            <w:vAlign w:val="bottom"/>
          </w:tcPr>
          <w:p>
            <w:pPr>
              <w:spacing w:after="0"/>
              <w:rPr>
                <w:sz w:val="7"/>
                <w:szCs w:val="7"/>
                <w:color w:val="auto"/>
              </w:rPr>
            </w:pPr>
          </w:p>
        </w:tc>
        <w:tc>
          <w:tcPr>
            <w:tcW w:w="820" w:type="dxa"/>
            <w:vAlign w:val="bottom"/>
          </w:tcPr>
          <w:p>
            <w:pPr>
              <w:jc w:val="right"/>
              <w:ind w:right="289"/>
              <w:spacing w:after="0" w:line="91" w:lineRule="exact"/>
              <w:rPr>
                <w:sz w:val="20"/>
                <w:szCs w:val="20"/>
                <w:color w:val="auto"/>
              </w:rPr>
            </w:pPr>
            <w:r>
              <w:rPr>
                <w:rFonts w:ascii="Arial" w:cs="Arial" w:eastAsia="Arial" w:hAnsi="Arial"/>
                <w:sz w:val="10"/>
                <w:szCs w:val="10"/>
                <w:color w:val="auto"/>
              </w:rPr>
              <w:t>739</w:t>
            </w:r>
          </w:p>
        </w:tc>
        <w:tc>
          <w:tcPr>
            <w:tcW w:w="54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816</w:t>
            </w:r>
          </w:p>
        </w:tc>
        <w:tc>
          <w:tcPr>
            <w:tcW w:w="0" w:type="dxa"/>
            <w:vAlign w:val="bottom"/>
          </w:tcPr>
          <w:p>
            <w:pPr>
              <w:spacing w:after="0"/>
              <w:rPr>
                <w:sz w:val="1"/>
                <w:szCs w:val="1"/>
                <w:color w:val="auto"/>
              </w:rPr>
            </w:pPr>
          </w:p>
        </w:tc>
      </w:tr>
      <w:tr>
        <w:trPr>
          <w:trHeight w:val="106"/>
        </w:trPr>
        <w:tc>
          <w:tcPr>
            <w:tcW w:w="3920" w:type="dxa"/>
            <w:vAlign w:val="bottom"/>
          </w:tcPr>
          <w:p>
            <w:pPr>
              <w:spacing w:after="0" w:line="106" w:lineRule="exact"/>
              <w:rPr>
                <w:sz w:val="20"/>
                <w:szCs w:val="20"/>
                <w:color w:val="auto"/>
              </w:rPr>
            </w:pPr>
            <w:r>
              <w:rPr>
                <w:rFonts w:ascii="Arial" w:cs="Arial" w:eastAsia="Arial" w:hAnsi="Arial"/>
                <w:sz w:val="10"/>
                <w:szCs w:val="10"/>
                <w:color w:val="auto"/>
              </w:rPr>
              <w:t>Other current liabilities</w:t>
            </w:r>
          </w:p>
        </w:tc>
        <w:tc>
          <w:tcPr>
            <w:tcW w:w="1560" w:type="dxa"/>
            <w:vAlign w:val="bottom"/>
          </w:tcPr>
          <w:p>
            <w:pPr>
              <w:spacing w:after="0"/>
              <w:rPr>
                <w:sz w:val="9"/>
                <w:szCs w:val="9"/>
                <w:color w:val="auto"/>
              </w:rPr>
            </w:pPr>
          </w:p>
        </w:tc>
        <w:tc>
          <w:tcPr>
            <w:tcW w:w="84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29,205</w:t>
            </w:r>
          </w:p>
        </w:tc>
        <w:tc>
          <w:tcPr>
            <w:tcW w:w="4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32,636</w:t>
            </w:r>
          </w:p>
        </w:tc>
        <w:tc>
          <w:tcPr>
            <w:tcW w:w="56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26,250</w:t>
            </w:r>
          </w:p>
        </w:tc>
        <w:tc>
          <w:tcPr>
            <w:tcW w:w="56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24,272</w:t>
            </w:r>
          </w:p>
        </w:tc>
        <w:tc>
          <w:tcPr>
            <w:tcW w:w="54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17,979</w:t>
            </w:r>
          </w:p>
        </w:tc>
        <w:tc>
          <w:tcPr>
            <w:tcW w:w="0" w:type="dxa"/>
            <w:vAlign w:val="bottom"/>
          </w:tcPr>
          <w:p>
            <w:pPr>
              <w:spacing w:after="0"/>
              <w:rPr>
                <w:sz w:val="1"/>
                <w:szCs w:val="1"/>
                <w:color w:val="auto"/>
              </w:rPr>
            </w:pPr>
          </w:p>
        </w:tc>
      </w:tr>
      <w:tr>
        <w:trPr>
          <w:trHeight w:val="106"/>
        </w:trPr>
        <w:tc>
          <w:tcPr>
            <w:tcW w:w="3920" w:type="dxa"/>
            <w:vAlign w:val="bottom"/>
          </w:tcPr>
          <w:p>
            <w:pPr>
              <w:spacing w:after="0" w:line="106" w:lineRule="exact"/>
              <w:rPr>
                <w:sz w:val="20"/>
                <w:szCs w:val="20"/>
                <w:color w:val="auto"/>
              </w:rPr>
            </w:pPr>
            <w:r>
              <w:rPr>
                <w:rFonts w:ascii="Arial" w:cs="Arial" w:eastAsia="Arial" w:hAnsi="Arial"/>
                <w:sz w:val="10"/>
                <w:szCs w:val="10"/>
                <w:color w:val="auto"/>
              </w:rPr>
              <w:t>Long-term debt and capital lease obligations</w:t>
            </w:r>
          </w:p>
        </w:tc>
        <w:tc>
          <w:tcPr>
            <w:tcW w:w="1560" w:type="dxa"/>
            <w:vAlign w:val="bottom"/>
          </w:tcPr>
          <w:p>
            <w:pPr>
              <w:spacing w:after="0"/>
              <w:rPr>
                <w:sz w:val="9"/>
                <w:szCs w:val="9"/>
                <w:color w:val="auto"/>
              </w:rPr>
            </w:pPr>
          </w:p>
        </w:tc>
        <w:tc>
          <w:tcPr>
            <w:tcW w:w="84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6,083</w:t>
            </w:r>
          </w:p>
        </w:tc>
        <w:tc>
          <w:tcPr>
            <w:tcW w:w="4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6,070</w:t>
            </w:r>
          </w:p>
        </w:tc>
        <w:tc>
          <w:tcPr>
            <w:tcW w:w="56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7,679</w:t>
            </w:r>
          </w:p>
        </w:tc>
        <w:tc>
          <w:tcPr>
            <w:tcW w:w="56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12,131</w:t>
            </w:r>
          </w:p>
        </w:tc>
        <w:tc>
          <w:tcPr>
            <w:tcW w:w="54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10,456</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noncurrent liabilities</w:t>
            </w:r>
          </w:p>
        </w:tc>
        <w:tc>
          <w:tcPr>
            <w:tcW w:w="1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36,411</w:t>
            </w:r>
          </w:p>
        </w:tc>
        <w:tc>
          <w:tcPr>
            <w:tcW w:w="44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31,830</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27,605</w:t>
            </w:r>
          </w:p>
        </w:tc>
        <w:tc>
          <w:tcPr>
            <w:tcW w:w="56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26,015</w:t>
            </w:r>
          </w:p>
        </w:tc>
        <w:tc>
          <w:tcPr>
            <w:tcW w:w="54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18,727</w:t>
            </w:r>
          </w:p>
        </w:tc>
        <w:tc>
          <w:tcPr>
            <w:tcW w:w="0" w:type="dxa"/>
            <w:vAlign w:val="bottom"/>
          </w:tcPr>
          <w:p>
            <w:pPr>
              <w:spacing w:after="0"/>
              <w:rPr>
                <w:sz w:val="1"/>
                <w:szCs w:val="1"/>
                <w:color w:val="auto"/>
              </w:rPr>
            </w:pPr>
          </w:p>
        </w:tc>
      </w:tr>
      <w:tr>
        <w:trPr>
          <w:trHeight w:val="105"/>
        </w:trPr>
        <w:tc>
          <w:tcPr>
            <w:tcW w:w="3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Liabilities</w:t>
            </w:r>
          </w:p>
        </w:tc>
        <w:tc>
          <w:tcPr>
            <w:tcW w:w="1560" w:type="dxa"/>
            <w:vAlign w:val="bottom"/>
            <w:tcBorders>
              <w:bottom w:val="single" w:sz="8" w:color="0077C0"/>
            </w:tcBorders>
          </w:tcPr>
          <w:p>
            <w:pPr>
              <w:spacing w:after="0"/>
              <w:rPr>
                <w:sz w:val="9"/>
                <w:szCs w:val="9"/>
                <w:color w:val="auto"/>
              </w:rPr>
            </w:pPr>
          </w:p>
        </w:tc>
        <w:tc>
          <w:tcPr>
            <w:tcW w:w="84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74,517</w:t>
            </w:r>
          </w:p>
        </w:tc>
        <w:tc>
          <w:tcPr>
            <w:tcW w:w="44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71,698</w:t>
            </w:r>
          </w:p>
        </w:tc>
        <w:tc>
          <w:tcPr>
            <w:tcW w:w="56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63,693</w:t>
            </w:r>
          </w:p>
        </w:tc>
        <w:tc>
          <w:tcPr>
            <w:tcW w:w="56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63,157</w:t>
            </w:r>
          </w:p>
        </w:tc>
        <w:tc>
          <w:tcPr>
            <w:tcW w:w="54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47,978</w:t>
            </w:r>
          </w:p>
        </w:tc>
        <w:tc>
          <w:tcPr>
            <w:tcW w:w="0" w:type="dxa"/>
            <w:vAlign w:val="bottom"/>
          </w:tcPr>
          <w:p>
            <w:pPr>
              <w:spacing w:after="0"/>
              <w:rPr>
                <w:sz w:val="1"/>
                <w:szCs w:val="1"/>
                <w:color w:val="auto"/>
              </w:rPr>
            </w:pPr>
          </w:p>
        </w:tc>
      </w:tr>
      <w:tr>
        <w:trPr>
          <w:trHeight w:val="114"/>
        </w:trPr>
        <w:tc>
          <w:tcPr>
            <w:tcW w:w="3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Stockholders’ Equity</w:t>
            </w:r>
          </w:p>
        </w:tc>
        <w:tc>
          <w:tcPr>
            <w:tcW w:w="1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86,648</w:t>
            </w:r>
          </w:p>
        </w:tc>
        <w:tc>
          <w:tcPr>
            <w:tcW w:w="4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77,088</w:t>
            </w: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68,935</w:t>
            </w:r>
          </w:p>
        </w:tc>
        <w:tc>
          <w:tcPr>
            <w:tcW w:w="5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62,676</w:t>
            </w:r>
          </w:p>
        </w:tc>
        <w:tc>
          <w:tcPr>
            <w:tcW w:w="5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45,230</w:t>
            </w:r>
          </w:p>
        </w:tc>
        <w:tc>
          <w:tcPr>
            <w:tcW w:w="0" w:type="dxa"/>
            <w:vAlign w:val="bottom"/>
          </w:tcPr>
          <w:p>
            <w:pPr>
              <w:spacing w:after="0"/>
              <w:rPr>
                <w:sz w:val="1"/>
                <w:szCs w:val="1"/>
                <w:color w:val="auto"/>
              </w:rPr>
            </w:pPr>
          </w:p>
        </w:tc>
      </w:tr>
      <w:tr>
        <w:trPr>
          <w:trHeight w:val="111"/>
        </w:trPr>
        <w:tc>
          <w:tcPr>
            <w:tcW w:w="3920" w:type="dxa"/>
            <w:vAlign w:val="bottom"/>
          </w:tcPr>
          <w:p>
            <w:pPr>
              <w:spacing w:after="0" w:line="111" w:lineRule="exact"/>
              <w:rPr>
                <w:sz w:val="20"/>
                <w:szCs w:val="20"/>
                <w:color w:val="auto"/>
              </w:rPr>
            </w:pPr>
            <w:r>
              <w:rPr>
                <w:rFonts w:ascii="Arial" w:cs="Arial" w:eastAsia="Arial" w:hAnsi="Arial"/>
                <w:sz w:val="9"/>
                <w:szCs w:val="9"/>
                <w:color w:val="auto"/>
              </w:rPr>
              <w:t xml:space="preserve">1 </w:t>
            </w:r>
            <w:r>
              <w:rPr>
                <w:rFonts w:ascii="Arial" w:cs="Arial" w:eastAsia="Arial" w:hAnsi="Arial"/>
                <w:sz w:val="10"/>
                <w:szCs w:val="10"/>
                <w:color w:val="auto"/>
              </w:rPr>
              <w:t>Includes excise, value-added and similar taxes:</w:t>
            </w:r>
          </w:p>
        </w:tc>
        <w:tc>
          <w:tcPr>
            <w:tcW w:w="1560" w:type="dxa"/>
            <w:vAlign w:val="bottom"/>
          </w:tcPr>
          <w:p>
            <w:pPr>
              <w:jc w:val="right"/>
              <w:ind w:right="109"/>
              <w:spacing w:after="0" w:line="111" w:lineRule="exact"/>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289"/>
              <w:spacing w:after="0" w:line="111" w:lineRule="exact"/>
              <w:rPr>
                <w:sz w:val="20"/>
                <w:szCs w:val="20"/>
                <w:color w:val="auto"/>
              </w:rPr>
            </w:pPr>
            <w:r>
              <w:rPr>
                <w:rFonts w:ascii="Arial" w:cs="Arial" w:eastAsia="Arial" w:hAnsi="Arial"/>
                <w:sz w:val="10"/>
                <w:szCs w:val="10"/>
                <w:b w:val="1"/>
                <w:bCs w:val="1"/>
                <w:color w:val="auto"/>
              </w:rPr>
              <w:t>9,846</w:t>
            </w:r>
          </w:p>
        </w:tc>
        <w:tc>
          <w:tcPr>
            <w:tcW w:w="440" w:type="dxa"/>
            <w:vAlign w:val="bottom"/>
          </w:tcPr>
          <w:p>
            <w:pPr>
              <w:jc w:val="right"/>
              <w:ind w:right="109"/>
              <w:spacing w:after="0" w:line="111"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11" w:lineRule="exact"/>
              <w:rPr>
                <w:sz w:val="20"/>
                <w:szCs w:val="20"/>
                <w:color w:val="auto"/>
              </w:rPr>
            </w:pPr>
            <w:r>
              <w:rPr>
                <w:rFonts w:ascii="Arial" w:cs="Arial" w:eastAsia="Arial" w:hAnsi="Arial"/>
                <w:sz w:val="10"/>
                <w:szCs w:val="10"/>
                <w:color w:val="auto"/>
              </w:rPr>
              <w:t>10,121</w:t>
            </w:r>
          </w:p>
        </w:tc>
        <w:tc>
          <w:tcPr>
            <w:tcW w:w="560" w:type="dxa"/>
            <w:vAlign w:val="bottom"/>
          </w:tcPr>
          <w:p>
            <w:pPr>
              <w:jc w:val="right"/>
              <w:ind w:right="109"/>
              <w:spacing w:after="0" w:line="111"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11" w:lineRule="exact"/>
              <w:rPr>
                <w:sz w:val="20"/>
                <w:szCs w:val="20"/>
                <w:color w:val="auto"/>
              </w:rPr>
            </w:pPr>
            <w:r>
              <w:rPr>
                <w:rFonts w:ascii="Arial" w:cs="Arial" w:eastAsia="Arial" w:hAnsi="Arial"/>
                <w:sz w:val="10"/>
                <w:szCs w:val="10"/>
                <w:color w:val="auto"/>
              </w:rPr>
              <w:t>9,551</w:t>
            </w:r>
          </w:p>
        </w:tc>
        <w:tc>
          <w:tcPr>
            <w:tcW w:w="560" w:type="dxa"/>
            <w:vAlign w:val="bottom"/>
          </w:tcPr>
          <w:p>
            <w:pPr>
              <w:jc w:val="right"/>
              <w:ind w:right="109"/>
              <w:spacing w:after="0" w:line="111"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289"/>
              <w:spacing w:after="0" w:line="111" w:lineRule="exact"/>
              <w:rPr>
                <w:sz w:val="20"/>
                <w:szCs w:val="20"/>
                <w:color w:val="auto"/>
              </w:rPr>
            </w:pPr>
            <w:r>
              <w:rPr>
                <w:rFonts w:ascii="Arial" w:cs="Arial" w:eastAsia="Arial" w:hAnsi="Arial"/>
                <w:sz w:val="10"/>
                <w:szCs w:val="10"/>
                <w:color w:val="auto"/>
              </w:rPr>
              <w:t>8,719</w:t>
            </w:r>
          </w:p>
        </w:tc>
        <w:tc>
          <w:tcPr>
            <w:tcW w:w="540" w:type="dxa"/>
            <w:vAlign w:val="bottom"/>
          </w:tcPr>
          <w:p>
            <w:pPr>
              <w:jc w:val="right"/>
              <w:ind w:right="89"/>
              <w:spacing w:after="0" w:line="111"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7,968</w:t>
            </w:r>
          </w:p>
        </w:tc>
        <w:tc>
          <w:tcPr>
            <w:tcW w:w="0" w:type="dxa"/>
            <w:vAlign w:val="bottom"/>
          </w:tcPr>
          <w:p>
            <w:pPr>
              <w:spacing w:after="0"/>
              <w:rPr>
                <w:sz w:val="1"/>
                <w:szCs w:val="1"/>
                <w:color w:val="auto"/>
              </w:rPr>
            </w:pPr>
          </w:p>
        </w:tc>
      </w:tr>
    </w:tbl>
    <w:p>
      <w:pPr>
        <w:ind w:left="180" w:hanging="87"/>
        <w:spacing w:after="0" w:line="220"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0"/>
          <w:szCs w:val="10"/>
          <w:color w:val="auto"/>
        </w:rPr>
        <w:t>Includes amounts in revenues for buy/sell contracts; associated costs are in “Total Costs and Other Deductions.”</w:t>
      </w:r>
    </w:p>
    <w:p>
      <w:pPr>
        <w:ind w:left="180"/>
        <w:spacing w:after="0"/>
        <w:tabs>
          <w:tab w:leader="none" w:pos="5360" w:val="left"/>
          <w:tab w:leader="none" w:pos="6000" w:val="left"/>
          <w:tab w:leader="none" w:pos="6620" w:val="left"/>
          <w:tab w:leader="none" w:pos="7260" w:val="left"/>
          <w:tab w:leader="none" w:pos="8020" w:val="left"/>
          <w:tab w:leader="none" w:pos="8480" w:val="left"/>
          <w:tab w:leader="none" w:pos="9400" w:val="left"/>
          <w:tab w:leader="none" w:pos="9800" w:val="left"/>
          <w:tab w:leader="none" w:pos="10760" w:val="left"/>
          <w:tab w:leader="none" w:pos="11160" w:val="left"/>
        </w:tabs>
        <w:rPr>
          <w:sz w:val="20"/>
          <w:szCs w:val="20"/>
          <w:color w:val="auto"/>
        </w:rPr>
      </w:pPr>
      <w:r>
        <w:rPr>
          <w:rFonts w:ascii="Arial" w:cs="Arial" w:eastAsia="Arial" w:hAnsi="Arial"/>
          <w:sz w:val="10"/>
          <w:szCs w:val="10"/>
          <w:color w:val="auto"/>
        </w:rPr>
        <w:t>Refer also to Note 14, on page FS-43.</w:t>
      </w:r>
      <w:r>
        <w:rPr>
          <w:sz w:val="20"/>
          <w:szCs w:val="20"/>
          <w:color w:val="auto"/>
        </w:rPr>
        <w:tab/>
      </w:r>
      <w:r>
        <w:rPr>
          <w:rFonts w:ascii="Arial" w:cs="Arial" w:eastAsia="Arial" w:hAnsi="Arial"/>
          <w:sz w:val="10"/>
          <w:szCs w:val="10"/>
          <w:b w:val="1"/>
          <w:bCs w:val="1"/>
          <w:color w:val="auto"/>
        </w:rPr>
        <w:t>$</w:t>
      </w:r>
      <w:r>
        <w:rPr>
          <w:sz w:val="20"/>
          <w:szCs w:val="20"/>
          <w:color w:val="auto"/>
        </w:rPr>
        <w:tab/>
      </w:r>
      <w:r>
        <w:rPr>
          <w:rFonts w:ascii="Arial" w:cs="Arial" w:eastAsia="Arial" w:hAnsi="Arial"/>
          <w:sz w:val="10"/>
          <w:szCs w:val="10"/>
          <w:b w:val="1"/>
          <w:bCs w:val="1"/>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6,725</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23,822</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9"/>
          <w:szCs w:val="9"/>
          <w:color w:val="auto"/>
        </w:rPr>
        <w:t>18,650</w:t>
      </w:r>
    </w:p>
    <w:p>
      <w:pPr>
        <w:ind w:left="180" w:hanging="87"/>
        <w:spacing w:after="0"/>
        <w:tabs>
          <w:tab w:leader="none" w:pos="180" w:val="left"/>
        </w:tabs>
        <w:numPr>
          <w:ilvl w:val="0"/>
          <w:numId w:val="55"/>
        </w:numPr>
        <w:rPr>
          <w:rFonts w:ascii="Arial" w:cs="Arial" w:eastAsia="Arial" w:hAnsi="Arial"/>
          <w:sz w:val="9"/>
          <w:szCs w:val="9"/>
          <w:color w:val="auto"/>
        </w:rPr>
      </w:pPr>
      <w:r>
        <w:rPr>
          <w:rFonts w:ascii="Arial" w:cs="Arial" w:eastAsia="Arial" w:hAnsi="Arial"/>
          <w:sz w:val="10"/>
          <w:szCs w:val="10"/>
          <w:color w:val="auto"/>
        </w:rPr>
        <w:t>Per-share amounts in all periods reflect a two-for-one stock split effected as a 100 percent stock dividend in September 2004.</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FS-61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230505</wp:posOffset>
            </wp:positionV>
            <wp:extent cx="7285990" cy="5067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5990" cy="5067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0"/>
          <w:szCs w:val="10"/>
          <w:b w:val="1"/>
          <w:bCs w:val="1"/>
          <w:color w:val="auto"/>
        </w:rPr>
        <w:t>Supplemental Information on Oil and Gas Producing Activities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Unaudited</w:t>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314" w:lineRule="auto"/>
        <w:rPr>
          <w:sz w:val="20"/>
          <w:szCs w:val="20"/>
          <w:color w:val="auto"/>
        </w:rPr>
      </w:pPr>
      <w:r>
        <w:rPr>
          <w:rFonts w:ascii="Arial" w:cs="Arial" w:eastAsia="Arial" w:hAnsi="Arial"/>
          <w:sz w:val="11"/>
          <w:szCs w:val="11"/>
          <w:color w:val="auto"/>
        </w:rPr>
        <w:t xml:space="preserve">In accordance with FAS 69, </w:t>
      </w:r>
      <w:r>
        <w:rPr>
          <w:rFonts w:ascii="Arial" w:cs="Arial" w:eastAsia="Arial" w:hAnsi="Arial"/>
          <w:sz w:val="11"/>
          <w:szCs w:val="11"/>
          <w:i w:val="1"/>
          <w:iCs w:val="1"/>
          <w:color w:val="auto"/>
        </w:rPr>
        <w:t>Disclosures About Oil and Gas Producing Activities</w:t>
      </w:r>
      <w:r>
        <w:rPr>
          <w:rFonts w:ascii="Arial" w:cs="Arial" w:eastAsia="Arial" w:hAnsi="Arial"/>
          <w:sz w:val="11"/>
          <w:szCs w:val="11"/>
          <w:color w:val="auto"/>
        </w:rPr>
        <w:t>, this section provides supplemental information on oil and gas exploration and producing activities of the company in seven separate tables. Tables I through IV provide historical cost information pertaining to costs incurred in exploration, property acquisitions and development; capitalized costs; and results of operations. Tables V</w:t>
      </w: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Table I – Costs Incurred in Exploration, Property Acquisitions and Development</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
        <w:spacing w:after="0" w:line="314" w:lineRule="auto"/>
        <w:rPr>
          <w:sz w:val="20"/>
          <w:szCs w:val="20"/>
          <w:color w:val="auto"/>
        </w:rPr>
      </w:pPr>
      <w:r>
        <w:rPr>
          <w:rFonts w:ascii="Arial" w:cs="Arial" w:eastAsia="Arial" w:hAnsi="Arial"/>
          <w:sz w:val="11"/>
          <w:szCs w:val="11"/>
          <w:color w:val="auto"/>
        </w:rPr>
        <w:t>through VII present information on the company’s estimated net proved reserve quantities, standardized measure of estimated discounted future net cash flows related to proved reserves, and changes in estimated discounted future net cash flows. The Africa geographic area includes activities principally in Nigeria, Angola, Chad, Republic of the Congo and Democratic Republic of the Congo. The Asia-Pacific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00"/>
        <w:spacing w:after="0"/>
        <w:rPr>
          <w:sz w:val="20"/>
          <w:szCs w:val="20"/>
          <w:color w:val="auto"/>
        </w:rPr>
      </w:pPr>
      <w:r>
        <w:rPr>
          <w:rFonts w:ascii="Arial" w:cs="Arial" w:eastAsia="Arial" w:hAnsi="Arial"/>
          <w:sz w:val="10"/>
          <w:szCs w:val="10"/>
          <w:color w:val="auto"/>
        </w:rPr>
        <w:t>Consolidated Companies</w:t>
      </w:r>
    </w:p>
    <w:p>
      <w:pPr>
        <w:spacing w:after="0" w:line="1" w:lineRule="exact"/>
        <w:rPr>
          <w:sz w:val="20"/>
          <w:szCs w:val="20"/>
          <w:color w:val="auto"/>
        </w:rPr>
      </w:pPr>
    </w:p>
    <w:p>
      <w:pPr>
        <w:sectPr>
          <w:pgSz w:w="11900" w:h="16838" w:orient="portrait"/>
          <w:cols w:equalWidth="0" w:num="2">
            <w:col w:w="5380" w:space="580"/>
            <w:col w:w="5520"/>
          </w:cols>
          <w:pgMar w:left="220" w:top="338" w:right="199" w:bottom="1440" w:gutter="0" w:footer="0" w:header="0"/>
          <w:type w:val="continuous"/>
        </w:sectPr>
      </w:pPr>
    </w:p>
    <w:tbl>
      <w:tblPr>
        <w:tblLayout w:type="fixed"/>
        <w:tblInd w:w="0" w:type="dxa"/>
        <w:tblCellMar>
          <w:top w:w="0" w:type="dxa"/>
          <w:left w:w="0" w:type="dxa"/>
          <w:bottom w:w="0" w:type="dxa"/>
          <w:right w:w="0" w:type="dxa"/>
        </w:tblCellMar>
      </w:tblP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420" w:type="dxa"/>
            <w:vAlign w:val="bottom"/>
            <w:tcBorders>
              <w:top w:val="single" w:sz="8" w:color="0077C0"/>
              <w:bottom w:val="single" w:sz="8" w:color="0077C0"/>
            </w:tcBorders>
          </w:tcPr>
          <w:p>
            <w:pPr>
              <w:spacing w:after="0"/>
              <w:rPr>
                <w:sz w:val="8"/>
                <w:szCs w:val="8"/>
                <w:color w:val="auto"/>
              </w:rPr>
            </w:pPr>
          </w:p>
        </w:tc>
        <w:tc>
          <w:tcPr>
            <w:tcW w:w="68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United States</w:t>
            </w:r>
          </w:p>
        </w:tc>
        <w:tc>
          <w:tcPr>
            <w:tcW w:w="10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spacing w:after="0"/>
              <w:rPr>
                <w:sz w:val="8"/>
                <w:szCs w:val="8"/>
                <w:color w:val="auto"/>
              </w:rPr>
            </w:pPr>
          </w:p>
        </w:tc>
        <w:tc>
          <w:tcPr>
            <w:tcW w:w="280" w:type="dxa"/>
            <w:vAlign w:val="bottom"/>
            <w:tcBorders>
              <w:top w:val="single" w:sz="8" w:color="0077C0"/>
              <w:bottom w:val="single" w:sz="8" w:color="0077C0"/>
            </w:tcBorders>
          </w:tcPr>
          <w:p>
            <w:pPr>
              <w:spacing w:after="0"/>
              <w:rPr>
                <w:sz w:val="8"/>
                <w:szCs w:val="8"/>
                <w:color w:val="auto"/>
              </w:rPr>
            </w:pPr>
          </w:p>
        </w:tc>
        <w:tc>
          <w:tcPr>
            <w:tcW w:w="500" w:type="dxa"/>
            <w:vAlign w:val="bottom"/>
            <w:tcBorders>
              <w:top w:val="single" w:sz="8" w:color="0077C0"/>
              <w:bottom w:val="single" w:sz="8" w:color="0077C0"/>
            </w:tcBorders>
          </w:tcPr>
          <w:p>
            <w:pPr>
              <w:spacing w:after="0"/>
              <w:rPr>
                <w:sz w:val="8"/>
                <w:szCs w:val="8"/>
                <w:color w:val="auto"/>
              </w:rPr>
            </w:pPr>
          </w:p>
        </w:tc>
        <w:tc>
          <w:tcPr>
            <w:tcW w:w="3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spacing w:after="0"/>
              <w:rPr>
                <w:sz w:val="8"/>
                <w:szCs w:val="8"/>
                <w:color w:val="auto"/>
              </w:rPr>
            </w:pPr>
          </w:p>
        </w:tc>
        <w:tc>
          <w:tcPr>
            <w:tcW w:w="66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International</w:t>
            </w: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restart"/>
          </w:tcPr>
          <w:p>
            <w:pPr>
              <w:ind w:left="18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w w:val="94"/>
              </w:rPr>
              <w:t>Gulf of</w:t>
            </w: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jc w:val="right"/>
              <w:ind w:right="169"/>
              <w:spacing w:after="0" w:line="95" w:lineRule="exact"/>
              <w:rPr>
                <w:sz w:val="20"/>
                <w:szCs w:val="20"/>
                <w:color w:val="auto"/>
              </w:rPr>
            </w:pPr>
            <w:r>
              <w:rPr>
                <w:rFonts w:ascii="Arial" w:cs="Arial" w:eastAsia="Arial" w:hAnsi="Arial"/>
                <w:sz w:val="10"/>
                <w:szCs w:val="10"/>
                <w:color w:val="auto"/>
              </w:rPr>
              <w:t>Asia-</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Total</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dollars</w:t>
            </w:r>
          </w:p>
        </w:tc>
        <w:tc>
          <w:tcPr>
            <w:tcW w:w="100" w:type="dxa"/>
            <w:vAlign w:val="bottom"/>
          </w:tcPr>
          <w:p>
            <w:pPr>
              <w:spacing w:after="0"/>
              <w:rPr>
                <w:sz w:val="8"/>
                <w:szCs w:val="8"/>
                <w:color w:val="auto"/>
              </w:rPr>
            </w:pPr>
          </w:p>
        </w:tc>
        <w:tc>
          <w:tcPr>
            <w:tcW w:w="520" w:type="dxa"/>
            <w:vAlign w:val="bottom"/>
          </w:tcPr>
          <w:p>
            <w:pPr>
              <w:jc w:val="right"/>
              <w:ind w:right="209"/>
              <w:spacing w:after="0" w:line="95" w:lineRule="exact"/>
              <w:rPr>
                <w:sz w:val="20"/>
                <w:szCs w:val="20"/>
                <w:color w:val="auto"/>
              </w:rPr>
            </w:pPr>
            <w:r>
              <w:rPr>
                <w:rFonts w:ascii="Arial" w:cs="Arial" w:eastAsia="Arial" w:hAnsi="Arial"/>
                <w:sz w:val="10"/>
                <w:szCs w:val="10"/>
                <w:color w:val="auto"/>
              </w:rPr>
              <w:t>Calif.</w:t>
            </w:r>
          </w:p>
        </w:tc>
        <w:tc>
          <w:tcPr>
            <w:tcW w:w="26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w w:val="88"/>
              </w:rPr>
              <w:t>Mexico</w:t>
            </w:r>
          </w:p>
        </w:tc>
        <w:tc>
          <w:tcPr>
            <w:tcW w:w="300" w:type="dxa"/>
            <w:vAlign w:val="bottom"/>
          </w:tcPr>
          <w:p>
            <w:pPr>
              <w:spacing w:after="0"/>
              <w:rPr>
                <w:sz w:val="8"/>
                <w:szCs w:val="8"/>
                <w:color w:val="auto"/>
              </w:rPr>
            </w:pPr>
          </w:p>
        </w:tc>
        <w:tc>
          <w:tcPr>
            <w:tcW w:w="420" w:type="dxa"/>
            <w:vAlign w:val="bottom"/>
          </w:tcPr>
          <w:p>
            <w:pPr>
              <w:jc w:val="right"/>
              <w:ind w:right="89"/>
              <w:spacing w:after="0" w:line="95" w:lineRule="exact"/>
              <w:rPr>
                <w:sz w:val="20"/>
                <w:szCs w:val="20"/>
                <w:color w:val="auto"/>
              </w:rPr>
            </w:pPr>
            <w:r>
              <w:rPr>
                <w:rFonts w:ascii="Arial" w:cs="Arial" w:eastAsia="Arial" w:hAnsi="Arial"/>
                <w:sz w:val="10"/>
                <w:szCs w:val="10"/>
                <w:color w:val="auto"/>
              </w:rPr>
              <w:t>Other</w:t>
            </w:r>
          </w:p>
        </w:tc>
        <w:tc>
          <w:tcPr>
            <w:tcW w:w="40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10"/>
                <w:szCs w:val="10"/>
                <w:color w:val="auto"/>
              </w:rPr>
              <w:t>U.S.</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169"/>
              <w:spacing w:after="0" w:line="95" w:lineRule="exact"/>
              <w:rPr>
                <w:sz w:val="20"/>
                <w:szCs w:val="20"/>
                <w:color w:val="auto"/>
              </w:rPr>
            </w:pPr>
            <w:r>
              <w:rPr>
                <w:rFonts w:ascii="Arial" w:cs="Arial" w:eastAsia="Arial" w:hAnsi="Arial"/>
                <w:sz w:val="10"/>
                <w:szCs w:val="10"/>
                <w:color w:val="auto"/>
                <w:w w:val="93"/>
              </w:rPr>
              <w:t>Africa</w:t>
            </w:r>
          </w:p>
        </w:tc>
        <w:tc>
          <w:tcPr>
            <w:tcW w:w="280" w:type="dxa"/>
            <w:vAlign w:val="bottom"/>
          </w:tcPr>
          <w:p>
            <w:pPr>
              <w:spacing w:after="0"/>
              <w:rPr>
                <w:sz w:val="8"/>
                <w:szCs w:val="8"/>
                <w:color w:val="auto"/>
              </w:rPr>
            </w:pPr>
          </w:p>
        </w:tc>
        <w:tc>
          <w:tcPr>
            <w:tcW w:w="500" w:type="dxa"/>
            <w:vAlign w:val="bottom"/>
          </w:tcPr>
          <w:p>
            <w:pPr>
              <w:jc w:val="right"/>
              <w:ind w:right="169"/>
              <w:spacing w:after="0" w:line="95" w:lineRule="exact"/>
              <w:rPr>
                <w:sz w:val="20"/>
                <w:szCs w:val="20"/>
                <w:color w:val="auto"/>
              </w:rPr>
            </w:pPr>
            <w:r>
              <w:rPr>
                <w:rFonts w:ascii="Arial" w:cs="Arial" w:eastAsia="Arial" w:hAnsi="Arial"/>
                <w:sz w:val="10"/>
                <w:szCs w:val="10"/>
                <w:color w:val="auto"/>
                <w:w w:val="88"/>
              </w:rPr>
              <w:t>Pacific</w:t>
            </w:r>
          </w:p>
        </w:tc>
        <w:tc>
          <w:tcPr>
            <w:tcW w:w="82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Indonesia</w:t>
            </w:r>
          </w:p>
        </w:tc>
        <w:tc>
          <w:tcPr>
            <w:tcW w:w="300" w:type="dxa"/>
            <w:vAlign w:val="bottom"/>
          </w:tcPr>
          <w:p>
            <w:pPr>
              <w:spacing w:after="0"/>
              <w:rPr>
                <w:sz w:val="8"/>
                <w:szCs w:val="8"/>
                <w:color w:val="auto"/>
              </w:rPr>
            </w:pPr>
          </w:p>
        </w:tc>
        <w:tc>
          <w:tcPr>
            <w:tcW w:w="440" w:type="dxa"/>
            <w:vAlign w:val="bottom"/>
          </w:tcPr>
          <w:p>
            <w:pPr>
              <w:jc w:val="right"/>
              <w:ind w:right="129"/>
              <w:spacing w:after="0" w:line="95" w:lineRule="exact"/>
              <w:rPr>
                <w:sz w:val="20"/>
                <w:szCs w:val="20"/>
                <w:color w:val="auto"/>
              </w:rPr>
            </w:pPr>
            <w:r>
              <w:rPr>
                <w:rFonts w:ascii="Arial" w:cs="Arial" w:eastAsia="Arial" w:hAnsi="Arial"/>
                <w:sz w:val="10"/>
                <w:szCs w:val="10"/>
                <w:color w:val="auto"/>
                <w:w w:val="95"/>
              </w:rPr>
              <w:t>Other</w:t>
            </w:r>
          </w:p>
        </w:tc>
        <w:tc>
          <w:tcPr>
            <w:tcW w:w="340" w:type="dxa"/>
            <w:vAlign w:val="bottom"/>
          </w:tcPr>
          <w:p>
            <w:pPr>
              <w:spacing w:after="0"/>
              <w:rPr>
                <w:sz w:val="8"/>
                <w:szCs w:val="8"/>
                <w:color w:val="auto"/>
              </w:rPr>
            </w:pPr>
          </w:p>
        </w:tc>
        <w:tc>
          <w:tcPr>
            <w:tcW w:w="54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Int’l.</w:t>
            </w:r>
          </w:p>
        </w:tc>
        <w:tc>
          <w:tcPr>
            <w:tcW w:w="300" w:type="dxa"/>
            <w:vAlign w:val="bottom"/>
          </w:tcPr>
          <w:p>
            <w:pPr>
              <w:spacing w:after="0"/>
              <w:rPr>
                <w:sz w:val="8"/>
                <w:szCs w:val="8"/>
                <w:color w:val="auto"/>
              </w:rPr>
            </w:pPr>
          </w:p>
        </w:tc>
        <w:tc>
          <w:tcPr>
            <w:tcW w:w="42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rPr>
              <w:t>Total</w:t>
            </w:r>
          </w:p>
        </w:tc>
        <w:tc>
          <w:tcPr>
            <w:tcW w:w="320" w:type="dxa"/>
            <w:vAlign w:val="bottom"/>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TCO</w:t>
            </w: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ind w:left="20"/>
              <w:spacing w:after="0" w:line="95" w:lineRule="exact"/>
              <w:rPr>
                <w:sz w:val="20"/>
                <w:szCs w:val="20"/>
                <w:color w:val="auto"/>
              </w:rPr>
            </w:pPr>
            <w:r>
              <w:rPr>
                <w:rFonts w:ascii="Arial" w:cs="Arial" w:eastAsia="Arial" w:hAnsi="Arial"/>
                <w:sz w:val="10"/>
                <w:szCs w:val="10"/>
                <w:color w:val="auto"/>
                <w:w w:val="79"/>
              </w:rPr>
              <w:t>Other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 31, 2008</w:t>
            </w:r>
          </w:p>
        </w:tc>
        <w:tc>
          <w:tcPr>
            <w:tcW w:w="1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477</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42</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519</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197</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312</w:t>
            </w:r>
          </w:p>
        </w:tc>
        <w:tc>
          <w:tcPr>
            <w:tcW w:w="36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20</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67</w:t>
            </w: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596</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1,115</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6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60" w:type="dxa"/>
            <w:vAlign w:val="bottom"/>
          </w:tcPr>
          <w:p>
            <w:pPr>
              <w:ind w:left="80"/>
              <w:spacing w:after="0" w:line="104" w:lineRule="exact"/>
              <w:rPr>
                <w:sz w:val="20"/>
                <w:szCs w:val="20"/>
                <w:color w:val="auto"/>
              </w:rPr>
            </w:pPr>
            <w:r>
              <w:rPr>
                <w:rFonts w:ascii="Arial" w:cs="Arial" w:eastAsia="Arial" w:hAnsi="Arial"/>
                <w:sz w:val="10"/>
                <w:szCs w:val="10"/>
                <w:color w:val="auto"/>
              </w:rPr>
              <w:t>Wells</w:t>
            </w:r>
          </w:p>
        </w:tc>
        <w:tc>
          <w:tcPr>
            <w:tcW w:w="1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Geological and geophysical</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65</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66</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90</w:t>
            </w:r>
          </w:p>
        </w:tc>
        <w:tc>
          <w:tcPr>
            <w:tcW w:w="2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56</w:t>
            </w:r>
          </w:p>
        </w:tc>
        <w:tc>
          <w:tcPr>
            <w:tcW w:w="36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11</w:t>
            </w:r>
          </w:p>
        </w:tc>
        <w:tc>
          <w:tcPr>
            <w:tcW w:w="30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106</w:t>
            </w:r>
          </w:p>
        </w:tc>
        <w:tc>
          <w:tcPr>
            <w:tcW w:w="340" w:type="dxa"/>
            <w:vAlign w:val="bottom"/>
          </w:tcPr>
          <w:p>
            <w:pPr>
              <w:spacing w:after="0"/>
              <w:rPr>
                <w:sz w:val="9"/>
                <w:szCs w:val="9"/>
                <w:color w:val="auto"/>
              </w:rPr>
            </w:pP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b w:val="1"/>
                <w:bCs w:val="1"/>
                <w:color w:val="auto"/>
              </w:rPr>
              <w:t>263</w:t>
            </w:r>
          </w:p>
        </w:tc>
        <w:tc>
          <w:tcPr>
            <w:tcW w:w="3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329</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360" w:type="dxa"/>
            <w:vAlign w:val="bottom"/>
            <w:gridSpan w:val="2"/>
          </w:tcPr>
          <w:p>
            <w:pPr>
              <w:ind w:left="20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Rentals and other</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140</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b w:val="1"/>
                <w:bCs w:val="1"/>
                <w:color w:val="auto"/>
              </w:rPr>
              <w:t>3</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143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b w:val="1"/>
                <w:bCs w:val="1"/>
                <w:color w:val="auto"/>
              </w:rPr>
              <w:t>60</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b w:val="1"/>
                <w:bCs w:val="1"/>
                <w:color w:val="auto"/>
              </w:rPr>
              <w:t>148</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b w:val="1"/>
                <w:bCs w:val="1"/>
                <w:color w:val="auto"/>
              </w:rPr>
              <w:t>37</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b w:val="1"/>
                <w:bCs w:val="1"/>
                <w:color w:val="auto"/>
              </w:rPr>
              <w:t>97</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342</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485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exploration</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682</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46</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728</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347</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516</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68</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270</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1,201</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1,929</w:t>
            </w: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ind w:left="200"/>
              <w:spacing w:after="0"/>
              <w:rPr>
                <w:sz w:val="20"/>
                <w:szCs w:val="20"/>
                <w:color w:val="auto"/>
              </w:rPr>
            </w:pPr>
            <w:r>
              <w:rPr>
                <w:rFonts w:ascii="Arial" w:cs="Arial" w:eastAsia="Arial" w:hAnsi="Arial"/>
                <w:sz w:val="5"/>
                <w:szCs w:val="5"/>
                <w:b w:val="1"/>
                <w:bCs w:val="1"/>
                <w:color w:val="auto"/>
                <w:w w:val="70"/>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100" w:type="dxa"/>
            <w:vAlign w:val="bottom"/>
          </w:tcPr>
          <w:p>
            <w:pPr>
              <w:spacing w:after="0"/>
              <w:rPr>
                <w:sz w:val="8"/>
                <w:szCs w:val="8"/>
                <w:color w:val="auto"/>
              </w:rPr>
            </w:pP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w:t>
            </w:r>
          </w:p>
        </w:tc>
        <w:tc>
          <w:tcPr>
            <w:tcW w:w="260" w:type="dxa"/>
            <w:vAlign w:val="bottom"/>
          </w:tcPr>
          <w:p>
            <w:pPr>
              <w:spacing w:after="0"/>
              <w:rPr>
                <w:sz w:val="8"/>
                <w:szCs w:val="8"/>
                <w:color w:val="auto"/>
              </w:rPr>
            </w:pP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w:t>
            </w:r>
          </w:p>
        </w:tc>
        <w:tc>
          <w:tcPr>
            <w:tcW w:w="300" w:type="dxa"/>
            <w:vAlign w:val="bottom"/>
          </w:tcPr>
          <w:p>
            <w:pPr>
              <w:spacing w:after="0"/>
              <w:rPr>
                <w:sz w:val="8"/>
                <w:szCs w:val="8"/>
                <w:color w:val="auto"/>
              </w:rPr>
            </w:pPr>
          </w:p>
        </w:tc>
        <w:tc>
          <w:tcPr>
            <w:tcW w:w="4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87</w:t>
            </w:r>
          </w:p>
        </w:tc>
        <w:tc>
          <w:tcPr>
            <w:tcW w:w="4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88</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169</w:t>
            </w:r>
          </w:p>
        </w:tc>
        <w:tc>
          <w:tcPr>
            <w:tcW w:w="360" w:type="dxa"/>
            <w:vAlign w:val="bottom"/>
          </w:tcPr>
          <w:p>
            <w:pPr>
              <w:spacing w:after="0"/>
              <w:rPr>
                <w:sz w:val="8"/>
                <w:szCs w:val="8"/>
                <w:color w:val="auto"/>
              </w:rPr>
            </w:pPr>
          </w:p>
        </w:tc>
        <w:tc>
          <w:tcPr>
            <w:tcW w:w="4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8"/>
                <w:szCs w:val="8"/>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169</w:t>
            </w:r>
          </w:p>
        </w:tc>
        <w:tc>
          <w:tcPr>
            <w:tcW w:w="30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257</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6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60" w:type="dxa"/>
            <w:vAlign w:val="bottom"/>
          </w:tcPr>
          <w:p>
            <w:pPr>
              <w:ind w:left="80"/>
              <w:spacing w:after="0" w:line="104" w:lineRule="exact"/>
              <w:rPr>
                <w:sz w:val="20"/>
                <w:szCs w:val="20"/>
                <w:color w:val="auto"/>
              </w:rPr>
            </w:pPr>
            <w:r>
              <w:rPr>
                <w:rFonts w:ascii="Arial" w:cs="Arial" w:eastAsia="Arial" w:hAnsi="Arial"/>
                <w:sz w:val="10"/>
                <w:szCs w:val="10"/>
                <w:color w:val="auto"/>
              </w:rPr>
              <w:t>Proved</w:t>
            </w: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Unproved</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b w:val="1"/>
                <w:bCs w:val="1"/>
                <w:color w:val="auto"/>
              </w:rPr>
              <w:t>1</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576</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b w:val="1"/>
                <w:bCs w:val="1"/>
                <w:color w:val="auto"/>
              </w:rPr>
              <w:t>2</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579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b w:val="1"/>
                <w:bCs w:val="1"/>
                <w:color w:val="auto"/>
              </w:rPr>
              <w:t>280</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280</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859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property acquisitions</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578</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89</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667</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449</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449</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1,116</w:t>
            </w: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ind w:left="200"/>
              <w:spacing w:after="0"/>
              <w:rPr>
                <w:sz w:val="20"/>
                <w:szCs w:val="20"/>
                <w:color w:val="auto"/>
              </w:rPr>
            </w:pPr>
            <w:r>
              <w:rPr>
                <w:rFonts w:ascii="Arial" w:cs="Arial" w:eastAsia="Arial" w:hAnsi="Arial"/>
                <w:sz w:val="5"/>
                <w:szCs w:val="5"/>
                <w:b w:val="1"/>
                <w:bCs w:val="1"/>
                <w:color w:val="auto"/>
                <w:w w:val="70"/>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1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928</w:t>
            </w:r>
          </w:p>
        </w:tc>
        <w:tc>
          <w:tcPr>
            <w:tcW w:w="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1,923</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1,497</w:t>
            </w:r>
          </w:p>
        </w:tc>
        <w:tc>
          <w:tcPr>
            <w:tcW w:w="40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4,348</w:t>
            </w:r>
          </w:p>
        </w:tc>
        <w:tc>
          <w:tcPr>
            <w:tcW w:w="1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3,723</w:t>
            </w:r>
          </w:p>
        </w:tc>
        <w:tc>
          <w:tcPr>
            <w:tcW w:w="2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4,484</w:t>
            </w:r>
          </w:p>
        </w:tc>
        <w:tc>
          <w:tcPr>
            <w:tcW w:w="3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753</w:t>
            </w:r>
          </w:p>
        </w:tc>
        <w:tc>
          <w:tcPr>
            <w:tcW w:w="3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1,879</w:t>
            </w:r>
          </w:p>
        </w:tc>
        <w:tc>
          <w:tcPr>
            <w:tcW w:w="34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7"/>
              </w:rPr>
              <w:t>10,839</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1"/>
              </w:rPr>
              <w:t>15,187</w:t>
            </w:r>
          </w:p>
        </w:tc>
        <w:tc>
          <w:tcPr>
            <w:tcW w:w="32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643</w:t>
            </w:r>
          </w:p>
        </w:tc>
        <w:tc>
          <w:tcPr>
            <w:tcW w:w="3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120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18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p>
        </w:tc>
        <w:tc>
          <w:tcPr>
            <w:tcW w:w="1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928</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3,183</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1,632</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5,743</w:t>
            </w:r>
          </w:p>
        </w:tc>
        <w:tc>
          <w:tcPr>
            <w:tcW w:w="520" w:type="dxa"/>
            <w:vAlign w:val="bottom"/>
            <w:tcBorders>
              <w:bottom w:val="single" w:sz="8" w:color="0077C0"/>
            </w:tcBorders>
            <w:gridSpan w:val="3"/>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4,070</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5,449</w:t>
            </w:r>
          </w:p>
        </w:tc>
        <w:tc>
          <w:tcPr>
            <w:tcW w:w="3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821</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2,149</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7"/>
              </w:rPr>
              <w:t>12,489</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1"/>
              </w:rPr>
              <w:t>18,232</w:t>
            </w:r>
          </w:p>
        </w:tc>
        <w:tc>
          <w:tcPr>
            <w:tcW w:w="42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643</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120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18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 31, 2007</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Wells</w:t>
            </w:r>
          </w:p>
        </w:tc>
        <w:tc>
          <w:tcPr>
            <w:tcW w:w="10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4</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430</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18</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452</w:t>
            </w: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202</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156</w:t>
            </w:r>
          </w:p>
        </w:tc>
        <w:tc>
          <w:tcPr>
            <w:tcW w:w="3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195</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556</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1,008</w:t>
            </w:r>
          </w:p>
        </w:tc>
        <w:tc>
          <w:tcPr>
            <w:tcW w:w="4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ind w:left="200"/>
              <w:spacing w:after="0"/>
              <w:rPr>
                <w:sz w:val="20"/>
                <w:szCs w:val="20"/>
                <w:color w:val="auto"/>
              </w:rPr>
            </w:pPr>
            <w:r>
              <w:rPr>
                <w:rFonts w:ascii="Arial" w:cs="Arial" w:eastAsia="Arial" w:hAnsi="Arial"/>
                <w:sz w:val="5"/>
                <w:szCs w:val="5"/>
                <w:color w:val="auto"/>
                <w:w w:val="70"/>
              </w:rPr>
              <w:t>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Geological and geophysical</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59</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14</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73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136</w:t>
            </w:r>
          </w:p>
        </w:tc>
        <w:tc>
          <w:tcPr>
            <w:tcW w:w="2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48</w:t>
            </w:r>
          </w:p>
        </w:tc>
        <w:tc>
          <w:tcPr>
            <w:tcW w:w="36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w:t>
            </w:r>
          </w:p>
        </w:tc>
        <w:tc>
          <w:tcPr>
            <w:tcW w:w="30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98</w:t>
            </w:r>
          </w:p>
        </w:tc>
        <w:tc>
          <w:tcPr>
            <w:tcW w:w="340" w:type="dxa"/>
            <w:vAlign w:val="bottom"/>
          </w:tcPr>
          <w:p>
            <w:pPr>
              <w:spacing w:after="0"/>
              <w:rPr>
                <w:sz w:val="9"/>
                <w:szCs w:val="9"/>
                <w:color w:val="auto"/>
              </w:rPr>
            </w:pP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293</w:t>
            </w:r>
          </w:p>
        </w:tc>
        <w:tc>
          <w:tcPr>
            <w:tcW w:w="3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366</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36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Rentals and other</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128</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color w:val="auto"/>
              </w:rPr>
              <w:t>5</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70</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120</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50</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79</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319</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452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exploration</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4</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617</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37</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658</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408</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324</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64</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372</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1,168</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1,826</w:t>
            </w: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ind w:left="200"/>
              <w:spacing w:after="0"/>
              <w:rPr>
                <w:sz w:val="20"/>
                <w:szCs w:val="20"/>
                <w:color w:val="auto"/>
              </w:rPr>
            </w:pPr>
            <w:r>
              <w:rPr>
                <w:rFonts w:ascii="Arial" w:cs="Arial" w:eastAsia="Arial" w:hAnsi="Arial"/>
                <w:sz w:val="5"/>
                <w:szCs w:val="5"/>
                <w:color w:val="auto"/>
                <w:w w:val="70"/>
              </w:rPr>
              <w:t>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Proved</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10</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220</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13</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243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w:t>
            </w:r>
          </w:p>
        </w:tc>
        <w:tc>
          <w:tcPr>
            <w:tcW w:w="2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92</w:t>
            </w:r>
          </w:p>
        </w:tc>
        <w:tc>
          <w:tcPr>
            <w:tcW w:w="36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w:t>
            </w:r>
          </w:p>
        </w:tc>
        <w:tc>
          <w:tcPr>
            <w:tcW w:w="340" w:type="dxa"/>
            <w:vAlign w:val="bottom"/>
          </w:tcPr>
          <w:p>
            <w:pPr>
              <w:spacing w:after="0"/>
              <w:rPr>
                <w:sz w:val="9"/>
                <w:szCs w:val="9"/>
                <w:color w:val="auto"/>
              </w:rPr>
            </w:pP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95</w:t>
            </w:r>
          </w:p>
        </w:tc>
        <w:tc>
          <w:tcPr>
            <w:tcW w:w="3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338</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36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Unproved</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color w:val="auto"/>
              </w:rPr>
              <w:t>35</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75</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color w:val="auto"/>
              </w:rPr>
              <w:t>3</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113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8</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35</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24</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67</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180</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property acquisitions</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45</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295</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16</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356</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13</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127</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22</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162</w:t>
            </w:r>
          </w:p>
        </w:tc>
        <w:tc>
          <w:tcPr>
            <w:tcW w:w="300" w:type="dxa"/>
            <w:vAlign w:val="bottom"/>
            <w:tcBorders>
              <w:top w:val="single" w:sz="8" w:color="0077C0"/>
              <w:bottom w:val="single" w:sz="8" w:color="0077C0"/>
            </w:tcBorders>
          </w:tcPr>
          <w:p>
            <w:pPr>
              <w:spacing w:after="0"/>
              <w:rPr>
                <w:sz w:val="9"/>
                <w:szCs w:val="9"/>
                <w:color w:val="auto"/>
              </w:rPr>
            </w:pP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518</w:t>
            </w:r>
          </w:p>
        </w:tc>
        <w:tc>
          <w:tcPr>
            <w:tcW w:w="12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ind w:left="200"/>
              <w:spacing w:after="0"/>
              <w:rPr>
                <w:sz w:val="20"/>
                <w:szCs w:val="20"/>
                <w:color w:val="auto"/>
              </w:rPr>
            </w:pPr>
            <w:r>
              <w:rPr>
                <w:rFonts w:ascii="Arial" w:cs="Arial" w:eastAsia="Arial" w:hAnsi="Arial"/>
                <w:sz w:val="5"/>
                <w:szCs w:val="5"/>
                <w:color w:val="auto"/>
                <w:w w:val="70"/>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1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w w:val="95"/>
              </w:rPr>
              <w:t>1,198</w:t>
            </w:r>
          </w:p>
        </w:tc>
        <w:tc>
          <w:tcPr>
            <w:tcW w:w="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2,237</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1,775</w:t>
            </w:r>
          </w:p>
        </w:tc>
        <w:tc>
          <w:tcPr>
            <w:tcW w:w="40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5,210</w:t>
            </w:r>
          </w:p>
        </w:tc>
        <w:tc>
          <w:tcPr>
            <w:tcW w:w="1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4,176</w:t>
            </w:r>
          </w:p>
        </w:tc>
        <w:tc>
          <w:tcPr>
            <w:tcW w:w="2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1,897</w:t>
            </w:r>
          </w:p>
        </w:tc>
        <w:tc>
          <w:tcPr>
            <w:tcW w:w="3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620</w:t>
            </w:r>
          </w:p>
        </w:tc>
        <w:tc>
          <w:tcPr>
            <w:tcW w:w="3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95"/>
              </w:rPr>
              <w:t>1,504</w:t>
            </w:r>
          </w:p>
        </w:tc>
        <w:tc>
          <w:tcPr>
            <w:tcW w:w="34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8,197</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w w:val="91"/>
              </w:rPr>
              <w:t>13,407</w:t>
            </w:r>
          </w:p>
        </w:tc>
        <w:tc>
          <w:tcPr>
            <w:tcW w:w="32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832</w:t>
            </w:r>
          </w:p>
        </w:tc>
        <w:tc>
          <w:tcPr>
            <w:tcW w:w="3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18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p>
        </w:tc>
        <w:tc>
          <w:tcPr>
            <w:tcW w:w="1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w w:val="95"/>
              </w:rPr>
              <w:t>1,247</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3,149</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1,828</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6,224</w:t>
            </w:r>
          </w:p>
        </w:tc>
        <w:tc>
          <w:tcPr>
            <w:tcW w:w="520" w:type="dxa"/>
            <w:vAlign w:val="bottom"/>
            <w:tcBorders>
              <w:bottom w:val="single" w:sz="8" w:color="0077C0"/>
            </w:tcBorders>
            <w:gridSpan w:val="3"/>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4,597</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2,348</w:t>
            </w:r>
          </w:p>
        </w:tc>
        <w:tc>
          <w:tcPr>
            <w:tcW w:w="3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684</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95"/>
              </w:rPr>
              <w:t>1,898</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9,527</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w w:val="91"/>
              </w:rPr>
              <w:t>15,751</w:t>
            </w:r>
          </w:p>
        </w:tc>
        <w:tc>
          <w:tcPr>
            <w:tcW w:w="42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832</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18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 31, 2006</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Wells</w:t>
            </w:r>
          </w:p>
        </w:tc>
        <w:tc>
          <w:tcPr>
            <w:tcW w:w="10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493</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22</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515</w:t>
            </w:r>
          </w:p>
        </w:tc>
        <w:tc>
          <w:tcPr>
            <w:tcW w:w="52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151</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121</w:t>
            </w:r>
          </w:p>
        </w:tc>
        <w:tc>
          <w:tcPr>
            <w:tcW w:w="3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20</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246</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538</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1,053</w:t>
            </w:r>
          </w:p>
        </w:tc>
        <w:tc>
          <w:tcPr>
            <w:tcW w:w="4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6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Geological and geophysical</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96</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8</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104</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180</w:t>
            </w:r>
          </w:p>
        </w:tc>
        <w:tc>
          <w:tcPr>
            <w:tcW w:w="2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53</w:t>
            </w:r>
          </w:p>
        </w:tc>
        <w:tc>
          <w:tcPr>
            <w:tcW w:w="36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12</w:t>
            </w:r>
          </w:p>
        </w:tc>
        <w:tc>
          <w:tcPr>
            <w:tcW w:w="30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92</w:t>
            </w:r>
          </w:p>
        </w:tc>
        <w:tc>
          <w:tcPr>
            <w:tcW w:w="340" w:type="dxa"/>
            <w:vAlign w:val="bottom"/>
          </w:tcPr>
          <w:p>
            <w:pPr>
              <w:spacing w:after="0"/>
              <w:rPr>
                <w:sz w:val="9"/>
                <w:szCs w:val="9"/>
                <w:color w:val="auto"/>
              </w:rPr>
            </w:pP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337</w:t>
            </w:r>
          </w:p>
        </w:tc>
        <w:tc>
          <w:tcPr>
            <w:tcW w:w="3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441</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36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Rentals and other</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116</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color w:val="auto"/>
              </w:rPr>
              <w:t>16</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132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48</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140</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58</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50</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296</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428</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exploration</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705</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46</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751</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379</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314</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90</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388</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1,171</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1,922</w:t>
            </w: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25</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ind w:left="200"/>
              <w:spacing w:after="0"/>
              <w:rPr>
                <w:sz w:val="20"/>
                <w:szCs w:val="20"/>
                <w:color w:val="auto"/>
              </w:rPr>
            </w:pPr>
            <w:r>
              <w:rPr>
                <w:rFonts w:ascii="Arial" w:cs="Arial" w:eastAsia="Arial" w:hAnsi="Arial"/>
                <w:sz w:val="5"/>
                <w:szCs w:val="5"/>
                <w:color w:val="auto"/>
                <w:w w:val="70"/>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Proved</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152</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158</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10</w:t>
            </w:r>
          </w:p>
        </w:tc>
        <w:tc>
          <w:tcPr>
            <w:tcW w:w="36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15</w:t>
            </w:r>
          </w:p>
        </w:tc>
        <w:tc>
          <w:tcPr>
            <w:tcW w:w="340" w:type="dxa"/>
            <w:vAlign w:val="bottom"/>
          </w:tcPr>
          <w:p>
            <w:pPr>
              <w:spacing w:after="0"/>
              <w:rPr>
                <w:sz w:val="9"/>
                <w:szCs w:val="9"/>
                <w:color w:val="auto"/>
              </w:rPr>
            </w:pPr>
          </w:p>
        </w:tc>
        <w:tc>
          <w:tcPr>
            <w:tcW w:w="54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26</w:t>
            </w:r>
          </w:p>
        </w:tc>
        <w:tc>
          <w:tcPr>
            <w:tcW w:w="3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184</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581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Unproved</w:t>
            </w:r>
          </w:p>
        </w:tc>
        <w:tc>
          <w:tcPr>
            <w:tcW w:w="100" w:type="dxa"/>
            <w:vAlign w:val="bottom"/>
          </w:tcPr>
          <w:p>
            <w:pPr>
              <w:spacing w:after="0"/>
              <w:rPr>
                <w:sz w:val="10"/>
                <w:szCs w:val="10"/>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color w:val="auto"/>
              </w:rPr>
              <w:t>1</w:t>
            </w:r>
          </w:p>
        </w:tc>
        <w:tc>
          <w:tcPr>
            <w:tcW w:w="26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47</w:t>
            </w:r>
          </w:p>
        </w:tc>
        <w:tc>
          <w:tcPr>
            <w:tcW w:w="300" w:type="dxa"/>
            <w:vAlign w:val="bottom"/>
          </w:tcPr>
          <w:p>
            <w:pPr>
              <w:spacing w:after="0"/>
              <w:rPr>
                <w:sz w:val="10"/>
                <w:szCs w:val="10"/>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color w:val="auto"/>
              </w:rPr>
              <w:t>10</w:t>
            </w:r>
          </w:p>
        </w:tc>
        <w:tc>
          <w:tcPr>
            <w:tcW w:w="4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58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1</w:t>
            </w:r>
          </w:p>
        </w:tc>
        <w:tc>
          <w:tcPr>
            <w:tcW w:w="36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135</w:t>
            </w:r>
          </w:p>
        </w:tc>
        <w:tc>
          <w:tcPr>
            <w:tcW w:w="3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136</w:t>
            </w:r>
          </w:p>
        </w:tc>
        <w:tc>
          <w:tcPr>
            <w:tcW w:w="3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194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360" w:type="dxa"/>
            <w:vAlign w:val="bottom"/>
            <w:gridSpan w:val="2"/>
          </w:tcPr>
          <w:p>
            <w:pPr>
              <w:ind w:left="2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top w:val="single" w:sz="8" w:color="0077C0"/>
              <w:bottom w:val="single" w:sz="8" w:color="0077C0"/>
            </w:tcBorders>
          </w:tcPr>
          <w:p>
            <w:pPr>
              <w:ind w:left="80"/>
              <w:spacing w:after="0" w:line="105" w:lineRule="exact"/>
              <w:rPr>
                <w:sz w:val="20"/>
                <w:szCs w:val="20"/>
                <w:color w:val="auto"/>
              </w:rPr>
            </w:pPr>
            <w:r>
              <w:rPr>
                <w:rFonts w:ascii="Arial" w:cs="Arial" w:eastAsia="Arial" w:hAnsi="Arial"/>
                <w:sz w:val="10"/>
                <w:szCs w:val="10"/>
                <w:color w:val="auto"/>
              </w:rPr>
              <w:t>Total property acquisitions</w:t>
            </w:r>
          </w:p>
        </w:tc>
        <w:tc>
          <w:tcPr>
            <w:tcW w:w="1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7</w:t>
            </w:r>
          </w:p>
        </w:tc>
        <w:tc>
          <w:tcPr>
            <w:tcW w:w="26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199</w:t>
            </w:r>
          </w:p>
        </w:tc>
        <w:tc>
          <w:tcPr>
            <w:tcW w:w="300" w:type="dxa"/>
            <w:vAlign w:val="bottom"/>
            <w:tcBorders>
              <w:top w:val="single" w:sz="8" w:color="0077C0"/>
              <w:bottom w:val="single" w:sz="8" w:color="0077C0"/>
            </w:tcBorders>
          </w:tcPr>
          <w:p>
            <w:pPr>
              <w:spacing w:after="0"/>
              <w:rPr>
                <w:sz w:val="9"/>
                <w:szCs w:val="9"/>
                <w:color w:val="auto"/>
              </w:rPr>
            </w:pPr>
          </w:p>
        </w:tc>
        <w:tc>
          <w:tcPr>
            <w:tcW w:w="4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10</w:t>
            </w:r>
          </w:p>
        </w:tc>
        <w:tc>
          <w:tcPr>
            <w:tcW w:w="400" w:type="dxa"/>
            <w:vAlign w:val="bottom"/>
            <w:tcBorders>
              <w:top w:val="single" w:sz="8" w:color="0077C0"/>
              <w:bottom w:val="single" w:sz="8" w:color="0077C0"/>
            </w:tcBorders>
          </w:tcPr>
          <w:p>
            <w:pPr>
              <w:spacing w:after="0"/>
              <w:rPr>
                <w:sz w:val="9"/>
                <w:szCs w:val="9"/>
                <w:color w:val="auto"/>
              </w:rPr>
            </w:pP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216</w:t>
            </w:r>
          </w:p>
        </w:tc>
        <w:tc>
          <w:tcPr>
            <w:tcW w:w="10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w:t>
            </w:r>
          </w:p>
        </w:tc>
        <w:tc>
          <w:tcPr>
            <w:tcW w:w="28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11</w:t>
            </w:r>
          </w:p>
        </w:tc>
        <w:tc>
          <w:tcPr>
            <w:tcW w:w="36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150</w:t>
            </w:r>
          </w:p>
        </w:tc>
        <w:tc>
          <w:tcPr>
            <w:tcW w:w="3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162</w:t>
            </w:r>
          </w:p>
        </w:tc>
        <w:tc>
          <w:tcPr>
            <w:tcW w:w="300" w:type="dxa"/>
            <w:vAlign w:val="bottom"/>
            <w:tcBorders>
              <w:top w:val="single" w:sz="8" w:color="0077C0"/>
              <w:bottom w:val="single" w:sz="8" w:color="0077C0"/>
            </w:tcBorders>
          </w:tcPr>
          <w:p>
            <w:pPr>
              <w:spacing w:after="0"/>
              <w:rPr>
                <w:sz w:val="9"/>
                <w:szCs w:val="9"/>
                <w:color w:val="auto"/>
              </w:rPr>
            </w:pP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378</w:t>
            </w:r>
          </w:p>
        </w:tc>
        <w:tc>
          <w:tcPr>
            <w:tcW w:w="12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1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581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1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1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686</w:t>
            </w:r>
          </w:p>
        </w:tc>
        <w:tc>
          <w:tcPr>
            <w:tcW w:w="2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1,632</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868</w:t>
            </w:r>
          </w:p>
        </w:tc>
        <w:tc>
          <w:tcPr>
            <w:tcW w:w="40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3,186</w:t>
            </w:r>
          </w:p>
        </w:tc>
        <w:tc>
          <w:tcPr>
            <w:tcW w:w="1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2,890</w:t>
            </w:r>
          </w:p>
        </w:tc>
        <w:tc>
          <w:tcPr>
            <w:tcW w:w="2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1,788</w:t>
            </w:r>
          </w:p>
        </w:tc>
        <w:tc>
          <w:tcPr>
            <w:tcW w:w="3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460</w:t>
            </w:r>
          </w:p>
        </w:tc>
        <w:tc>
          <w:tcPr>
            <w:tcW w:w="3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95"/>
              </w:rPr>
              <w:t>1,019</w:t>
            </w:r>
          </w:p>
        </w:tc>
        <w:tc>
          <w:tcPr>
            <w:tcW w:w="34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6,157</w:t>
            </w:r>
          </w:p>
        </w:tc>
        <w:tc>
          <w:tcPr>
            <w:tcW w:w="30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9,343</w:t>
            </w:r>
          </w:p>
        </w:tc>
        <w:tc>
          <w:tcPr>
            <w:tcW w:w="320" w:type="dxa"/>
            <w:vAlign w:val="bottom"/>
            <w:tcBorders>
              <w:bottom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671</w:t>
            </w:r>
          </w:p>
        </w:tc>
        <w:tc>
          <w:tcPr>
            <w:tcW w:w="3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18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p>
        </w:tc>
        <w:tc>
          <w:tcPr>
            <w:tcW w:w="1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color w:val="auto"/>
              </w:rPr>
              <w:t>693</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2,536</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924</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4,153</w:t>
            </w:r>
          </w:p>
        </w:tc>
        <w:tc>
          <w:tcPr>
            <w:tcW w:w="520" w:type="dxa"/>
            <w:vAlign w:val="bottom"/>
            <w:tcBorders>
              <w:bottom w:val="single" w:sz="8" w:color="0077C0"/>
            </w:tcBorders>
            <w:gridSpan w:val="3"/>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3,270</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2,113</w:t>
            </w:r>
          </w:p>
        </w:tc>
        <w:tc>
          <w:tcPr>
            <w:tcW w:w="3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550</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95"/>
              </w:rPr>
              <w:t>1,557</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7,490</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11,643</w:t>
            </w:r>
          </w:p>
        </w:tc>
        <w:tc>
          <w:tcPr>
            <w:tcW w:w="12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696</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20" w:hanging="143"/>
        <w:spacing w:after="0"/>
        <w:tabs>
          <w:tab w:leader="none" w:pos="220" w:val="left"/>
        </w:tabs>
        <w:numPr>
          <w:ilvl w:val="0"/>
          <w:numId w:val="56"/>
        </w:numPr>
        <w:rPr>
          <w:rFonts w:ascii="Arial" w:cs="Arial" w:eastAsia="Arial" w:hAnsi="Arial"/>
          <w:sz w:val="7"/>
          <w:szCs w:val="7"/>
          <w:color w:val="auto"/>
        </w:rPr>
      </w:pPr>
      <w:r>
        <w:rPr>
          <w:rFonts w:ascii="Arial" w:cs="Arial" w:eastAsia="Arial" w:hAnsi="Arial"/>
          <w:sz w:val="8"/>
          <w:szCs w:val="8"/>
          <w:color w:val="auto"/>
        </w:rPr>
        <w:t>Includes costs incurred whether capitalized or expensed. Excludes general support equipment expenditures. Includes capitalized amounts related to asset retirement obligations. See Note 24, “Asset Retirement Obligations,” beginning on page FS-58.</w:t>
      </w:r>
    </w:p>
    <w:p>
      <w:pPr>
        <w:spacing w:after="0" w:line="13" w:lineRule="exact"/>
        <w:rPr>
          <w:rFonts w:ascii="Arial" w:cs="Arial" w:eastAsia="Arial" w:hAnsi="Arial"/>
          <w:sz w:val="7"/>
          <w:szCs w:val="7"/>
          <w:color w:val="auto"/>
        </w:rPr>
      </w:pPr>
    </w:p>
    <w:p>
      <w:pPr>
        <w:ind w:left="80" w:right="6600"/>
        <w:spacing w:after="0" w:line="385" w:lineRule="auto"/>
        <w:rPr>
          <w:rFonts w:ascii="Arial" w:cs="Arial" w:eastAsia="Arial" w:hAnsi="Arial"/>
          <w:sz w:val="7"/>
          <w:szCs w:val="7"/>
          <w:color w:val="auto"/>
        </w:rPr>
      </w:pPr>
      <w:r>
        <w:rPr>
          <w:rFonts w:ascii="Arial" w:cs="Arial" w:eastAsia="Arial" w:hAnsi="Arial"/>
          <w:sz w:val="6"/>
          <w:szCs w:val="6"/>
          <w:color w:val="auto"/>
        </w:rPr>
        <w:t xml:space="preserve">2 </w:t>
      </w:r>
      <w:r>
        <w:rPr>
          <w:rFonts w:ascii="Arial" w:cs="Arial" w:eastAsia="Arial" w:hAnsi="Arial"/>
          <w:sz w:val="7"/>
          <w:szCs w:val="7"/>
          <w:color w:val="auto"/>
        </w:rPr>
        <w:t>Includes wells, equipment and facilities associated with proved reserves. Does not include properties acquired in nonmonetary transactions.</w:t>
      </w:r>
      <w:r>
        <w:rPr>
          <w:rFonts w:ascii="Arial" w:cs="Arial" w:eastAsia="Arial" w:hAnsi="Arial"/>
          <w:sz w:val="6"/>
          <w:szCs w:val="6"/>
          <w:color w:val="auto"/>
        </w:rPr>
        <w:t xml:space="preserve"> 3 </w:t>
      </w:r>
      <w:r>
        <w:rPr>
          <w:rFonts w:ascii="Arial" w:cs="Arial" w:eastAsia="Arial" w:hAnsi="Arial"/>
          <w:sz w:val="7"/>
          <w:szCs w:val="7"/>
          <w:color w:val="auto"/>
        </w:rPr>
        <w:t>Includes $224, $99 and $160 costs incurred prior to assignment of proved reserves in 2008, 2007 and 2006, respectively.</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6286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II </w:t>
      </w:r>
      <w:r>
        <w:rPr>
          <w:rFonts w:ascii="Arial" w:cs="Arial" w:eastAsia="Arial" w:hAnsi="Arial"/>
          <w:sz w:val="8"/>
          <w:szCs w:val="8"/>
          <w:color w:val="000000"/>
        </w:rPr>
        <w:t>Capitalized Costs Related to Oil and</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9"/>
          <w:szCs w:val="9"/>
          <w:color w:val="auto"/>
        </w:rPr>
        <w:t>Gas Producing Activities</w:t>
      </w:r>
    </w:p>
    <w:p>
      <w:pPr>
        <w:sectPr>
          <w:pgSz w:w="11900" w:h="16838" w:orient="portrait"/>
          <w:cols w:equalWidth="0" w:num="1">
            <w:col w:w="11480"/>
          </w:cols>
          <w:pgMar w:left="220" w:top="338" w:right="199" w:bottom="1440" w:gutter="0" w:footer="0" w:header="0"/>
        </w:sectPr>
      </w:pPr>
    </w:p>
    <w:p>
      <w:pPr>
        <w:spacing w:after="0" w:line="372" w:lineRule="exact"/>
        <w:rPr>
          <w:sz w:val="20"/>
          <w:szCs w:val="20"/>
          <w:color w:val="auto"/>
        </w:rPr>
      </w:pPr>
    </w:p>
    <w:p>
      <w:pPr>
        <w:spacing w:after="0" w:line="314" w:lineRule="auto"/>
        <w:rPr>
          <w:sz w:val="20"/>
          <w:szCs w:val="20"/>
          <w:color w:val="auto"/>
        </w:rPr>
      </w:pPr>
      <w:r>
        <w:rPr>
          <w:rFonts w:ascii="Arial" w:cs="Arial" w:eastAsia="Arial" w:hAnsi="Arial"/>
          <w:sz w:val="11"/>
          <w:szCs w:val="11"/>
          <w:color w:val="auto"/>
        </w:rPr>
        <w:t>geographic area includes activities principally in Australia, Azerbaijan, Bangladesh, China, Kazakhstan, Myanmar, the Partitioned Neutral Zone between Kuwait and Saudi Arabia, the Philippines, and Thailand. The international “Other” geographic category includes activities in Argentina, Brazil, Canada, Colombia, Denmark, the Netherlands, Norway, Trinidad and Tobago, Venezuela, the United Kingdom, and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40"/>
        <w:spacing w:after="0" w:line="281" w:lineRule="auto"/>
        <w:rPr>
          <w:sz w:val="20"/>
          <w:szCs w:val="20"/>
          <w:color w:val="auto"/>
        </w:rPr>
      </w:pPr>
      <w:r>
        <w:rPr>
          <w:rFonts w:ascii="Arial" w:cs="Arial" w:eastAsia="Arial" w:hAnsi="Arial"/>
          <w:sz w:val="12"/>
          <w:szCs w:val="12"/>
          <w:color w:val="auto"/>
        </w:rPr>
        <w:t>other countries. Amounts for TCO represent Chevron’s 50 percent equity share of Tengizchevroil, an exploration and production partnership in the Republic of Kazakhstan. The affiliated companies “Other” amounts are composed of the company’s equity interests in Venezuela, Angola and Russia. Refer to Note 12 beginning on page FS-41 for a discussion of the company’s major equity affiliates.</w:t>
      </w:r>
    </w:p>
    <w:p>
      <w:pPr>
        <w:spacing w:after="0" w:line="215" w:lineRule="exact"/>
        <w:rPr>
          <w:sz w:val="20"/>
          <w:szCs w:val="20"/>
          <w:color w:val="auto"/>
        </w:rPr>
      </w:pPr>
    </w:p>
    <w:p>
      <w:pPr>
        <w:sectPr>
          <w:pgSz w:w="11900" w:h="16838" w:orient="portrait"/>
          <w:cols w:equalWidth="0" w:num="2">
            <w:col w:w="5440" w:space="520"/>
            <w:col w:w="5520"/>
          </w:cols>
          <w:pgMar w:left="220" w:top="338" w:right="19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Table II - Capitalized Costs Related to Oil and Gas Producing Activities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0"/>
                <w:szCs w:val="10"/>
                <w:color w:val="auto"/>
              </w:rPr>
              <w:t>Consolidated Companies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2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spacing w:after="0"/>
              <w:rPr>
                <w:sz w:val="8"/>
                <w:szCs w:val="8"/>
                <w:color w:val="auto"/>
              </w:rPr>
            </w:pPr>
          </w:p>
        </w:tc>
        <w:tc>
          <w:tcPr>
            <w:tcW w:w="68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United States</w:t>
            </w:r>
          </w:p>
        </w:tc>
        <w:tc>
          <w:tcPr>
            <w:tcW w:w="1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620" w:type="dxa"/>
            <w:vAlign w:val="bottom"/>
            <w:tcBorders>
              <w:top w:val="single" w:sz="8" w:color="0077C0"/>
              <w:bottom w:val="single" w:sz="8" w:color="0077C0"/>
            </w:tcBorders>
          </w:tcPr>
          <w:p>
            <w:pPr>
              <w:spacing w:after="0"/>
              <w:rPr>
                <w:sz w:val="8"/>
                <w:szCs w:val="8"/>
                <w:color w:val="auto"/>
              </w:rPr>
            </w:pPr>
          </w:p>
        </w:tc>
        <w:tc>
          <w:tcPr>
            <w:tcW w:w="20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spacing w:after="0"/>
              <w:rPr>
                <w:sz w:val="8"/>
                <w:szCs w:val="8"/>
                <w:color w:val="auto"/>
              </w:rPr>
            </w:pPr>
          </w:p>
        </w:tc>
        <w:tc>
          <w:tcPr>
            <w:tcW w:w="28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spacing w:after="0"/>
              <w:rPr>
                <w:sz w:val="8"/>
                <w:szCs w:val="8"/>
                <w:color w:val="auto"/>
              </w:rPr>
            </w:pPr>
          </w:p>
        </w:tc>
        <w:tc>
          <w:tcPr>
            <w:tcW w:w="66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International</w:t>
            </w:r>
          </w:p>
        </w:tc>
        <w:tc>
          <w:tcPr>
            <w:tcW w:w="2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4"/>
            <w:vMerge w:val="restart"/>
          </w:tcPr>
          <w:p>
            <w:pPr>
              <w:jc w:val="right"/>
              <w:ind w:right="12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jc w:val="right"/>
              <w:ind w:right="149"/>
              <w:spacing w:after="0" w:line="95" w:lineRule="exact"/>
              <w:rPr>
                <w:sz w:val="20"/>
                <w:szCs w:val="20"/>
                <w:color w:val="auto"/>
              </w:rPr>
            </w:pPr>
            <w:r>
              <w:rPr>
                <w:rFonts w:ascii="Arial" w:cs="Arial" w:eastAsia="Arial" w:hAnsi="Arial"/>
                <w:sz w:val="10"/>
                <w:szCs w:val="10"/>
                <w:color w:val="auto"/>
              </w:rPr>
              <w:t>Gulf of</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Asia-</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Total</w:t>
            </w: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2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dollars</w:t>
            </w:r>
          </w:p>
        </w:tc>
        <w:tc>
          <w:tcPr>
            <w:tcW w:w="8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Calif.</w:t>
            </w:r>
          </w:p>
        </w:tc>
        <w:tc>
          <w:tcPr>
            <w:tcW w:w="280" w:type="dxa"/>
            <w:vAlign w:val="bottom"/>
          </w:tcPr>
          <w:p>
            <w:pPr>
              <w:spacing w:after="0"/>
              <w:rPr>
                <w:sz w:val="8"/>
                <w:szCs w:val="8"/>
                <w:color w:val="auto"/>
              </w:rPr>
            </w:pPr>
          </w:p>
        </w:tc>
        <w:tc>
          <w:tcPr>
            <w:tcW w:w="520" w:type="dxa"/>
            <w:vAlign w:val="bottom"/>
          </w:tcPr>
          <w:p>
            <w:pPr>
              <w:jc w:val="right"/>
              <w:ind w:right="149"/>
              <w:spacing w:after="0" w:line="95" w:lineRule="exact"/>
              <w:rPr>
                <w:sz w:val="20"/>
                <w:szCs w:val="20"/>
                <w:color w:val="auto"/>
              </w:rPr>
            </w:pPr>
            <w:r>
              <w:rPr>
                <w:rFonts w:ascii="Arial" w:cs="Arial" w:eastAsia="Arial" w:hAnsi="Arial"/>
                <w:sz w:val="10"/>
                <w:szCs w:val="10"/>
                <w:color w:val="auto"/>
                <w:w w:val="94"/>
              </w:rPr>
              <w:t>Mexico</w:t>
            </w:r>
          </w:p>
        </w:tc>
        <w:tc>
          <w:tcPr>
            <w:tcW w:w="300" w:type="dxa"/>
            <w:vAlign w:val="bottom"/>
          </w:tcPr>
          <w:p>
            <w:pPr>
              <w:spacing w:after="0"/>
              <w:rPr>
                <w:sz w:val="8"/>
                <w:szCs w:val="8"/>
                <w:color w:val="auto"/>
              </w:rPr>
            </w:pPr>
          </w:p>
        </w:tc>
        <w:tc>
          <w:tcPr>
            <w:tcW w:w="460" w:type="dxa"/>
            <w:vAlign w:val="bottom"/>
          </w:tcPr>
          <w:p>
            <w:pPr>
              <w:jc w:val="right"/>
              <w:ind w:right="89"/>
              <w:spacing w:after="0" w:line="95" w:lineRule="exact"/>
              <w:rPr>
                <w:sz w:val="20"/>
                <w:szCs w:val="20"/>
                <w:color w:val="auto"/>
              </w:rPr>
            </w:pPr>
            <w:r>
              <w:rPr>
                <w:rFonts w:ascii="Arial" w:cs="Arial" w:eastAsia="Arial" w:hAnsi="Arial"/>
                <w:sz w:val="10"/>
                <w:szCs w:val="10"/>
                <w:color w:val="auto"/>
              </w:rPr>
              <w:t>Other</w:t>
            </w:r>
          </w:p>
        </w:tc>
        <w:tc>
          <w:tcPr>
            <w:tcW w:w="360" w:type="dxa"/>
            <w:vAlign w:val="bottom"/>
          </w:tcPr>
          <w:p>
            <w:pPr>
              <w:spacing w:after="0"/>
              <w:rPr>
                <w:sz w:val="8"/>
                <w:szCs w:val="8"/>
                <w:color w:val="auto"/>
              </w:rPr>
            </w:pPr>
          </w:p>
        </w:tc>
        <w:tc>
          <w:tcPr>
            <w:tcW w:w="320" w:type="dxa"/>
            <w:vAlign w:val="bottom"/>
          </w:tcPr>
          <w:p>
            <w:pPr>
              <w:jc w:val="right"/>
              <w:spacing w:after="0" w:line="95" w:lineRule="exact"/>
              <w:rPr>
                <w:sz w:val="20"/>
                <w:szCs w:val="20"/>
                <w:color w:val="auto"/>
              </w:rPr>
            </w:pPr>
            <w:r>
              <w:rPr>
                <w:rFonts w:ascii="Arial" w:cs="Arial" w:eastAsia="Arial" w:hAnsi="Arial"/>
                <w:sz w:val="10"/>
                <w:szCs w:val="10"/>
                <w:color w:val="auto"/>
              </w:rPr>
              <w:t>U.S.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269"/>
              <w:spacing w:after="0" w:line="95" w:lineRule="exact"/>
              <w:rPr>
                <w:sz w:val="20"/>
                <w:szCs w:val="20"/>
                <w:color w:val="auto"/>
              </w:rPr>
            </w:pPr>
            <w:r>
              <w:rPr>
                <w:rFonts w:ascii="Arial" w:cs="Arial" w:eastAsia="Arial" w:hAnsi="Arial"/>
                <w:sz w:val="10"/>
                <w:szCs w:val="10"/>
                <w:color w:val="auto"/>
              </w:rPr>
              <w:t>Africa</w:t>
            </w:r>
          </w:p>
        </w:tc>
        <w:tc>
          <w:tcPr>
            <w:tcW w:w="20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w w:val="94"/>
              </w:rPr>
              <w:t>Pacific</w:t>
            </w:r>
          </w:p>
        </w:tc>
        <w:tc>
          <w:tcPr>
            <w:tcW w:w="840" w:type="dxa"/>
            <w:vAlign w:val="bottom"/>
            <w:gridSpan w:val="2"/>
          </w:tcPr>
          <w:p>
            <w:pPr>
              <w:jc w:val="right"/>
              <w:ind w:right="169"/>
              <w:spacing w:after="0" w:line="95" w:lineRule="exact"/>
              <w:rPr>
                <w:sz w:val="20"/>
                <w:szCs w:val="20"/>
                <w:color w:val="auto"/>
              </w:rPr>
            </w:pPr>
            <w:r>
              <w:rPr>
                <w:rFonts w:ascii="Arial" w:cs="Arial" w:eastAsia="Arial" w:hAnsi="Arial"/>
                <w:sz w:val="10"/>
                <w:szCs w:val="10"/>
                <w:color w:val="auto"/>
              </w:rPr>
              <w:t>Indonesia</w:t>
            </w:r>
          </w:p>
        </w:tc>
        <w:tc>
          <w:tcPr>
            <w:tcW w:w="280" w:type="dxa"/>
            <w:vAlign w:val="bottom"/>
          </w:tcPr>
          <w:p>
            <w:pPr>
              <w:spacing w:after="0"/>
              <w:rPr>
                <w:sz w:val="8"/>
                <w:szCs w:val="8"/>
                <w:color w:val="auto"/>
              </w:rPr>
            </w:pPr>
          </w:p>
        </w:tc>
        <w:tc>
          <w:tcPr>
            <w:tcW w:w="480" w:type="dxa"/>
            <w:vAlign w:val="bottom"/>
          </w:tcPr>
          <w:p>
            <w:pPr>
              <w:jc w:val="right"/>
              <w:ind w:right="109"/>
              <w:spacing w:after="0" w:line="95" w:lineRule="exact"/>
              <w:rPr>
                <w:sz w:val="20"/>
                <w:szCs w:val="20"/>
                <w:color w:val="auto"/>
              </w:rPr>
            </w:pPr>
            <w:r>
              <w:rPr>
                <w:rFonts w:ascii="Arial" w:cs="Arial" w:eastAsia="Arial" w:hAnsi="Arial"/>
                <w:sz w:val="10"/>
                <w:szCs w:val="10"/>
                <w:color w:val="auto"/>
              </w:rPr>
              <w:t>Other</w:t>
            </w:r>
          </w:p>
        </w:tc>
        <w:tc>
          <w:tcPr>
            <w:tcW w:w="340" w:type="dxa"/>
            <w:vAlign w:val="bottom"/>
          </w:tcPr>
          <w:p>
            <w:pPr>
              <w:spacing w:after="0"/>
              <w:rPr>
                <w:sz w:val="8"/>
                <w:szCs w:val="8"/>
                <w:color w:val="auto"/>
              </w:rPr>
            </w:pPr>
          </w:p>
        </w:tc>
        <w:tc>
          <w:tcPr>
            <w:tcW w:w="520" w:type="dxa"/>
            <w:vAlign w:val="bottom"/>
            <w:gridSpan w:val="2"/>
          </w:tcPr>
          <w:p>
            <w:pPr>
              <w:jc w:val="right"/>
              <w:ind w:right="200"/>
              <w:spacing w:after="0" w:line="95" w:lineRule="exact"/>
              <w:rPr>
                <w:sz w:val="20"/>
                <w:szCs w:val="20"/>
                <w:color w:val="auto"/>
              </w:rPr>
            </w:pPr>
            <w:r>
              <w:rPr>
                <w:rFonts w:ascii="Arial" w:cs="Arial" w:eastAsia="Arial" w:hAnsi="Arial"/>
                <w:sz w:val="10"/>
                <w:szCs w:val="10"/>
                <w:color w:val="auto"/>
              </w:rPr>
              <w:t>Int’l.</w:t>
            </w:r>
          </w:p>
        </w:tc>
        <w:tc>
          <w:tcPr>
            <w:tcW w:w="300" w:type="dxa"/>
            <w:vAlign w:val="bottom"/>
          </w:tcPr>
          <w:p>
            <w:pPr>
              <w:spacing w:after="0"/>
              <w:rPr>
                <w:sz w:val="8"/>
                <w:szCs w:val="8"/>
                <w:color w:val="auto"/>
              </w:rPr>
            </w:pPr>
          </w:p>
        </w:tc>
        <w:tc>
          <w:tcPr>
            <w:tcW w:w="48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rPr>
              <w:t>Total</w:t>
            </w: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TCO</w:t>
            </w: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w w:val="87"/>
              </w:rPr>
              <w:t>Other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shd w:val="clear" w:color="auto" w:fill="0077C0"/>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000" w:type="dxa"/>
            <w:vAlign w:val="bottom"/>
          </w:tcPr>
          <w:p>
            <w:pPr>
              <w:spacing w:after="0" w:line="92" w:lineRule="exact"/>
              <w:rPr>
                <w:sz w:val="20"/>
                <w:szCs w:val="20"/>
                <w:color w:val="auto"/>
              </w:rPr>
            </w:pPr>
            <w:r>
              <w:rPr>
                <w:rFonts w:ascii="Arial" w:cs="Arial" w:eastAsia="Arial" w:hAnsi="Arial"/>
                <w:sz w:val="10"/>
                <w:szCs w:val="10"/>
                <w:b w:val="1"/>
                <w:bCs w:val="1"/>
                <w:color w:val="0077C0"/>
              </w:rPr>
              <w:t>At Dec. 31, 2008</w:t>
            </w:r>
          </w:p>
        </w:tc>
        <w:tc>
          <w:tcPr>
            <w:tcW w:w="80" w:type="dxa"/>
            <w:vAlign w:val="bottom"/>
            <w:vMerge w:val="restart"/>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810</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1,357</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328</w:t>
            </w:r>
          </w:p>
        </w:tc>
        <w:tc>
          <w:tcPr>
            <w:tcW w:w="3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2,495</w:t>
            </w:r>
          </w:p>
        </w:tc>
        <w:tc>
          <w:tcPr>
            <w:tcW w:w="100" w:type="dxa"/>
            <w:vAlign w:val="bottom"/>
            <w:vMerge w:val="restart"/>
          </w:tcPr>
          <w:p>
            <w:pPr>
              <w:spacing w:after="0"/>
              <w:rPr>
                <w:sz w:val="8"/>
                <w:szCs w:val="8"/>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ind w:right="269"/>
              <w:spacing w:after="0"/>
              <w:rPr>
                <w:sz w:val="20"/>
                <w:szCs w:val="20"/>
                <w:color w:val="auto"/>
              </w:rPr>
            </w:pPr>
            <w:r>
              <w:rPr>
                <w:rFonts w:ascii="Arial" w:cs="Arial" w:eastAsia="Arial" w:hAnsi="Arial"/>
                <w:sz w:val="10"/>
                <w:szCs w:val="10"/>
                <w:b w:val="1"/>
                <w:bCs w:val="1"/>
                <w:color w:val="auto"/>
              </w:rPr>
              <w:t>294</w:t>
            </w:r>
          </w:p>
        </w:tc>
        <w:tc>
          <w:tcPr>
            <w:tcW w:w="2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2,788</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651</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912</w:t>
            </w: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4,645</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7,140</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113</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w:t>
            </w: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properties and related producing</w:t>
            </w:r>
          </w:p>
        </w:tc>
        <w:tc>
          <w:tcPr>
            <w:tcW w:w="80" w:type="dxa"/>
            <w:vAlign w:val="bottom"/>
          </w:tcPr>
          <w:p>
            <w:pPr>
              <w:spacing w:after="0"/>
              <w:rPr>
                <w:sz w:val="9"/>
                <w:szCs w:val="9"/>
                <w:color w:val="auto"/>
              </w:rPr>
            </w:pP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1"/>
              </w:rPr>
              <w:t>12,048</w:t>
            </w:r>
          </w:p>
        </w:tc>
        <w:tc>
          <w:tcPr>
            <w:tcW w:w="280" w:type="dxa"/>
            <w:vAlign w:val="bottom"/>
          </w:tcPr>
          <w:p>
            <w:pPr>
              <w:spacing w:after="0"/>
              <w:rPr>
                <w:sz w:val="9"/>
                <w:szCs w:val="9"/>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w w:val="97"/>
              </w:rPr>
              <w:t>19,318</w:t>
            </w:r>
          </w:p>
        </w:tc>
        <w:tc>
          <w:tcPr>
            <w:tcW w:w="300" w:type="dxa"/>
            <w:vAlign w:val="bottom"/>
          </w:tcPr>
          <w:p>
            <w:pPr>
              <w:spacing w:after="0"/>
              <w:rPr>
                <w:sz w:val="9"/>
                <w:szCs w:val="9"/>
                <w:color w:val="auto"/>
              </w:rPr>
            </w:pPr>
          </w:p>
        </w:tc>
        <w:tc>
          <w:tcPr>
            <w:tcW w:w="4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97"/>
              </w:rPr>
              <w:t>14,914</w:t>
            </w:r>
          </w:p>
        </w:tc>
        <w:tc>
          <w:tcPr>
            <w:tcW w:w="3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7"/>
              </w:rPr>
              <w:t>46,280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269"/>
              <w:spacing w:after="0"/>
              <w:rPr>
                <w:sz w:val="20"/>
                <w:szCs w:val="20"/>
                <w:color w:val="auto"/>
              </w:rPr>
            </w:pPr>
            <w:r>
              <w:rPr>
                <w:rFonts w:ascii="Arial" w:cs="Arial" w:eastAsia="Arial" w:hAnsi="Arial"/>
                <w:sz w:val="10"/>
                <w:szCs w:val="10"/>
                <w:b w:val="1"/>
                <w:bCs w:val="1"/>
                <w:color w:val="auto"/>
                <w:w w:val="91"/>
              </w:rPr>
              <w:t>17,495</w:t>
            </w:r>
          </w:p>
        </w:tc>
        <w:tc>
          <w:tcPr>
            <w:tcW w:w="200" w:type="dxa"/>
            <w:vAlign w:val="bottom"/>
          </w:tcPr>
          <w:p>
            <w:pPr>
              <w:spacing w:after="0"/>
              <w:rPr>
                <w:sz w:val="9"/>
                <w:szCs w:val="9"/>
                <w:color w:val="auto"/>
              </w:rPr>
            </w:pP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1"/>
              </w:rPr>
              <w:t>21,726</w:t>
            </w:r>
          </w:p>
        </w:tc>
        <w:tc>
          <w:tcPr>
            <w:tcW w:w="300" w:type="dxa"/>
            <w:vAlign w:val="bottom"/>
          </w:tcPr>
          <w:p>
            <w:pPr>
              <w:spacing w:after="0"/>
              <w:rPr>
                <w:sz w:val="9"/>
                <w:szCs w:val="9"/>
                <w:color w:val="auto"/>
              </w:rPr>
            </w:pP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8,117</w:t>
            </w:r>
          </w:p>
        </w:tc>
        <w:tc>
          <w:tcPr>
            <w:tcW w:w="280" w:type="dxa"/>
            <w:vAlign w:val="bottom"/>
          </w:tcPr>
          <w:p>
            <w:pPr>
              <w:spacing w:after="0"/>
              <w:rPr>
                <w:sz w:val="9"/>
                <w:szCs w:val="9"/>
                <w:color w:val="auto"/>
              </w:rPr>
            </w:pPr>
          </w:p>
        </w:tc>
        <w:tc>
          <w:tcPr>
            <w:tcW w:w="48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97"/>
              </w:rPr>
              <w:t>13,041</w:t>
            </w:r>
          </w:p>
        </w:tc>
        <w:tc>
          <w:tcPr>
            <w:tcW w:w="340" w:type="dxa"/>
            <w:vAlign w:val="bottom"/>
          </w:tcPr>
          <w:p>
            <w:pPr>
              <w:spacing w:after="0"/>
              <w:rPr>
                <w:sz w:val="9"/>
                <w:szCs w:val="9"/>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7"/>
              </w:rPr>
              <w:t>60,379</w:t>
            </w:r>
          </w:p>
        </w:tc>
        <w:tc>
          <w:tcPr>
            <w:tcW w:w="3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93"/>
              </w:rPr>
              <w:t>106,659</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5"/>
              </w:rPr>
              <w:t>5,991</w:t>
            </w:r>
          </w:p>
        </w:tc>
        <w:tc>
          <w:tcPr>
            <w:tcW w:w="3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841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00" w:type="dxa"/>
            <w:vAlign w:val="bottom"/>
          </w:tcPr>
          <w:p>
            <w:pPr>
              <w:ind w:left="80"/>
              <w:spacing w:after="0" w:line="104" w:lineRule="exact"/>
              <w:rPr>
                <w:sz w:val="20"/>
                <w:szCs w:val="20"/>
                <w:color w:val="auto"/>
              </w:rPr>
            </w:pPr>
            <w:r>
              <w:rPr>
                <w:rFonts w:ascii="Arial" w:cs="Arial" w:eastAsia="Arial" w:hAnsi="Arial"/>
                <w:sz w:val="10"/>
                <w:szCs w:val="10"/>
                <w:color w:val="auto"/>
              </w:rPr>
              <w:t>assets</w:t>
            </w: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Support equipment</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239</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226</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252</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717</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967</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266</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1,150</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475</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2,858</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3,575</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888</w:t>
            </w:r>
          </w:p>
        </w:tc>
        <w:tc>
          <w:tcPr>
            <w:tcW w:w="30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Deferred exploratory wells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602</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602</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499</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495</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107</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415</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1,516</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2,118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0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Other uncompleted projects</w:t>
            </w: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405</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3,812</w:t>
            </w:r>
          </w:p>
        </w:tc>
        <w:tc>
          <w:tcPr>
            <w:tcW w:w="3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rPr>
              <w:t>58</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4,275</w:t>
            </w:r>
          </w:p>
        </w:tc>
        <w:tc>
          <w:tcPr>
            <w:tcW w:w="1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4,226</w:t>
            </w:r>
          </w:p>
        </w:tc>
        <w:tc>
          <w:tcPr>
            <w:tcW w:w="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2,490</w:t>
            </w:r>
          </w:p>
        </w:tc>
        <w:tc>
          <w:tcPr>
            <w:tcW w:w="30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875</w:t>
            </w:r>
          </w:p>
        </w:tc>
        <w:tc>
          <w:tcPr>
            <w:tcW w:w="28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1,739</w:t>
            </w:r>
          </w:p>
        </w:tc>
        <w:tc>
          <w:tcPr>
            <w:tcW w:w="3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0"/>
              <w:spacing w:after="0"/>
              <w:rPr>
                <w:sz w:val="20"/>
                <w:szCs w:val="20"/>
                <w:color w:val="auto"/>
              </w:rPr>
            </w:pPr>
            <w:r>
              <w:rPr>
                <w:rFonts w:ascii="Arial" w:cs="Arial" w:eastAsia="Arial" w:hAnsi="Arial"/>
                <w:sz w:val="10"/>
                <w:szCs w:val="10"/>
                <w:b w:val="1"/>
                <w:bCs w:val="1"/>
                <w:color w:val="auto"/>
              </w:rPr>
              <w:t>9,330</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0"/>
                <w:szCs w:val="10"/>
                <w:b w:val="1"/>
                <w:bCs w:val="1"/>
                <w:color w:val="auto"/>
              </w:rPr>
              <w:t>13,605</w:t>
            </w:r>
          </w:p>
        </w:tc>
        <w:tc>
          <w:tcPr>
            <w:tcW w:w="3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501</w:t>
            </w:r>
          </w:p>
        </w:tc>
        <w:tc>
          <w:tcPr>
            <w:tcW w:w="30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81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Gross Cap. Costs</w:t>
            </w: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1"/>
              </w:rPr>
              <w:t>13,502</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25,315</w:t>
            </w:r>
          </w:p>
        </w:tc>
        <w:tc>
          <w:tcPr>
            <w:tcW w:w="3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97"/>
              </w:rPr>
              <w:t>15,552</w:t>
            </w:r>
          </w:p>
        </w:tc>
        <w:tc>
          <w:tcPr>
            <w:tcW w:w="3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97"/>
              </w:rPr>
              <w:t>54,369</w:t>
            </w:r>
          </w:p>
        </w:tc>
        <w:tc>
          <w:tcPr>
            <w:tcW w:w="1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w w:val="91"/>
              </w:rPr>
              <w:t>23,481</w:t>
            </w:r>
          </w:p>
        </w:tc>
        <w:tc>
          <w:tcPr>
            <w:tcW w:w="2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1"/>
              </w:rPr>
              <w:t>27,765</w:t>
            </w:r>
          </w:p>
        </w:tc>
        <w:tc>
          <w:tcPr>
            <w:tcW w:w="30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7"/>
              </w:rPr>
              <w:t>10,900</w:t>
            </w:r>
          </w:p>
        </w:tc>
        <w:tc>
          <w:tcPr>
            <w:tcW w:w="2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7"/>
              </w:rPr>
              <w:t>16,582</w:t>
            </w:r>
          </w:p>
        </w:tc>
        <w:tc>
          <w:tcPr>
            <w:tcW w:w="3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7"/>
              </w:rPr>
              <w:t>78,728</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133,097</w:t>
            </w:r>
          </w:p>
        </w:tc>
        <w:tc>
          <w:tcPr>
            <w:tcW w:w="32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7,493</w:t>
            </w:r>
          </w:p>
        </w:tc>
        <w:tc>
          <w:tcPr>
            <w:tcW w:w="3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922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gridSpan w:val="2"/>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80" w:type="dxa"/>
            <w:vAlign w:val="bottom"/>
          </w:tcPr>
          <w:p>
            <w:pPr>
              <w:spacing w:after="0"/>
              <w:rPr>
                <w:sz w:val="8"/>
                <w:szCs w:val="8"/>
                <w:color w:val="auto"/>
              </w:rPr>
            </w:pPr>
          </w:p>
        </w:tc>
        <w:tc>
          <w:tcPr>
            <w:tcW w:w="520" w:type="dxa"/>
            <w:vAlign w:val="bottom"/>
          </w:tcPr>
          <w:p>
            <w:pPr>
              <w:jc w:val="right"/>
              <w:ind w:right="169"/>
              <w:spacing w:after="0" w:line="92" w:lineRule="exact"/>
              <w:rPr>
                <w:sz w:val="20"/>
                <w:szCs w:val="20"/>
                <w:color w:val="auto"/>
              </w:rPr>
            </w:pPr>
            <w:r>
              <w:rPr>
                <w:rFonts w:ascii="Arial" w:cs="Arial" w:eastAsia="Arial" w:hAnsi="Arial"/>
                <w:sz w:val="10"/>
                <w:szCs w:val="10"/>
                <w:b w:val="1"/>
                <w:bCs w:val="1"/>
                <w:color w:val="auto"/>
              </w:rPr>
              <w:t>744</w:t>
            </w:r>
          </w:p>
        </w:tc>
        <w:tc>
          <w:tcPr>
            <w:tcW w:w="280" w:type="dxa"/>
            <w:vAlign w:val="bottom"/>
          </w:tcPr>
          <w:p>
            <w:pPr>
              <w:spacing w:after="0"/>
              <w:rPr>
                <w:sz w:val="8"/>
                <w:szCs w:val="8"/>
                <w:color w:val="auto"/>
              </w:rPr>
            </w:pPr>
          </w:p>
        </w:tc>
        <w:tc>
          <w:tcPr>
            <w:tcW w:w="520" w:type="dxa"/>
            <w:vAlign w:val="bottom"/>
          </w:tcPr>
          <w:p>
            <w:pPr>
              <w:jc w:val="right"/>
              <w:ind w:right="149"/>
              <w:spacing w:after="0" w:line="92" w:lineRule="exact"/>
              <w:rPr>
                <w:sz w:val="20"/>
                <w:szCs w:val="20"/>
                <w:color w:val="auto"/>
              </w:rPr>
            </w:pPr>
            <w:r>
              <w:rPr>
                <w:rFonts w:ascii="Arial" w:cs="Arial" w:eastAsia="Arial" w:hAnsi="Arial"/>
                <w:sz w:val="10"/>
                <w:szCs w:val="10"/>
                <w:b w:val="1"/>
                <w:bCs w:val="1"/>
                <w:color w:val="auto"/>
              </w:rPr>
              <w:t>80</w:t>
            </w:r>
          </w:p>
        </w:tc>
        <w:tc>
          <w:tcPr>
            <w:tcW w:w="300" w:type="dxa"/>
            <w:vAlign w:val="bottom"/>
          </w:tcPr>
          <w:p>
            <w:pPr>
              <w:spacing w:after="0"/>
              <w:rPr>
                <w:sz w:val="8"/>
                <w:szCs w:val="8"/>
                <w:color w:val="auto"/>
              </w:rPr>
            </w:pPr>
          </w:p>
        </w:tc>
        <w:tc>
          <w:tcPr>
            <w:tcW w:w="460" w:type="dxa"/>
            <w:vAlign w:val="bottom"/>
          </w:tcPr>
          <w:p>
            <w:pPr>
              <w:jc w:val="right"/>
              <w:ind w:right="89"/>
              <w:spacing w:after="0" w:line="92" w:lineRule="exact"/>
              <w:rPr>
                <w:sz w:val="20"/>
                <w:szCs w:val="20"/>
                <w:color w:val="auto"/>
              </w:rPr>
            </w:pPr>
            <w:r>
              <w:rPr>
                <w:rFonts w:ascii="Arial" w:cs="Arial" w:eastAsia="Arial" w:hAnsi="Arial"/>
                <w:sz w:val="10"/>
                <w:szCs w:val="10"/>
                <w:b w:val="1"/>
                <w:bCs w:val="1"/>
                <w:color w:val="auto"/>
              </w:rPr>
              <w:t>21</w:t>
            </w:r>
          </w:p>
        </w:tc>
        <w:tc>
          <w:tcPr>
            <w:tcW w:w="360" w:type="dxa"/>
            <w:vAlign w:val="bottom"/>
          </w:tcPr>
          <w:p>
            <w:pPr>
              <w:spacing w:after="0"/>
              <w:rPr>
                <w:sz w:val="8"/>
                <w:szCs w:val="8"/>
                <w:color w:val="auto"/>
              </w:rPr>
            </w:pPr>
          </w:p>
        </w:tc>
        <w:tc>
          <w:tcPr>
            <w:tcW w:w="32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845</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269"/>
              <w:spacing w:after="0" w:line="92" w:lineRule="exact"/>
              <w:rPr>
                <w:sz w:val="20"/>
                <w:szCs w:val="20"/>
                <w:color w:val="auto"/>
              </w:rPr>
            </w:pPr>
            <w:r>
              <w:rPr>
                <w:rFonts w:ascii="Arial" w:cs="Arial" w:eastAsia="Arial" w:hAnsi="Arial"/>
                <w:sz w:val="10"/>
                <w:szCs w:val="10"/>
                <w:b w:val="1"/>
                <w:bCs w:val="1"/>
                <w:color w:val="auto"/>
              </w:rPr>
              <w:t>202</w:t>
            </w:r>
          </w:p>
        </w:tc>
        <w:tc>
          <w:tcPr>
            <w:tcW w:w="200" w:type="dxa"/>
            <w:vAlign w:val="bottom"/>
          </w:tcPr>
          <w:p>
            <w:pPr>
              <w:spacing w:after="0"/>
              <w:rPr>
                <w:sz w:val="8"/>
                <w:szCs w:val="8"/>
                <w:color w:val="auto"/>
              </w:rPr>
            </w:pPr>
          </w:p>
        </w:tc>
        <w:tc>
          <w:tcPr>
            <w:tcW w:w="520" w:type="dxa"/>
            <w:vAlign w:val="bottom"/>
          </w:tcPr>
          <w:p>
            <w:pPr>
              <w:jc w:val="right"/>
              <w:ind w:right="169"/>
              <w:spacing w:after="0" w:line="92" w:lineRule="exact"/>
              <w:rPr>
                <w:sz w:val="20"/>
                <w:szCs w:val="20"/>
                <w:color w:val="auto"/>
              </w:rPr>
            </w:pPr>
            <w:r>
              <w:rPr>
                <w:rFonts w:ascii="Arial" w:cs="Arial" w:eastAsia="Arial" w:hAnsi="Arial"/>
                <w:sz w:val="10"/>
                <w:szCs w:val="10"/>
                <w:b w:val="1"/>
                <w:bCs w:val="1"/>
                <w:color w:val="auto"/>
              </w:rPr>
              <w:t>223</w:t>
            </w:r>
          </w:p>
        </w:tc>
        <w:tc>
          <w:tcPr>
            <w:tcW w:w="300" w:type="dxa"/>
            <w:vAlign w:val="bottom"/>
          </w:tcPr>
          <w:p>
            <w:pPr>
              <w:spacing w:after="0"/>
              <w:rPr>
                <w:sz w:val="8"/>
                <w:szCs w:val="8"/>
                <w:color w:val="auto"/>
              </w:rPr>
            </w:pPr>
          </w:p>
        </w:tc>
        <w:tc>
          <w:tcPr>
            <w:tcW w:w="540" w:type="dxa"/>
            <w:vAlign w:val="bottom"/>
          </w:tcPr>
          <w:p>
            <w:pPr>
              <w:jc w:val="right"/>
              <w:ind w:right="169"/>
              <w:spacing w:after="0" w:line="92" w:lineRule="exact"/>
              <w:rPr>
                <w:sz w:val="20"/>
                <w:szCs w:val="20"/>
                <w:color w:val="auto"/>
              </w:rPr>
            </w:pPr>
            <w:r>
              <w:rPr>
                <w:rFonts w:ascii="Arial" w:cs="Arial" w:eastAsia="Arial" w:hAnsi="Arial"/>
                <w:sz w:val="10"/>
                <w:szCs w:val="10"/>
                <w:b w:val="1"/>
                <w:bCs w:val="1"/>
                <w:color w:val="auto"/>
              </w:rPr>
              <w:t>64</w:t>
            </w:r>
          </w:p>
        </w:tc>
        <w:tc>
          <w:tcPr>
            <w:tcW w:w="280" w:type="dxa"/>
            <w:vAlign w:val="bottom"/>
          </w:tcPr>
          <w:p>
            <w:pPr>
              <w:spacing w:after="0"/>
              <w:rPr>
                <w:sz w:val="8"/>
                <w:szCs w:val="8"/>
                <w:color w:val="auto"/>
              </w:rPr>
            </w:pPr>
          </w:p>
        </w:tc>
        <w:tc>
          <w:tcPr>
            <w:tcW w:w="480" w:type="dxa"/>
            <w:vAlign w:val="bottom"/>
          </w:tcPr>
          <w:p>
            <w:pPr>
              <w:jc w:val="right"/>
              <w:ind w:right="109"/>
              <w:spacing w:after="0" w:line="92" w:lineRule="exact"/>
              <w:rPr>
                <w:sz w:val="20"/>
                <w:szCs w:val="20"/>
                <w:color w:val="auto"/>
              </w:rPr>
            </w:pPr>
            <w:r>
              <w:rPr>
                <w:rFonts w:ascii="Arial" w:cs="Arial" w:eastAsia="Arial" w:hAnsi="Arial"/>
                <w:sz w:val="10"/>
                <w:szCs w:val="10"/>
                <w:b w:val="1"/>
                <w:bCs w:val="1"/>
                <w:color w:val="auto"/>
              </w:rPr>
              <w:t>439</w:t>
            </w:r>
          </w:p>
        </w:tc>
        <w:tc>
          <w:tcPr>
            <w:tcW w:w="340" w:type="dxa"/>
            <w:vAlign w:val="bottom"/>
          </w:tcPr>
          <w:p>
            <w:pPr>
              <w:spacing w:after="0"/>
              <w:rPr>
                <w:sz w:val="8"/>
                <w:szCs w:val="8"/>
                <w:color w:val="auto"/>
              </w:rPr>
            </w:pPr>
          </w:p>
        </w:tc>
        <w:tc>
          <w:tcPr>
            <w:tcW w:w="520" w:type="dxa"/>
            <w:vAlign w:val="bottom"/>
            <w:gridSpan w:val="2"/>
          </w:tcPr>
          <w:p>
            <w:pPr>
              <w:jc w:val="right"/>
              <w:ind w:right="200"/>
              <w:spacing w:after="0" w:line="92" w:lineRule="exact"/>
              <w:rPr>
                <w:sz w:val="20"/>
                <w:szCs w:val="20"/>
                <w:color w:val="auto"/>
              </w:rPr>
            </w:pPr>
            <w:r>
              <w:rPr>
                <w:rFonts w:ascii="Arial" w:cs="Arial" w:eastAsia="Arial" w:hAnsi="Arial"/>
                <w:sz w:val="10"/>
                <w:szCs w:val="10"/>
                <w:b w:val="1"/>
                <w:bCs w:val="1"/>
                <w:color w:val="auto"/>
              </w:rPr>
              <w:t>928</w:t>
            </w:r>
          </w:p>
        </w:tc>
        <w:tc>
          <w:tcPr>
            <w:tcW w:w="300" w:type="dxa"/>
            <w:vAlign w:val="bottom"/>
          </w:tcPr>
          <w:p>
            <w:pPr>
              <w:spacing w:after="0"/>
              <w:rPr>
                <w:sz w:val="8"/>
                <w:szCs w:val="8"/>
                <w:color w:val="auto"/>
              </w:rPr>
            </w:pPr>
          </w:p>
        </w:tc>
        <w:tc>
          <w:tcPr>
            <w:tcW w:w="480" w:type="dxa"/>
            <w:vAlign w:val="bottom"/>
            <w:gridSpan w:val="2"/>
          </w:tcPr>
          <w:p>
            <w:pPr>
              <w:jc w:val="right"/>
              <w:ind w:right="120"/>
              <w:spacing w:after="0" w:line="92" w:lineRule="exact"/>
              <w:rPr>
                <w:sz w:val="20"/>
                <w:szCs w:val="20"/>
                <w:color w:val="auto"/>
              </w:rPr>
            </w:pPr>
            <w:r>
              <w:rPr>
                <w:rFonts w:ascii="Arial" w:cs="Arial" w:eastAsia="Arial" w:hAnsi="Arial"/>
                <w:sz w:val="10"/>
                <w:szCs w:val="10"/>
                <w:b w:val="1"/>
                <w:bCs w:val="1"/>
                <w:color w:val="auto"/>
              </w:rPr>
              <w:t>1,773</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169"/>
              <w:spacing w:after="0" w:line="92" w:lineRule="exact"/>
              <w:rPr>
                <w:sz w:val="20"/>
                <w:szCs w:val="20"/>
                <w:color w:val="auto"/>
              </w:rPr>
            </w:pPr>
            <w:r>
              <w:rPr>
                <w:rFonts w:ascii="Arial" w:cs="Arial" w:eastAsia="Arial" w:hAnsi="Arial"/>
                <w:sz w:val="10"/>
                <w:szCs w:val="10"/>
                <w:b w:val="1"/>
                <w:bCs w:val="1"/>
                <w:color w:val="auto"/>
              </w:rPr>
              <w:t>29</w:t>
            </w:r>
          </w:p>
        </w:tc>
        <w:tc>
          <w:tcPr>
            <w:tcW w:w="300" w:type="dxa"/>
            <w:vAlign w:val="bottom"/>
          </w:tcPr>
          <w:p>
            <w:pPr>
              <w:spacing w:after="0"/>
              <w:rPr>
                <w:sz w:val="8"/>
                <w:szCs w:val="8"/>
                <w:color w:val="auto"/>
              </w:rPr>
            </w:pPr>
          </w:p>
        </w:tc>
        <w:tc>
          <w:tcPr>
            <w:tcW w:w="24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 –</w:t>
            </w:r>
          </w:p>
        </w:tc>
        <w:tc>
          <w:tcPr>
            <w:tcW w:w="80" w:type="dxa"/>
            <w:vAlign w:val="bottom"/>
          </w:tcPr>
          <w:p>
            <w:pPr>
              <w:spacing w:after="0"/>
              <w:rPr>
                <w:sz w:val="9"/>
                <w:szCs w:val="9"/>
                <w:color w:val="auto"/>
              </w:rPr>
            </w:pP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7,802</w:t>
            </w:r>
          </w:p>
        </w:tc>
        <w:tc>
          <w:tcPr>
            <w:tcW w:w="280" w:type="dxa"/>
            <w:vAlign w:val="bottom"/>
          </w:tcPr>
          <w:p>
            <w:pPr>
              <w:spacing w:after="0"/>
              <w:rPr>
                <w:sz w:val="9"/>
                <w:szCs w:val="9"/>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w w:val="97"/>
              </w:rPr>
              <w:t>14,546</w:t>
            </w:r>
          </w:p>
        </w:tc>
        <w:tc>
          <w:tcPr>
            <w:tcW w:w="300" w:type="dxa"/>
            <w:vAlign w:val="bottom"/>
          </w:tcPr>
          <w:p>
            <w:pPr>
              <w:spacing w:after="0"/>
              <w:rPr>
                <w:sz w:val="9"/>
                <w:szCs w:val="9"/>
                <w:color w:val="auto"/>
              </w:rPr>
            </w:pPr>
          </w:p>
        </w:tc>
        <w:tc>
          <w:tcPr>
            <w:tcW w:w="4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8,432</w:t>
            </w:r>
          </w:p>
        </w:tc>
        <w:tc>
          <w:tcPr>
            <w:tcW w:w="3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7"/>
              </w:rPr>
              <w:t>30,780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269"/>
              <w:spacing w:after="0"/>
              <w:rPr>
                <w:sz w:val="20"/>
                <w:szCs w:val="20"/>
                <w:color w:val="auto"/>
              </w:rPr>
            </w:pPr>
            <w:r>
              <w:rPr>
                <w:rFonts w:ascii="Arial" w:cs="Arial" w:eastAsia="Arial" w:hAnsi="Arial"/>
                <w:sz w:val="10"/>
                <w:szCs w:val="10"/>
                <w:b w:val="1"/>
                <w:bCs w:val="1"/>
                <w:color w:val="auto"/>
              </w:rPr>
              <w:t>6,602</w:t>
            </w:r>
          </w:p>
        </w:tc>
        <w:tc>
          <w:tcPr>
            <w:tcW w:w="200" w:type="dxa"/>
            <w:vAlign w:val="bottom"/>
          </w:tcPr>
          <w:p>
            <w:pPr>
              <w:spacing w:after="0"/>
              <w:rPr>
                <w:sz w:val="9"/>
                <w:szCs w:val="9"/>
                <w:color w:val="auto"/>
              </w:rPr>
            </w:pP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8,692</w:t>
            </w:r>
          </w:p>
        </w:tc>
        <w:tc>
          <w:tcPr>
            <w:tcW w:w="300" w:type="dxa"/>
            <w:vAlign w:val="bottom"/>
          </w:tcPr>
          <w:p>
            <w:pPr>
              <w:spacing w:after="0"/>
              <w:rPr>
                <w:sz w:val="9"/>
                <w:szCs w:val="9"/>
                <w:color w:val="auto"/>
              </w:rPr>
            </w:pP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6,214</w:t>
            </w:r>
          </w:p>
        </w:tc>
        <w:tc>
          <w:tcPr>
            <w:tcW w:w="280" w:type="dxa"/>
            <w:vAlign w:val="bottom"/>
          </w:tcPr>
          <w:p>
            <w:pPr>
              <w:spacing w:after="0"/>
              <w:rPr>
                <w:sz w:val="9"/>
                <w:szCs w:val="9"/>
                <w:color w:val="auto"/>
              </w:rPr>
            </w:pPr>
          </w:p>
        </w:tc>
        <w:tc>
          <w:tcPr>
            <w:tcW w:w="48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8,360</w:t>
            </w:r>
          </w:p>
        </w:tc>
        <w:tc>
          <w:tcPr>
            <w:tcW w:w="340" w:type="dxa"/>
            <w:vAlign w:val="bottom"/>
          </w:tcPr>
          <w:p>
            <w:pPr>
              <w:spacing w:after="0"/>
              <w:rPr>
                <w:sz w:val="9"/>
                <w:szCs w:val="9"/>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7"/>
              </w:rPr>
              <w:t>29,868</w:t>
            </w:r>
          </w:p>
        </w:tc>
        <w:tc>
          <w:tcPr>
            <w:tcW w:w="30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60,648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831</w:t>
            </w:r>
          </w:p>
        </w:tc>
        <w:tc>
          <w:tcPr>
            <w:tcW w:w="3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212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00" w:type="dxa"/>
            <w:vAlign w:val="bottom"/>
          </w:tcPr>
          <w:p>
            <w:pPr>
              <w:ind w:left="80"/>
              <w:spacing w:after="0" w:line="104" w:lineRule="exact"/>
              <w:rPr>
                <w:sz w:val="20"/>
                <w:szCs w:val="20"/>
                <w:color w:val="auto"/>
              </w:rPr>
            </w:pPr>
            <w:r>
              <w:rPr>
                <w:rFonts w:ascii="Arial" w:cs="Arial" w:eastAsia="Arial" w:hAnsi="Arial"/>
                <w:sz w:val="10"/>
                <w:szCs w:val="10"/>
                <w:color w:val="auto"/>
              </w:rPr>
              <w:t>Depreciation and depletion</w:t>
            </w: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gridSpan w:val="2"/>
          </w:tcPr>
          <w:p>
            <w:pPr>
              <w:spacing w:after="0"/>
              <w:rPr>
                <w:sz w:val="20"/>
                <w:szCs w:val="20"/>
                <w:color w:val="auto"/>
              </w:rPr>
            </w:pPr>
            <w:r>
              <w:rPr>
                <w:rFonts w:ascii="Arial" w:cs="Arial" w:eastAsia="Arial" w:hAnsi="Arial"/>
                <w:sz w:val="10"/>
                <w:szCs w:val="10"/>
                <w:color w:val="auto"/>
              </w:rPr>
              <w:t>Support equipment depreciation</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b w:val="1"/>
                <w:bCs w:val="1"/>
                <w:color w:val="auto"/>
              </w:rPr>
              <w:t>145</w:t>
            </w:r>
          </w:p>
        </w:tc>
        <w:tc>
          <w:tcPr>
            <w:tcW w:w="2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rPr>
              <w:t>99</w:t>
            </w:r>
          </w:p>
        </w:tc>
        <w:tc>
          <w:tcPr>
            <w:tcW w:w="30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b w:val="1"/>
                <w:bCs w:val="1"/>
                <w:color w:val="auto"/>
              </w:rPr>
              <w:t>138</w:t>
            </w:r>
          </w:p>
        </w:tc>
        <w:tc>
          <w:tcPr>
            <w:tcW w:w="3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382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69"/>
              <w:spacing w:after="0"/>
              <w:rPr>
                <w:sz w:val="20"/>
                <w:szCs w:val="20"/>
                <w:color w:val="auto"/>
              </w:rPr>
            </w:pPr>
            <w:r>
              <w:rPr>
                <w:rFonts w:ascii="Arial" w:cs="Arial" w:eastAsia="Arial" w:hAnsi="Arial"/>
                <w:sz w:val="10"/>
                <w:szCs w:val="10"/>
                <w:b w:val="1"/>
                <w:bCs w:val="1"/>
                <w:color w:val="auto"/>
              </w:rPr>
              <w:t>523</w:t>
            </w:r>
          </w:p>
        </w:tc>
        <w:tc>
          <w:tcPr>
            <w:tcW w:w="20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b w:val="1"/>
                <w:bCs w:val="1"/>
                <w:color w:val="auto"/>
              </w:rPr>
              <w:t>128</w:t>
            </w:r>
          </w:p>
        </w:tc>
        <w:tc>
          <w:tcPr>
            <w:tcW w:w="30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b w:val="1"/>
                <w:bCs w:val="1"/>
                <w:color w:val="auto"/>
              </w:rPr>
              <w:t>611</w:t>
            </w:r>
          </w:p>
        </w:tc>
        <w:tc>
          <w:tcPr>
            <w:tcW w:w="280" w:type="dxa"/>
            <w:vAlign w:val="bottom"/>
          </w:tcPr>
          <w:p>
            <w:pPr>
              <w:spacing w:after="0"/>
              <w:rPr>
                <w:sz w:val="10"/>
                <w:szCs w:val="10"/>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b w:val="1"/>
                <w:bCs w:val="1"/>
                <w:color w:val="auto"/>
              </w:rPr>
              <w:t>307</w:t>
            </w:r>
          </w:p>
        </w:tc>
        <w:tc>
          <w:tcPr>
            <w:tcW w:w="34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1,569</w:t>
            </w:r>
          </w:p>
        </w:tc>
        <w:tc>
          <w:tcPr>
            <w:tcW w:w="30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1,951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b w:val="1"/>
                <w:bCs w:val="1"/>
                <w:color w:val="auto"/>
              </w:rPr>
              <w:t>307</w:t>
            </w:r>
          </w:p>
        </w:tc>
        <w:tc>
          <w:tcPr>
            <w:tcW w:w="300" w:type="dxa"/>
            <w:vAlign w:val="bottom"/>
          </w:tcPr>
          <w:p>
            <w:pPr>
              <w:spacing w:after="0"/>
              <w:rPr>
                <w:sz w:val="10"/>
                <w:szCs w:val="1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Accumulated provisions</w:t>
            </w:r>
          </w:p>
        </w:tc>
        <w:tc>
          <w:tcPr>
            <w:tcW w:w="8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8,691</w:t>
            </w:r>
          </w:p>
        </w:tc>
        <w:tc>
          <w:tcPr>
            <w:tcW w:w="28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14,725</w:t>
            </w:r>
          </w:p>
        </w:tc>
        <w:tc>
          <w:tcPr>
            <w:tcW w:w="3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8,591</w:t>
            </w:r>
          </w:p>
        </w:tc>
        <w:tc>
          <w:tcPr>
            <w:tcW w:w="36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97"/>
              </w:rPr>
              <w:t>32,007</w:t>
            </w:r>
          </w:p>
        </w:tc>
        <w:tc>
          <w:tcPr>
            <w:tcW w:w="10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7,327</w:t>
            </w:r>
          </w:p>
        </w:tc>
        <w:tc>
          <w:tcPr>
            <w:tcW w:w="2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9,043</w:t>
            </w:r>
          </w:p>
        </w:tc>
        <w:tc>
          <w:tcPr>
            <w:tcW w:w="30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6,889</w:t>
            </w:r>
          </w:p>
        </w:tc>
        <w:tc>
          <w:tcPr>
            <w:tcW w:w="2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9,106</w:t>
            </w:r>
          </w:p>
        </w:tc>
        <w:tc>
          <w:tcPr>
            <w:tcW w:w="34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7"/>
              </w:rPr>
              <w:t>32,365</w:t>
            </w:r>
          </w:p>
        </w:tc>
        <w:tc>
          <w:tcPr>
            <w:tcW w:w="3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64,372</w:t>
            </w: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1,167</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212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80" w:type="dxa"/>
            <w:vAlign w:val="bottom"/>
            <w:tcBorders>
              <w:bottom w:val="single" w:sz="8" w:color="0077C0"/>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4,811</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10,590</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6,961</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97"/>
              </w:rPr>
              <w:t>22,362</w:t>
            </w:r>
          </w:p>
        </w:tc>
        <w:tc>
          <w:tcPr>
            <w:tcW w:w="500" w:type="dxa"/>
            <w:vAlign w:val="bottom"/>
            <w:tcBorders>
              <w:bottom w:val="single" w:sz="8" w:color="0077C0"/>
            </w:tcBorders>
            <w:gridSpan w:val="3"/>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w w:val="91"/>
              </w:rPr>
              <w:t>16,154</w:t>
            </w:r>
          </w:p>
        </w:tc>
        <w:tc>
          <w:tcPr>
            <w:tcW w:w="2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1"/>
              </w:rPr>
              <w:t>18,722</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4,011</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7,476</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7"/>
              </w:rPr>
              <w:t>46,363</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68,725</w:t>
            </w:r>
          </w:p>
        </w:tc>
        <w:tc>
          <w:tcPr>
            <w:tcW w:w="400" w:type="dxa"/>
            <w:vAlign w:val="bottom"/>
            <w:tcBorders>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5"/>
              </w:rPr>
              <w:t>6,326</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710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2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At Dec. 31, 2007</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805</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892</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353</w:t>
            </w: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2,050</w:t>
            </w:r>
          </w:p>
        </w:tc>
        <w:tc>
          <w:tcPr>
            <w:tcW w:w="50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314</w:t>
            </w:r>
          </w:p>
        </w:tc>
        <w:tc>
          <w:tcPr>
            <w:tcW w:w="2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2,639</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630</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1,015</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4,598</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6,648</w:t>
            </w: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112</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properties and related producing</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assets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1"/>
              </w:rPr>
              <w:t>11,260</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w w:val="97"/>
              </w:rPr>
              <w:t>19,110</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w w:val="97"/>
              </w:rPr>
              <w:t>13,718</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w w:val="97"/>
              </w:rPr>
              <w:t>44,088</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color w:val="auto"/>
                <w:w w:val="91"/>
              </w:rPr>
              <w:t>11,894</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1"/>
              </w:rPr>
              <w:t>17,321</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7,705</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7"/>
              </w:rPr>
              <w:t>11,360</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w w:val="97"/>
              </w:rPr>
              <w:t>48,280</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92,368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5"/>
              </w:rPr>
              <w:t>4,247</w:t>
            </w: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858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Support equipment</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201</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206</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230</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637</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850</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284</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1,123</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439</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2,696</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3,333</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758</w:t>
            </w:r>
          </w:p>
        </w:tc>
        <w:tc>
          <w:tcPr>
            <w:tcW w:w="30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Deferred exploratory wells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406</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7</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413</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368</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293</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148</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438</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1,247</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1,660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Other uncompleted projects</w:t>
            </w: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308</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3,128</w:t>
            </w:r>
          </w:p>
        </w:tc>
        <w:tc>
          <w:tcPr>
            <w:tcW w:w="3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573</w:t>
            </w:r>
          </w:p>
        </w:tc>
        <w:tc>
          <w:tcPr>
            <w:tcW w:w="3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4,009</w:t>
            </w:r>
          </w:p>
        </w:tc>
        <w:tc>
          <w:tcPr>
            <w:tcW w:w="1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color w:val="auto"/>
              </w:rPr>
              <w:t>6,430</w:t>
            </w:r>
          </w:p>
        </w:tc>
        <w:tc>
          <w:tcPr>
            <w:tcW w:w="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2,049</w:t>
            </w:r>
          </w:p>
        </w:tc>
        <w:tc>
          <w:tcPr>
            <w:tcW w:w="30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593</w:t>
            </w:r>
          </w:p>
        </w:tc>
        <w:tc>
          <w:tcPr>
            <w:tcW w:w="28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1,421</w:t>
            </w:r>
          </w:p>
        </w:tc>
        <w:tc>
          <w:tcPr>
            <w:tcW w:w="3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00"/>
              <w:spacing w:after="0"/>
              <w:rPr>
                <w:sz w:val="20"/>
                <w:szCs w:val="20"/>
                <w:color w:val="auto"/>
              </w:rPr>
            </w:pPr>
            <w:r>
              <w:rPr>
                <w:rFonts w:ascii="Arial" w:cs="Arial" w:eastAsia="Arial" w:hAnsi="Arial"/>
                <w:sz w:val="10"/>
                <w:szCs w:val="10"/>
                <w:color w:val="auto"/>
                <w:w w:val="97"/>
              </w:rPr>
              <w:t>10,493</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0"/>
                <w:szCs w:val="10"/>
                <w:color w:val="auto"/>
              </w:rPr>
              <w:t>14,502</w:t>
            </w:r>
          </w:p>
        </w:tc>
        <w:tc>
          <w:tcPr>
            <w:tcW w:w="3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w w:val="95"/>
              </w:rPr>
              <w:t>1,633</w:t>
            </w:r>
          </w:p>
        </w:tc>
        <w:tc>
          <w:tcPr>
            <w:tcW w:w="30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Gross Cap. Costs</w:t>
            </w: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1"/>
              </w:rPr>
              <w:t>12,574</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w w:val="97"/>
              </w:rPr>
              <w:t>23,742</w:t>
            </w:r>
          </w:p>
        </w:tc>
        <w:tc>
          <w:tcPr>
            <w:tcW w:w="3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w w:val="97"/>
              </w:rPr>
              <w:t>14,881</w:t>
            </w:r>
          </w:p>
        </w:tc>
        <w:tc>
          <w:tcPr>
            <w:tcW w:w="3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51,197</w:t>
            </w:r>
          </w:p>
        </w:tc>
        <w:tc>
          <w:tcPr>
            <w:tcW w:w="1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jc w:val="right"/>
              <w:ind w:right="269"/>
              <w:spacing w:after="0" w:line="105" w:lineRule="exact"/>
              <w:rPr>
                <w:sz w:val="20"/>
                <w:szCs w:val="20"/>
                <w:color w:val="auto"/>
              </w:rPr>
            </w:pPr>
            <w:r>
              <w:rPr>
                <w:rFonts w:ascii="Arial" w:cs="Arial" w:eastAsia="Arial" w:hAnsi="Arial"/>
                <w:sz w:val="10"/>
                <w:szCs w:val="10"/>
                <w:color w:val="auto"/>
                <w:w w:val="91"/>
              </w:rPr>
              <w:t>19,856</w:t>
            </w:r>
          </w:p>
        </w:tc>
        <w:tc>
          <w:tcPr>
            <w:tcW w:w="2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1"/>
              </w:rPr>
              <w:t>22,586</w:t>
            </w:r>
          </w:p>
        </w:tc>
        <w:tc>
          <w:tcPr>
            <w:tcW w:w="30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10,199</w:t>
            </w:r>
          </w:p>
        </w:tc>
        <w:tc>
          <w:tcPr>
            <w:tcW w:w="2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7"/>
              </w:rPr>
              <w:t>14,673</w:t>
            </w:r>
          </w:p>
        </w:tc>
        <w:tc>
          <w:tcPr>
            <w:tcW w:w="3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color w:val="auto"/>
                <w:w w:val="97"/>
              </w:rPr>
              <w:t>67,314</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w w:val="93"/>
              </w:rPr>
              <w:t>118,511</w:t>
            </w:r>
          </w:p>
        </w:tc>
        <w:tc>
          <w:tcPr>
            <w:tcW w:w="32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6,750</w:t>
            </w:r>
          </w:p>
        </w:tc>
        <w:tc>
          <w:tcPr>
            <w:tcW w:w="3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913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gridSpan w:val="2"/>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80" w:type="dxa"/>
            <w:vAlign w:val="bottom"/>
          </w:tcPr>
          <w:p>
            <w:pPr>
              <w:spacing w:after="0"/>
              <w:rPr>
                <w:sz w:val="8"/>
                <w:szCs w:val="8"/>
                <w:color w:val="auto"/>
              </w:rPr>
            </w:pPr>
          </w:p>
        </w:tc>
        <w:tc>
          <w:tcPr>
            <w:tcW w:w="520" w:type="dxa"/>
            <w:vAlign w:val="bottom"/>
          </w:tcPr>
          <w:p>
            <w:pPr>
              <w:jc w:val="right"/>
              <w:ind w:right="169"/>
              <w:spacing w:after="0" w:line="92" w:lineRule="exact"/>
              <w:rPr>
                <w:sz w:val="20"/>
                <w:szCs w:val="20"/>
                <w:color w:val="auto"/>
              </w:rPr>
            </w:pPr>
            <w:r>
              <w:rPr>
                <w:rFonts w:ascii="Arial" w:cs="Arial" w:eastAsia="Arial" w:hAnsi="Arial"/>
                <w:sz w:val="10"/>
                <w:szCs w:val="10"/>
                <w:color w:val="auto"/>
              </w:rPr>
              <w:t>741</w:t>
            </w:r>
          </w:p>
        </w:tc>
        <w:tc>
          <w:tcPr>
            <w:tcW w:w="280" w:type="dxa"/>
            <w:vAlign w:val="bottom"/>
          </w:tcPr>
          <w:p>
            <w:pPr>
              <w:spacing w:after="0"/>
              <w:rPr>
                <w:sz w:val="8"/>
                <w:szCs w:val="8"/>
                <w:color w:val="auto"/>
              </w:rPr>
            </w:pPr>
          </w:p>
        </w:tc>
        <w:tc>
          <w:tcPr>
            <w:tcW w:w="520" w:type="dxa"/>
            <w:vAlign w:val="bottom"/>
          </w:tcPr>
          <w:p>
            <w:pPr>
              <w:jc w:val="right"/>
              <w:ind w:right="149"/>
              <w:spacing w:after="0" w:line="92" w:lineRule="exact"/>
              <w:rPr>
                <w:sz w:val="20"/>
                <w:szCs w:val="20"/>
                <w:color w:val="auto"/>
              </w:rPr>
            </w:pPr>
            <w:r>
              <w:rPr>
                <w:rFonts w:ascii="Arial" w:cs="Arial" w:eastAsia="Arial" w:hAnsi="Arial"/>
                <w:sz w:val="10"/>
                <w:szCs w:val="10"/>
                <w:color w:val="auto"/>
              </w:rPr>
              <w:t>57</w:t>
            </w:r>
          </w:p>
        </w:tc>
        <w:tc>
          <w:tcPr>
            <w:tcW w:w="300" w:type="dxa"/>
            <w:vAlign w:val="bottom"/>
          </w:tcPr>
          <w:p>
            <w:pPr>
              <w:spacing w:after="0"/>
              <w:rPr>
                <w:sz w:val="8"/>
                <w:szCs w:val="8"/>
                <w:color w:val="auto"/>
              </w:rPr>
            </w:pPr>
          </w:p>
        </w:tc>
        <w:tc>
          <w:tcPr>
            <w:tcW w:w="460" w:type="dxa"/>
            <w:vAlign w:val="bottom"/>
          </w:tcPr>
          <w:p>
            <w:pPr>
              <w:jc w:val="right"/>
              <w:ind w:right="89"/>
              <w:spacing w:after="0" w:line="92" w:lineRule="exact"/>
              <w:rPr>
                <w:sz w:val="20"/>
                <w:szCs w:val="20"/>
                <w:color w:val="auto"/>
              </w:rPr>
            </w:pPr>
            <w:r>
              <w:rPr>
                <w:rFonts w:ascii="Arial" w:cs="Arial" w:eastAsia="Arial" w:hAnsi="Arial"/>
                <w:sz w:val="10"/>
                <w:szCs w:val="10"/>
                <w:color w:val="auto"/>
              </w:rPr>
              <w:t>35</w:t>
            </w:r>
          </w:p>
        </w:tc>
        <w:tc>
          <w:tcPr>
            <w:tcW w:w="360" w:type="dxa"/>
            <w:vAlign w:val="bottom"/>
          </w:tcPr>
          <w:p>
            <w:pPr>
              <w:spacing w:after="0"/>
              <w:rPr>
                <w:sz w:val="8"/>
                <w:szCs w:val="8"/>
                <w:color w:val="auto"/>
              </w:rPr>
            </w:pPr>
          </w:p>
        </w:tc>
        <w:tc>
          <w:tcPr>
            <w:tcW w:w="320" w:type="dxa"/>
            <w:vAlign w:val="bottom"/>
          </w:tcPr>
          <w:p>
            <w:pPr>
              <w:jc w:val="right"/>
              <w:spacing w:after="0" w:line="92" w:lineRule="exact"/>
              <w:rPr>
                <w:sz w:val="20"/>
                <w:szCs w:val="20"/>
                <w:color w:val="auto"/>
              </w:rPr>
            </w:pPr>
            <w:r>
              <w:rPr>
                <w:rFonts w:ascii="Arial" w:cs="Arial" w:eastAsia="Arial" w:hAnsi="Arial"/>
                <w:sz w:val="10"/>
                <w:szCs w:val="10"/>
                <w:color w:val="auto"/>
              </w:rPr>
              <w:t>833</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269"/>
              <w:spacing w:after="0" w:line="92" w:lineRule="exact"/>
              <w:rPr>
                <w:sz w:val="20"/>
                <w:szCs w:val="20"/>
                <w:color w:val="auto"/>
              </w:rPr>
            </w:pPr>
            <w:r>
              <w:rPr>
                <w:rFonts w:ascii="Arial" w:cs="Arial" w:eastAsia="Arial" w:hAnsi="Arial"/>
                <w:sz w:val="10"/>
                <w:szCs w:val="10"/>
                <w:color w:val="auto"/>
              </w:rPr>
              <w:t>201</w:t>
            </w:r>
          </w:p>
        </w:tc>
        <w:tc>
          <w:tcPr>
            <w:tcW w:w="200" w:type="dxa"/>
            <w:vAlign w:val="bottom"/>
          </w:tcPr>
          <w:p>
            <w:pPr>
              <w:spacing w:after="0"/>
              <w:rPr>
                <w:sz w:val="8"/>
                <w:szCs w:val="8"/>
                <w:color w:val="auto"/>
              </w:rPr>
            </w:pPr>
          </w:p>
        </w:tc>
        <w:tc>
          <w:tcPr>
            <w:tcW w:w="520" w:type="dxa"/>
            <w:vAlign w:val="bottom"/>
          </w:tcPr>
          <w:p>
            <w:pPr>
              <w:jc w:val="right"/>
              <w:ind w:right="169"/>
              <w:spacing w:after="0" w:line="92" w:lineRule="exact"/>
              <w:rPr>
                <w:sz w:val="20"/>
                <w:szCs w:val="20"/>
                <w:color w:val="auto"/>
              </w:rPr>
            </w:pPr>
            <w:r>
              <w:rPr>
                <w:rFonts w:ascii="Arial" w:cs="Arial" w:eastAsia="Arial" w:hAnsi="Arial"/>
                <w:sz w:val="10"/>
                <w:szCs w:val="10"/>
                <w:color w:val="auto"/>
              </w:rPr>
              <w:t>221</w:t>
            </w:r>
          </w:p>
        </w:tc>
        <w:tc>
          <w:tcPr>
            <w:tcW w:w="300" w:type="dxa"/>
            <w:vAlign w:val="bottom"/>
          </w:tcPr>
          <w:p>
            <w:pPr>
              <w:spacing w:after="0"/>
              <w:rPr>
                <w:sz w:val="8"/>
                <w:szCs w:val="8"/>
                <w:color w:val="auto"/>
              </w:rPr>
            </w:pPr>
          </w:p>
        </w:tc>
        <w:tc>
          <w:tcPr>
            <w:tcW w:w="540" w:type="dxa"/>
            <w:vAlign w:val="bottom"/>
          </w:tcPr>
          <w:p>
            <w:pPr>
              <w:jc w:val="right"/>
              <w:ind w:right="169"/>
              <w:spacing w:after="0" w:line="92" w:lineRule="exact"/>
              <w:rPr>
                <w:sz w:val="20"/>
                <w:szCs w:val="20"/>
                <w:color w:val="auto"/>
              </w:rPr>
            </w:pPr>
            <w:r>
              <w:rPr>
                <w:rFonts w:ascii="Arial" w:cs="Arial" w:eastAsia="Arial" w:hAnsi="Arial"/>
                <w:sz w:val="10"/>
                <w:szCs w:val="10"/>
                <w:color w:val="auto"/>
              </w:rPr>
              <w:t>39</w:t>
            </w:r>
          </w:p>
        </w:tc>
        <w:tc>
          <w:tcPr>
            <w:tcW w:w="280" w:type="dxa"/>
            <w:vAlign w:val="bottom"/>
          </w:tcPr>
          <w:p>
            <w:pPr>
              <w:spacing w:after="0"/>
              <w:rPr>
                <w:sz w:val="8"/>
                <w:szCs w:val="8"/>
                <w:color w:val="auto"/>
              </w:rPr>
            </w:pPr>
          </w:p>
        </w:tc>
        <w:tc>
          <w:tcPr>
            <w:tcW w:w="480" w:type="dxa"/>
            <w:vAlign w:val="bottom"/>
          </w:tcPr>
          <w:p>
            <w:pPr>
              <w:jc w:val="right"/>
              <w:ind w:right="109"/>
              <w:spacing w:after="0" w:line="92" w:lineRule="exact"/>
              <w:rPr>
                <w:sz w:val="20"/>
                <w:szCs w:val="20"/>
                <w:color w:val="auto"/>
              </w:rPr>
            </w:pPr>
            <w:r>
              <w:rPr>
                <w:rFonts w:ascii="Arial" w:cs="Arial" w:eastAsia="Arial" w:hAnsi="Arial"/>
                <w:sz w:val="10"/>
                <w:szCs w:val="10"/>
                <w:color w:val="auto"/>
              </w:rPr>
              <w:t>427</w:t>
            </w:r>
          </w:p>
        </w:tc>
        <w:tc>
          <w:tcPr>
            <w:tcW w:w="340" w:type="dxa"/>
            <w:vAlign w:val="bottom"/>
          </w:tcPr>
          <w:p>
            <w:pPr>
              <w:spacing w:after="0"/>
              <w:rPr>
                <w:sz w:val="8"/>
                <w:szCs w:val="8"/>
                <w:color w:val="auto"/>
              </w:rPr>
            </w:pPr>
          </w:p>
        </w:tc>
        <w:tc>
          <w:tcPr>
            <w:tcW w:w="520" w:type="dxa"/>
            <w:vAlign w:val="bottom"/>
            <w:gridSpan w:val="2"/>
          </w:tcPr>
          <w:p>
            <w:pPr>
              <w:jc w:val="right"/>
              <w:ind w:right="200"/>
              <w:spacing w:after="0" w:line="92" w:lineRule="exact"/>
              <w:rPr>
                <w:sz w:val="20"/>
                <w:szCs w:val="20"/>
                <w:color w:val="auto"/>
              </w:rPr>
            </w:pPr>
            <w:r>
              <w:rPr>
                <w:rFonts w:ascii="Arial" w:cs="Arial" w:eastAsia="Arial" w:hAnsi="Arial"/>
                <w:sz w:val="10"/>
                <w:szCs w:val="10"/>
                <w:color w:val="auto"/>
              </w:rPr>
              <w:t>888</w:t>
            </w:r>
          </w:p>
        </w:tc>
        <w:tc>
          <w:tcPr>
            <w:tcW w:w="300" w:type="dxa"/>
            <w:vAlign w:val="bottom"/>
          </w:tcPr>
          <w:p>
            <w:pPr>
              <w:spacing w:after="0"/>
              <w:rPr>
                <w:sz w:val="8"/>
                <w:szCs w:val="8"/>
                <w:color w:val="auto"/>
              </w:rPr>
            </w:pPr>
          </w:p>
        </w:tc>
        <w:tc>
          <w:tcPr>
            <w:tcW w:w="480" w:type="dxa"/>
            <w:vAlign w:val="bottom"/>
            <w:gridSpan w:val="2"/>
          </w:tcPr>
          <w:p>
            <w:pPr>
              <w:jc w:val="right"/>
              <w:ind w:right="120"/>
              <w:spacing w:after="0" w:line="92" w:lineRule="exact"/>
              <w:rPr>
                <w:sz w:val="20"/>
                <w:szCs w:val="20"/>
                <w:color w:val="auto"/>
              </w:rPr>
            </w:pPr>
            <w:r>
              <w:rPr>
                <w:rFonts w:ascii="Arial" w:cs="Arial" w:eastAsia="Arial" w:hAnsi="Arial"/>
                <w:sz w:val="10"/>
                <w:szCs w:val="10"/>
                <w:color w:val="auto"/>
              </w:rPr>
              <w:t>1,721</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169"/>
              <w:spacing w:after="0" w:line="92" w:lineRule="exact"/>
              <w:rPr>
                <w:sz w:val="20"/>
                <w:szCs w:val="20"/>
                <w:color w:val="auto"/>
              </w:rPr>
            </w:pPr>
            <w:r>
              <w:rPr>
                <w:rFonts w:ascii="Arial" w:cs="Arial" w:eastAsia="Arial" w:hAnsi="Arial"/>
                <w:sz w:val="10"/>
                <w:szCs w:val="10"/>
                <w:color w:val="auto"/>
              </w:rPr>
              <w:t>23</w:t>
            </w:r>
          </w:p>
        </w:tc>
        <w:tc>
          <w:tcPr>
            <w:tcW w:w="300" w:type="dxa"/>
            <w:vAlign w:val="bottom"/>
          </w:tcPr>
          <w:p>
            <w:pPr>
              <w:spacing w:after="0"/>
              <w:rPr>
                <w:sz w:val="8"/>
                <w:szCs w:val="8"/>
                <w:color w:val="auto"/>
              </w:rPr>
            </w:pPr>
          </w:p>
        </w:tc>
        <w:tc>
          <w:tcPr>
            <w:tcW w:w="24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 –</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Depreciation and depletion</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7,383</w:t>
            </w:r>
          </w:p>
        </w:tc>
        <w:tc>
          <w:tcPr>
            <w:tcW w:w="2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w w:val="97"/>
              </w:rPr>
              <w:t>15,074</w:t>
            </w:r>
          </w:p>
        </w:tc>
        <w:tc>
          <w:tcPr>
            <w:tcW w:w="30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7,640</w:t>
            </w:r>
          </w:p>
        </w:tc>
        <w:tc>
          <w:tcPr>
            <w:tcW w:w="3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w w:val="97"/>
              </w:rPr>
              <w:t>30,097</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5,427</w:t>
            </w:r>
          </w:p>
        </w:tc>
        <w:tc>
          <w:tcPr>
            <w:tcW w:w="20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6,912</w:t>
            </w:r>
          </w:p>
        </w:tc>
        <w:tc>
          <w:tcPr>
            <w:tcW w:w="30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5,592</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7,062</w:t>
            </w:r>
          </w:p>
        </w:tc>
        <w:tc>
          <w:tcPr>
            <w:tcW w:w="340" w:type="dxa"/>
            <w:vAlign w:val="bottom"/>
          </w:tcPr>
          <w:p>
            <w:pPr>
              <w:spacing w:after="0"/>
              <w:rPr>
                <w:sz w:val="9"/>
                <w:szCs w:val="9"/>
                <w:color w:val="auto"/>
              </w:rPr>
            </w:pPr>
          </w:p>
        </w:tc>
        <w:tc>
          <w:tcPr>
            <w:tcW w:w="5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w w:val="97"/>
              </w:rPr>
              <w:t>24,993</w:t>
            </w:r>
          </w:p>
        </w:tc>
        <w:tc>
          <w:tcPr>
            <w:tcW w:w="30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55,090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644</w:t>
            </w: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167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20" w:type="dxa"/>
            <w:vAlign w:val="bottom"/>
            <w:gridSpan w:val="2"/>
          </w:tcPr>
          <w:p>
            <w:pPr>
              <w:spacing w:after="0"/>
              <w:rPr>
                <w:sz w:val="20"/>
                <w:szCs w:val="20"/>
                <w:color w:val="auto"/>
              </w:rPr>
            </w:pPr>
            <w:r>
              <w:rPr>
                <w:rFonts w:ascii="Arial" w:cs="Arial" w:eastAsia="Arial" w:hAnsi="Arial"/>
                <w:sz w:val="10"/>
                <w:szCs w:val="10"/>
                <w:color w:val="auto"/>
              </w:rPr>
              <w:t>Support equipment depreciation</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133</w:t>
            </w:r>
          </w:p>
        </w:tc>
        <w:tc>
          <w:tcPr>
            <w:tcW w:w="2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rPr>
              <w:t>92</w:t>
            </w:r>
          </w:p>
        </w:tc>
        <w:tc>
          <w:tcPr>
            <w:tcW w:w="30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color w:val="auto"/>
              </w:rPr>
              <w:t>124</w:t>
            </w:r>
          </w:p>
        </w:tc>
        <w:tc>
          <w:tcPr>
            <w:tcW w:w="3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349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69"/>
              <w:spacing w:after="0"/>
              <w:rPr>
                <w:sz w:val="20"/>
                <w:szCs w:val="20"/>
                <w:color w:val="auto"/>
              </w:rPr>
            </w:pPr>
            <w:r>
              <w:rPr>
                <w:rFonts w:ascii="Arial" w:cs="Arial" w:eastAsia="Arial" w:hAnsi="Arial"/>
                <w:sz w:val="10"/>
                <w:szCs w:val="10"/>
                <w:color w:val="auto"/>
              </w:rPr>
              <w:t>464</w:t>
            </w:r>
          </w:p>
        </w:tc>
        <w:tc>
          <w:tcPr>
            <w:tcW w:w="20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144</w:t>
            </w:r>
          </w:p>
        </w:tc>
        <w:tc>
          <w:tcPr>
            <w:tcW w:w="30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571</w:t>
            </w:r>
          </w:p>
        </w:tc>
        <w:tc>
          <w:tcPr>
            <w:tcW w:w="280" w:type="dxa"/>
            <w:vAlign w:val="bottom"/>
          </w:tcPr>
          <w:p>
            <w:pPr>
              <w:spacing w:after="0"/>
              <w:rPr>
                <w:sz w:val="10"/>
                <w:szCs w:val="10"/>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color w:val="auto"/>
              </w:rPr>
              <w:t>261</w:t>
            </w:r>
          </w:p>
        </w:tc>
        <w:tc>
          <w:tcPr>
            <w:tcW w:w="34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1,440</w:t>
            </w:r>
          </w:p>
        </w:tc>
        <w:tc>
          <w:tcPr>
            <w:tcW w:w="30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1,789</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267</w:t>
            </w:r>
          </w:p>
        </w:tc>
        <w:tc>
          <w:tcPr>
            <w:tcW w:w="300" w:type="dxa"/>
            <w:vAlign w:val="bottom"/>
          </w:tcPr>
          <w:p>
            <w:pPr>
              <w:spacing w:after="0"/>
              <w:rPr>
                <w:sz w:val="10"/>
                <w:szCs w:val="1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Accumulated provisions</w:t>
            </w:r>
          </w:p>
        </w:tc>
        <w:tc>
          <w:tcPr>
            <w:tcW w:w="8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8,257</w:t>
            </w:r>
          </w:p>
        </w:tc>
        <w:tc>
          <w:tcPr>
            <w:tcW w:w="28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w w:val="97"/>
              </w:rPr>
              <w:t>15,223</w:t>
            </w:r>
          </w:p>
        </w:tc>
        <w:tc>
          <w:tcPr>
            <w:tcW w:w="3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7,799</w:t>
            </w:r>
          </w:p>
        </w:tc>
        <w:tc>
          <w:tcPr>
            <w:tcW w:w="36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31,279</w:t>
            </w:r>
          </w:p>
        </w:tc>
        <w:tc>
          <w:tcPr>
            <w:tcW w:w="10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269"/>
              <w:spacing w:after="0" w:line="105" w:lineRule="exact"/>
              <w:rPr>
                <w:sz w:val="20"/>
                <w:szCs w:val="20"/>
                <w:color w:val="auto"/>
              </w:rPr>
            </w:pPr>
            <w:r>
              <w:rPr>
                <w:rFonts w:ascii="Arial" w:cs="Arial" w:eastAsia="Arial" w:hAnsi="Arial"/>
                <w:sz w:val="10"/>
                <w:szCs w:val="10"/>
                <w:color w:val="auto"/>
              </w:rPr>
              <w:t>6,092</w:t>
            </w:r>
          </w:p>
        </w:tc>
        <w:tc>
          <w:tcPr>
            <w:tcW w:w="2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7,277</w:t>
            </w:r>
          </w:p>
        </w:tc>
        <w:tc>
          <w:tcPr>
            <w:tcW w:w="30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6,202</w:t>
            </w:r>
          </w:p>
        </w:tc>
        <w:tc>
          <w:tcPr>
            <w:tcW w:w="2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7,750</w:t>
            </w:r>
          </w:p>
        </w:tc>
        <w:tc>
          <w:tcPr>
            <w:tcW w:w="34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color w:val="auto"/>
                <w:w w:val="97"/>
              </w:rPr>
              <w:t>27,321</w:t>
            </w:r>
          </w:p>
        </w:tc>
        <w:tc>
          <w:tcPr>
            <w:tcW w:w="3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58,600</w:t>
            </w: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934</w:t>
            </w:r>
          </w:p>
        </w:tc>
        <w:tc>
          <w:tcPr>
            <w:tcW w:w="30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gridSpan w:val="2"/>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4,317</w:t>
            </w: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8,519</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89"/>
              <w:spacing w:after="0" w:line="105" w:lineRule="exact"/>
              <w:rPr>
                <w:sz w:val="20"/>
                <w:szCs w:val="20"/>
                <w:color w:val="auto"/>
              </w:rPr>
            </w:pPr>
            <w:r>
              <w:rPr>
                <w:rFonts w:ascii="Arial" w:cs="Arial" w:eastAsia="Arial" w:hAnsi="Arial"/>
                <w:sz w:val="10"/>
                <w:szCs w:val="10"/>
                <w:color w:val="auto"/>
              </w:rPr>
              <w:t>7,082</w:t>
            </w: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w w:val="97"/>
              </w:rPr>
              <w:t>19,918</w:t>
            </w:r>
          </w:p>
        </w:tc>
        <w:tc>
          <w:tcPr>
            <w:tcW w:w="500" w:type="dxa"/>
            <w:vAlign w:val="bottom"/>
            <w:gridSpan w:val="3"/>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69"/>
              <w:spacing w:after="0" w:line="105" w:lineRule="exact"/>
              <w:rPr>
                <w:sz w:val="20"/>
                <w:szCs w:val="20"/>
                <w:color w:val="auto"/>
              </w:rPr>
            </w:pPr>
            <w:r>
              <w:rPr>
                <w:rFonts w:ascii="Arial" w:cs="Arial" w:eastAsia="Arial" w:hAnsi="Arial"/>
                <w:sz w:val="10"/>
                <w:szCs w:val="10"/>
                <w:color w:val="auto"/>
                <w:w w:val="91"/>
              </w:rPr>
              <w:t>13,764</w:t>
            </w: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69"/>
              <w:spacing w:after="0" w:line="105" w:lineRule="exact"/>
              <w:rPr>
                <w:sz w:val="20"/>
                <w:szCs w:val="20"/>
                <w:color w:val="auto"/>
              </w:rPr>
            </w:pPr>
            <w:r>
              <w:rPr>
                <w:rFonts w:ascii="Arial" w:cs="Arial" w:eastAsia="Arial" w:hAnsi="Arial"/>
                <w:sz w:val="10"/>
                <w:szCs w:val="10"/>
                <w:color w:val="auto"/>
                <w:w w:val="91"/>
              </w:rPr>
              <w:t>15,309</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3,997</w:t>
            </w: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6,923</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5" w:lineRule="exact"/>
              <w:rPr>
                <w:sz w:val="20"/>
                <w:szCs w:val="20"/>
                <w:color w:val="auto"/>
              </w:rPr>
            </w:pPr>
            <w:r>
              <w:rPr>
                <w:rFonts w:ascii="Arial" w:cs="Arial" w:eastAsia="Arial" w:hAnsi="Arial"/>
                <w:sz w:val="10"/>
                <w:szCs w:val="10"/>
                <w:color w:val="auto"/>
                <w:w w:val="97"/>
              </w:rPr>
              <w:t>39,993</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rPr>
              <w:t>59,911</w:t>
            </w:r>
          </w:p>
        </w:tc>
        <w:tc>
          <w:tcPr>
            <w:tcW w:w="120" w:type="dxa"/>
            <w:vAlign w:val="bottom"/>
          </w:tcPr>
          <w:p>
            <w:pPr>
              <w:spacing w:after="0"/>
              <w:rPr>
                <w:sz w:val="9"/>
                <w:szCs w:val="9"/>
                <w:color w:val="auto"/>
              </w:rPr>
            </w:pPr>
          </w:p>
        </w:tc>
        <w:tc>
          <w:tcPr>
            <w:tcW w:w="40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5" w:lineRule="exact"/>
              <w:rPr>
                <w:sz w:val="20"/>
                <w:szCs w:val="20"/>
                <w:color w:val="auto"/>
              </w:rPr>
            </w:pPr>
            <w:r>
              <w:rPr>
                <w:rFonts w:ascii="Arial" w:cs="Arial" w:eastAsia="Arial" w:hAnsi="Arial"/>
                <w:sz w:val="10"/>
                <w:szCs w:val="10"/>
                <w:color w:val="auto"/>
                <w:w w:val="95"/>
              </w:rPr>
              <w:t>5,816</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5" w:lineRule="exact"/>
              <w:rPr>
                <w:sz w:val="20"/>
                <w:szCs w:val="20"/>
                <w:color w:val="auto"/>
              </w:rPr>
            </w:pPr>
            <w:r>
              <w:rPr>
                <w:rFonts w:ascii="Arial" w:cs="Arial" w:eastAsia="Arial" w:hAnsi="Arial"/>
                <w:sz w:val="10"/>
                <w:szCs w:val="10"/>
                <w:color w:val="auto"/>
              </w:rPr>
              <w:t>746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00" w:type="dxa"/>
            <w:vAlign w:val="bottom"/>
            <w:tcBorders>
              <w:top w:val="single" w:sz="8" w:color="0077C0"/>
            </w:tcBorders>
          </w:tcPr>
          <w:p>
            <w:pPr>
              <w:spacing w:after="0"/>
              <w:rPr>
                <w:sz w:val="20"/>
                <w:szCs w:val="20"/>
                <w:color w:val="auto"/>
              </w:rPr>
            </w:pPr>
          </w:p>
        </w:tc>
        <w:tc>
          <w:tcPr>
            <w:tcW w:w="8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460" w:type="dxa"/>
            <w:vAlign w:val="bottom"/>
            <w:tcBorders>
              <w:top w:val="single" w:sz="8" w:color="0077C0"/>
            </w:tcBorders>
          </w:tcPr>
          <w:p>
            <w:pPr>
              <w:spacing w:after="0"/>
              <w:rPr>
                <w:sz w:val="20"/>
                <w:szCs w:val="20"/>
                <w:color w:val="auto"/>
              </w:rPr>
            </w:pPr>
          </w:p>
        </w:tc>
        <w:tc>
          <w:tcPr>
            <w:tcW w:w="36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80" w:type="dxa"/>
            <w:vAlign w:val="bottom"/>
            <w:tcBorders>
              <w:top w:val="single" w:sz="8" w:color="0077C0"/>
            </w:tcBorders>
          </w:tcPr>
          <w:p>
            <w:pPr>
              <w:spacing w:after="0"/>
              <w:rPr>
                <w:sz w:val="20"/>
                <w:szCs w:val="20"/>
                <w:color w:val="auto"/>
              </w:rPr>
            </w:pPr>
          </w:p>
        </w:tc>
        <w:tc>
          <w:tcPr>
            <w:tcW w:w="620" w:type="dxa"/>
            <w:vAlign w:val="bottom"/>
            <w:tcBorders>
              <w:top w:val="single" w:sz="8" w:color="0077C0"/>
            </w:tcBorders>
          </w:tcPr>
          <w:p>
            <w:pPr>
              <w:jc w:val="right"/>
              <w:ind w:right="49"/>
              <w:spacing w:after="0"/>
              <w:rPr>
                <w:sz w:val="20"/>
                <w:szCs w:val="20"/>
                <w:color w:val="auto"/>
              </w:rPr>
            </w:pPr>
            <w:r>
              <w:rPr>
                <w:rFonts w:ascii="Arial" w:cs="Arial" w:eastAsia="Arial" w:hAnsi="Arial"/>
                <w:sz w:val="10"/>
                <w:szCs w:val="10"/>
                <w:color w:val="auto"/>
              </w:rPr>
              <w:t>FS-63</w:t>
            </w:r>
          </w:p>
        </w:tc>
        <w:tc>
          <w:tcPr>
            <w:tcW w:w="20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54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4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20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360" w:type="dxa"/>
            <w:vAlign w:val="bottom"/>
            <w:tcBorders>
              <w:top w:val="single" w:sz="8" w:color="0077C0"/>
            </w:tcBorders>
          </w:tcPr>
          <w:p>
            <w:pPr>
              <w:spacing w:after="0"/>
              <w:rPr>
                <w:sz w:val="20"/>
                <w:szCs w:val="20"/>
                <w:color w:val="auto"/>
              </w:rPr>
            </w:pPr>
          </w:p>
        </w:tc>
        <w:tc>
          <w:tcPr>
            <w:tcW w:w="12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8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240" w:type="dxa"/>
            <w:vAlign w:val="bottom"/>
            <w:tcBorders>
              <w:top w:val="single" w:sz="8" w:color="0077C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5067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5990" cy="5067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Supplemental Information on Oil and Gas Producing Activities</w:t>
      </w:r>
    </w:p>
    <w:p>
      <w:pPr>
        <w:spacing w:after="0" w:line="219" w:lineRule="exact"/>
        <w:rPr>
          <w:sz w:val="20"/>
          <w:szCs w:val="20"/>
          <w:color w:val="auto"/>
        </w:rPr>
      </w:pPr>
    </w:p>
    <w:p>
      <w:pPr>
        <w:jc w:val="right"/>
        <w:ind w:right="9520"/>
        <w:spacing w:after="0"/>
        <w:rPr>
          <w:sz w:val="20"/>
          <w:szCs w:val="20"/>
          <w:color w:val="auto"/>
        </w:rPr>
      </w:pPr>
      <w:r>
        <w:rPr>
          <w:rFonts w:ascii="Arial" w:cs="Arial" w:eastAsia="Arial" w:hAnsi="Arial"/>
          <w:sz w:val="10"/>
          <w:szCs w:val="10"/>
          <w:b w:val="1"/>
          <w:bCs w:val="1"/>
          <w:color w:val="0077C0"/>
        </w:rPr>
        <w:t xml:space="preserve">Table II </w:t>
      </w:r>
      <w:r>
        <w:rPr>
          <w:rFonts w:ascii="Arial" w:cs="Arial" w:eastAsia="Arial" w:hAnsi="Arial"/>
          <w:sz w:val="8"/>
          <w:szCs w:val="8"/>
          <w:color w:val="000000"/>
        </w:rPr>
        <w:t>Capitalized Costs Related to Oil and</w:t>
      </w:r>
    </w:p>
    <w:p>
      <w:pPr>
        <w:spacing w:after="0" w:line="5" w:lineRule="exact"/>
        <w:rPr>
          <w:sz w:val="20"/>
          <w:szCs w:val="20"/>
          <w:color w:val="auto"/>
        </w:rPr>
      </w:pPr>
    </w:p>
    <w:p>
      <w:pPr>
        <w:jc w:val="right"/>
        <w:ind w:right="9520"/>
        <w:spacing w:after="0"/>
        <w:rPr>
          <w:sz w:val="20"/>
          <w:szCs w:val="20"/>
          <w:color w:val="auto"/>
        </w:rPr>
      </w:pPr>
      <w:r>
        <w:rPr>
          <w:rFonts w:ascii="Arial" w:cs="Arial" w:eastAsia="Arial" w:hAnsi="Arial"/>
          <w:sz w:val="9"/>
          <w:szCs w:val="9"/>
          <w:color w:val="auto"/>
        </w:rPr>
        <w:t>Gas Producing Activities - Continued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0"/>
                <w:szCs w:val="10"/>
                <w:color w:val="auto"/>
              </w:rPr>
              <w:t>Consolidated Companies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United States</w:t>
            </w:r>
          </w:p>
        </w:tc>
        <w:tc>
          <w:tcPr>
            <w:tcW w:w="1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gridSpan w:val="3"/>
          </w:tcPr>
          <w:p>
            <w:pPr>
              <w:jc w:val="right"/>
              <w:ind w:right="220"/>
              <w:spacing w:after="0" w:line="95" w:lineRule="exact"/>
              <w:rPr>
                <w:sz w:val="20"/>
                <w:szCs w:val="20"/>
                <w:color w:val="auto"/>
              </w:rPr>
            </w:pPr>
            <w:r>
              <w:rPr>
                <w:rFonts w:ascii="Arial" w:cs="Arial" w:eastAsia="Arial" w:hAnsi="Arial"/>
                <w:sz w:val="10"/>
                <w:szCs w:val="10"/>
                <w:color w:val="auto"/>
              </w:rPr>
              <w:t>International</w:t>
            </w:r>
          </w:p>
        </w:tc>
        <w:tc>
          <w:tcPr>
            <w:tcW w:w="3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4"/>
            <w:vMerge w:val="restart"/>
          </w:tcPr>
          <w:p>
            <w:pPr>
              <w:jc w:val="right"/>
              <w:ind w:right="12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Gulf of</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ind w:right="149"/>
              <w:spacing w:after="0" w:line="95" w:lineRule="exact"/>
              <w:rPr>
                <w:sz w:val="20"/>
                <w:szCs w:val="20"/>
                <w:color w:val="auto"/>
              </w:rPr>
            </w:pPr>
            <w:r>
              <w:rPr>
                <w:rFonts w:ascii="Arial" w:cs="Arial" w:eastAsia="Arial" w:hAnsi="Arial"/>
                <w:sz w:val="10"/>
                <w:szCs w:val="10"/>
                <w:color w:val="auto"/>
              </w:rPr>
              <w:t>Asia-</w:t>
            </w: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Total</w:t>
            </w: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2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dollars</w:t>
            </w:r>
          </w:p>
        </w:tc>
        <w:tc>
          <w:tcPr>
            <w:tcW w:w="8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Calif.</w:t>
            </w:r>
          </w:p>
        </w:tc>
        <w:tc>
          <w:tcPr>
            <w:tcW w:w="28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w w:val="94"/>
              </w:rPr>
              <w:t>Mexico</w:t>
            </w:r>
          </w:p>
        </w:tc>
        <w:tc>
          <w:tcPr>
            <w:tcW w:w="300" w:type="dxa"/>
            <w:vAlign w:val="bottom"/>
          </w:tcPr>
          <w:p>
            <w:pPr>
              <w:spacing w:after="0"/>
              <w:rPr>
                <w:sz w:val="8"/>
                <w:szCs w:val="8"/>
                <w:color w:val="auto"/>
              </w:rPr>
            </w:pPr>
          </w:p>
        </w:tc>
        <w:tc>
          <w:tcPr>
            <w:tcW w:w="460" w:type="dxa"/>
            <w:vAlign w:val="bottom"/>
          </w:tcPr>
          <w:p>
            <w:pPr>
              <w:jc w:val="right"/>
              <w:ind w:right="109"/>
              <w:spacing w:after="0" w:line="95" w:lineRule="exact"/>
              <w:rPr>
                <w:sz w:val="20"/>
                <w:szCs w:val="20"/>
                <w:color w:val="auto"/>
              </w:rPr>
            </w:pPr>
            <w:r>
              <w:rPr>
                <w:rFonts w:ascii="Arial" w:cs="Arial" w:eastAsia="Arial" w:hAnsi="Arial"/>
                <w:sz w:val="10"/>
                <w:szCs w:val="10"/>
                <w:color w:val="auto"/>
              </w:rPr>
              <w:t>Other</w:t>
            </w:r>
          </w:p>
        </w:tc>
        <w:tc>
          <w:tcPr>
            <w:tcW w:w="340" w:type="dxa"/>
            <w:vAlign w:val="bottom"/>
          </w:tcPr>
          <w:p>
            <w:pPr>
              <w:spacing w:after="0"/>
              <w:rPr>
                <w:sz w:val="8"/>
                <w:szCs w:val="8"/>
                <w:color w:val="auto"/>
              </w:rPr>
            </w:pPr>
          </w:p>
        </w:tc>
        <w:tc>
          <w:tcPr>
            <w:tcW w:w="320" w:type="dxa"/>
            <w:vAlign w:val="bottom"/>
          </w:tcPr>
          <w:p>
            <w:pPr>
              <w:jc w:val="right"/>
              <w:spacing w:after="0" w:line="95" w:lineRule="exact"/>
              <w:rPr>
                <w:sz w:val="20"/>
                <w:szCs w:val="20"/>
                <w:color w:val="auto"/>
              </w:rPr>
            </w:pPr>
            <w:r>
              <w:rPr>
                <w:rFonts w:ascii="Arial" w:cs="Arial" w:eastAsia="Arial" w:hAnsi="Arial"/>
                <w:sz w:val="10"/>
                <w:szCs w:val="10"/>
                <w:color w:val="auto"/>
              </w:rPr>
              <w:t>U.S.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249"/>
              <w:spacing w:after="0" w:line="95" w:lineRule="exact"/>
              <w:rPr>
                <w:sz w:val="20"/>
                <w:szCs w:val="20"/>
                <w:color w:val="auto"/>
              </w:rPr>
            </w:pPr>
            <w:r>
              <w:rPr>
                <w:rFonts w:ascii="Arial" w:cs="Arial" w:eastAsia="Arial" w:hAnsi="Arial"/>
                <w:sz w:val="10"/>
                <w:szCs w:val="10"/>
                <w:color w:val="auto"/>
              </w:rPr>
              <w:t>Africa</w:t>
            </w:r>
          </w:p>
        </w:tc>
        <w:tc>
          <w:tcPr>
            <w:tcW w:w="200" w:type="dxa"/>
            <w:vAlign w:val="bottom"/>
          </w:tcPr>
          <w:p>
            <w:pPr>
              <w:spacing w:after="0"/>
              <w:rPr>
                <w:sz w:val="8"/>
                <w:szCs w:val="8"/>
                <w:color w:val="auto"/>
              </w:rPr>
            </w:pPr>
          </w:p>
        </w:tc>
        <w:tc>
          <w:tcPr>
            <w:tcW w:w="520" w:type="dxa"/>
            <w:vAlign w:val="bottom"/>
          </w:tcPr>
          <w:p>
            <w:pPr>
              <w:jc w:val="right"/>
              <w:ind w:right="149"/>
              <w:spacing w:after="0" w:line="95" w:lineRule="exact"/>
              <w:rPr>
                <w:sz w:val="20"/>
                <w:szCs w:val="20"/>
                <w:color w:val="auto"/>
              </w:rPr>
            </w:pPr>
            <w:r>
              <w:rPr>
                <w:rFonts w:ascii="Arial" w:cs="Arial" w:eastAsia="Arial" w:hAnsi="Arial"/>
                <w:sz w:val="10"/>
                <w:szCs w:val="10"/>
                <w:color w:val="auto"/>
              </w:rPr>
              <w:t>Pacific</w:t>
            </w:r>
          </w:p>
        </w:tc>
        <w:tc>
          <w:tcPr>
            <w:tcW w:w="80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Indonesia</w:t>
            </w:r>
          </w:p>
        </w:tc>
        <w:tc>
          <w:tcPr>
            <w:tcW w:w="300" w:type="dxa"/>
            <w:vAlign w:val="bottom"/>
          </w:tcPr>
          <w:p>
            <w:pPr>
              <w:spacing w:after="0"/>
              <w:rPr>
                <w:sz w:val="8"/>
                <w:szCs w:val="8"/>
                <w:color w:val="auto"/>
              </w:rPr>
            </w:pPr>
          </w:p>
        </w:tc>
        <w:tc>
          <w:tcPr>
            <w:tcW w:w="480" w:type="dxa"/>
            <w:vAlign w:val="bottom"/>
          </w:tcPr>
          <w:p>
            <w:pPr>
              <w:jc w:val="right"/>
              <w:ind w:right="109"/>
              <w:spacing w:after="0" w:line="95" w:lineRule="exact"/>
              <w:rPr>
                <w:sz w:val="20"/>
                <w:szCs w:val="20"/>
                <w:color w:val="auto"/>
              </w:rPr>
            </w:pPr>
            <w:r>
              <w:rPr>
                <w:rFonts w:ascii="Arial" w:cs="Arial" w:eastAsia="Arial" w:hAnsi="Arial"/>
                <w:sz w:val="10"/>
                <w:szCs w:val="10"/>
                <w:color w:val="auto"/>
              </w:rPr>
              <w:t>Other</w:t>
            </w:r>
          </w:p>
        </w:tc>
        <w:tc>
          <w:tcPr>
            <w:tcW w:w="360" w:type="dxa"/>
            <w:vAlign w:val="bottom"/>
          </w:tcPr>
          <w:p>
            <w:pPr>
              <w:spacing w:after="0"/>
              <w:rPr>
                <w:sz w:val="8"/>
                <w:szCs w:val="8"/>
                <w:color w:val="auto"/>
              </w:rPr>
            </w:pPr>
          </w:p>
        </w:tc>
        <w:tc>
          <w:tcPr>
            <w:tcW w:w="52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Int’l.</w:t>
            </w:r>
          </w:p>
        </w:tc>
        <w:tc>
          <w:tcPr>
            <w:tcW w:w="300" w:type="dxa"/>
            <w:vAlign w:val="bottom"/>
          </w:tcPr>
          <w:p>
            <w:pPr>
              <w:spacing w:after="0"/>
              <w:rPr>
                <w:sz w:val="8"/>
                <w:szCs w:val="8"/>
                <w:color w:val="auto"/>
              </w:rPr>
            </w:pPr>
          </w:p>
        </w:tc>
        <w:tc>
          <w:tcPr>
            <w:tcW w:w="46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Total</w:t>
            </w:r>
          </w:p>
        </w:tc>
        <w:tc>
          <w:tcPr>
            <w:tcW w:w="340" w:type="dxa"/>
            <w:vAlign w:val="bottom"/>
          </w:tcPr>
          <w:p>
            <w:pPr>
              <w:spacing w:after="0"/>
              <w:rPr>
                <w:sz w:val="8"/>
                <w:szCs w:val="8"/>
                <w:color w:val="auto"/>
              </w:rPr>
            </w:pPr>
          </w:p>
        </w:tc>
        <w:tc>
          <w:tcPr>
            <w:tcW w:w="6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TCO</w:t>
            </w:r>
          </w:p>
        </w:tc>
        <w:tc>
          <w:tcPr>
            <w:tcW w:w="3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w w:val="95"/>
              </w:rPr>
              <w:t>Other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At Dec. 31, 2006</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770</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1,007</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370</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2,147</w:t>
            </w:r>
          </w:p>
        </w:tc>
        <w:tc>
          <w:tcPr>
            <w:tcW w:w="500" w:type="dxa"/>
            <w:vAlign w:val="bottom"/>
            <w:gridSpan w:val="3"/>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342</w:t>
            </w:r>
          </w:p>
        </w:tc>
        <w:tc>
          <w:tcPr>
            <w:tcW w:w="2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2,373</w:t>
            </w:r>
          </w:p>
        </w:tc>
        <w:tc>
          <w:tcPr>
            <w:tcW w:w="32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707</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1,082</w:t>
            </w: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4,504</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6,651</w:t>
            </w: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112</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properties and related producing</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assets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9,960</w:t>
            </w:r>
          </w:p>
        </w:tc>
        <w:tc>
          <w:tcPr>
            <w:tcW w:w="28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18,464</w:t>
            </w:r>
          </w:p>
        </w:tc>
        <w:tc>
          <w:tcPr>
            <w:tcW w:w="30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1"/>
              </w:rPr>
              <w:t>12,284</w:t>
            </w:r>
          </w:p>
        </w:tc>
        <w:tc>
          <w:tcPr>
            <w:tcW w:w="34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w w:val="97"/>
              </w:rPr>
              <w:t>40,708</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9,943</w:t>
            </w:r>
          </w:p>
        </w:tc>
        <w:tc>
          <w:tcPr>
            <w:tcW w:w="20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w w:val="97"/>
              </w:rPr>
              <w:t>15,486</w:t>
            </w:r>
          </w:p>
        </w:tc>
        <w:tc>
          <w:tcPr>
            <w:tcW w:w="320" w:type="dxa"/>
            <w:vAlign w:val="bottom"/>
          </w:tcPr>
          <w:p>
            <w:pPr>
              <w:spacing w:after="0"/>
              <w:rPr>
                <w:sz w:val="9"/>
                <w:szCs w:val="9"/>
                <w:color w:val="auto"/>
              </w:rPr>
            </w:pP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7,110</w:t>
            </w:r>
          </w:p>
        </w:tc>
        <w:tc>
          <w:tcPr>
            <w:tcW w:w="30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w w:val="97"/>
              </w:rPr>
              <w:t>10,461</w:t>
            </w:r>
          </w:p>
        </w:tc>
        <w:tc>
          <w:tcPr>
            <w:tcW w:w="360" w:type="dxa"/>
            <w:vAlign w:val="bottom"/>
          </w:tcPr>
          <w:p>
            <w:pPr>
              <w:spacing w:after="0"/>
              <w:rPr>
                <w:sz w:val="9"/>
                <w:szCs w:val="9"/>
                <w:color w:val="auto"/>
              </w:rPr>
            </w:pPr>
          </w:p>
        </w:tc>
        <w:tc>
          <w:tcPr>
            <w:tcW w:w="5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w w:val="91"/>
              </w:rPr>
              <w:t>43,000</w:t>
            </w:r>
          </w:p>
        </w:tc>
        <w:tc>
          <w:tcPr>
            <w:tcW w:w="300" w:type="dxa"/>
            <w:vAlign w:val="bottom"/>
          </w:tcPr>
          <w:p>
            <w:pPr>
              <w:spacing w:after="0"/>
              <w:rPr>
                <w:sz w:val="9"/>
                <w:szCs w:val="9"/>
                <w:color w:val="auto"/>
              </w:rPr>
            </w:pPr>
          </w:p>
        </w:tc>
        <w:tc>
          <w:tcPr>
            <w:tcW w:w="46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83,708</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5"/>
              </w:rPr>
              <w:t>2,701</w:t>
            </w:r>
          </w:p>
        </w:tc>
        <w:tc>
          <w:tcPr>
            <w:tcW w:w="30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w w:val="95"/>
              </w:rPr>
              <w:t>1,096</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Support equipment</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189</w:t>
            </w:r>
          </w:p>
        </w:tc>
        <w:tc>
          <w:tcPr>
            <w:tcW w:w="28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212</w:t>
            </w:r>
          </w:p>
        </w:tc>
        <w:tc>
          <w:tcPr>
            <w:tcW w:w="30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226</w:t>
            </w:r>
          </w:p>
        </w:tc>
        <w:tc>
          <w:tcPr>
            <w:tcW w:w="34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627</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745</w:t>
            </w:r>
          </w:p>
        </w:tc>
        <w:tc>
          <w:tcPr>
            <w:tcW w:w="20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240</w:t>
            </w:r>
          </w:p>
        </w:tc>
        <w:tc>
          <w:tcPr>
            <w:tcW w:w="320" w:type="dxa"/>
            <w:vAlign w:val="bottom"/>
          </w:tcPr>
          <w:p>
            <w:pPr>
              <w:spacing w:after="0"/>
              <w:rPr>
                <w:sz w:val="9"/>
                <w:szCs w:val="9"/>
                <w:color w:val="auto"/>
              </w:rPr>
            </w:pP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1,093</w:t>
            </w:r>
          </w:p>
        </w:tc>
        <w:tc>
          <w:tcPr>
            <w:tcW w:w="30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364</w:t>
            </w:r>
          </w:p>
        </w:tc>
        <w:tc>
          <w:tcPr>
            <w:tcW w:w="360" w:type="dxa"/>
            <w:vAlign w:val="bottom"/>
          </w:tcPr>
          <w:p>
            <w:pPr>
              <w:spacing w:after="0"/>
              <w:rPr>
                <w:sz w:val="9"/>
                <w:szCs w:val="9"/>
                <w:color w:val="auto"/>
              </w:rPr>
            </w:pPr>
          </w:p>
        </w:tc>
        <w:tc>
          <w:tcPr>
            <w:tcW w:w="5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2,442</w:t>
            </w:r>
          </w:p>
        </w:tc>
        <w:tc>
          <w:tcPr>
            <w:tcW w:w="300" w:type="dxa"/>
            <w:vAlign w:val="bottom"/>
          </w:tcPr>
          <w:p>
            <w:pPr>
              <w:spacing w:after="0"/>
              <w:rPr>
                <w:sz w:val="9"/>
                <w:szCs w:val="9"/>
                <w:color w:val="auto"/>
              </w:rPr>
            </w:pPr>
          </w:p>
        </w:tc>
        <w:tc>
          <w:tcPr>
            <w:tcW w:w="46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3,069</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611</w:t>
            </w:r>
          </w:p>
        </w:tc>
        <w:tc>
          <w:tcPr>
            <w:tcW w:w="30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Deferred exploratory wells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343</w:t>
            </w:r>
          </w:p>
        </w:tc>
        <w:tc>
          <w:tcPr>
            <w:tcW w:w="30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w:t>
            </w:r>
          </w:p>
        </w:tc>
        <w:tc>
          <w:tcPr>
            <w:tcW w:w="34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350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231</w:t>
            </w:r>
          </w:p>
        </w:tc>
        <w:tc>
          <w:tcPr>
            <w:tcW w:w="20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217</w:t>
            </w:r>
          </w:p>
        </w:tc>
        <w:tc>
          <w:tcPr>
            <w:tcW w:w="320" w:type="dxa"/>
            <w:vAlign w:val="bottom"/>
          </w:tcPr>
          <w:p>
            <w:pPr>
              <w:spacing w:after="0"/>
              <w:rPr>
                <w:sz w:val="9"/>
                <w:szCs w:val="9"/>
                <w:color w:val="auto"/>
              </w:rPr>
            </w:pP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149</w:t>
            </w:r>
          </w:p>
        </w:tc>
        <w:tc>
          <w:tcPr>
            <w:tcW w:w="30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292</w:t>
            </w:r>
          </w:p>
        </w:tc>
        <w:tc>
          <w:tcPr>
            <w:tcW w:w="360" w:type="dxa"/>
            <w:vAlign w:val="bottom"/>
          </w:tcPr>
          <w:p>
            <w:pPr>
              <w:spacing w:after="0"/>
              <w:rPr>
                <w:sz w:val="9"/>
                <w:szCs w:val="9"/>
                <w:color w:val="auto"/>
              </w:rPr>
            </w:pPr>
          </w:p>
        </w:tc>
        <w:tc>
          <w:tcPr>
            <w:tcW w:w="5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889</w:t>
            </w:r>
          </w:p>
        </w:tc>
        <w:tc>
          <w:tcPr>
            <w:tcW w:w="300" w:type="dxa"/>
            <w:vAlign w:val="bottom"/>
          </w:tcPr>
          <w:p>
            <w:pPr>
              <w:spacing w:after="0"/>
              <w:rPr>
                <w:sz w:val="9"/>
                <w:szCs w:val="9"/>
                <w:color w:val="auto"/>
              </w:rPr>
            </w:pPr>
          </w:p>
        </w:tc>
        <w:tc>
          <w:tcPr>
            <w:tcW w:w="46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1,239</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Other uncompleted projects</w:t>
            </w: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370</w:t>
            </w:r>
          </w:p>
        </w:tc>
        <w:tc>
          <w:tcPr>
            <w:tcW w:w="28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2,188</w:t>
            </w:r>
          </w:p>
        </w:tc>
        <w:tc>
          <w:tcPr>
            <w:tcW w:w="3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2,558</w:t>
            </w:r>
          </w:p>
        </w:tc>
        <w:tc>
          <w:tcPr>
            <w:tcW w:w="1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249"/>
              <w:spacing w:after="0"/>
              <w:rPr>
                <w:sz w:val="20"/>
                <w:szCs w:val="20"/>
                <w:color w:val="auto"/>
              </w:rPr>
            </w:pPr>
            <w:r>
              <w:rPr>
                <w:rFonts w:ascii="Arial" w:cs="Arial" w:eastAsia="Arial" w:hAnsi="Arial"/>
                <w:sz w:val="10"/>
                <w:szCs w:val="10"/>
                <w:color w:val="auto"/>
              </w:rPr>
              <w:t>4,299</w:t>
            </w:r>
          </w:p>
        </w:tc>
        <w:tc>
          <w:tcPr>
            <w:tcW w:w="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1,546</w:t>
            </w:r>
          </w:p>
        </w:tc>
        <w:tc>
          <w:tcPr>
            <w:tcW w:w="32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493</w:t>
            </w:r>
          </w:p>
        </w:tc>
        <w:tc>
          <w:tcPr>
            <w:tcW w:w="3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917</w:t>
            </w:r>
          </w:p>
        </w:tc>
        <w:tc>
          <w:tcPr>
            <w:tcW w:w="3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gridSpan w:val="2"/>
          </w:tcPr>
          <w:p>
            <w:pPr>
              <w:jc w:val="right"/>
              <w:ind w:right="220"/>
              <w:spacing w:after="0"/>
              <w:rPr>
                <w:sz w:val="20"/>
                <w:szCs w:val="20"/>
                <w:color w:val="auto"/>
              </w:rPr>
            </w:pPr>
            <w:r>
              <w:rPr>
                <w:rFonts w:ascii="Arial" w:cs="Arial" w:eastAsia="Arial" w:hAnsi="Arial"/>
                <w:sz w:val="10"/>
                <w:szCs w:val="10"/>
                <w:color w:val="auto"/>
              </w:rPr>
              <w:t>7,255</w:t>
            </w:r>
          </w:p>
        </w:tc>
        <w:tc>
          <w:tcPr>
            <w:tcW w:w="30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0"/>
                <w:szCs w:val="10"/>
                <w:color w:val="auto"/>
              </w:rPr>
              <w:t>9,813</w:t>
            </w:r>
          </w:p>
        </w:tc>
        <w:tc>
          <w:tcPr>
            <w:tcW w:w="34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w w:val="95"/>
              </w:rPr>
              <w:t>2,493</w:t>
            </w:r>
          </w:p>
        </w:tc>
        <w:tc>
          <w:tcPr>
            <w:tcW w:w="30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Gross Cap. Costs</w:t>
            </w: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1"/>
              </w:rPr>
              <w:t>11,289</w:t>
            </w:r>
          </w:p>
        </w:tc>
        <w:tc>
          <w:tcPr>
            <w:tcW w:w="28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22,214</w:t>
            </w:r>
          </w:p>
        </w:tc>
        <w:tc>
          <w:tcPr>
            <w:tcW w:w="3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1"/>
              </w:rPr>
              <w:t>12,887</w:t>
            </w:r>
          </w:p>
        </w:tc>
        <w:tc>
          <w:tcPr>
            <w:tcW w:w="34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46,390</w:t>
            </w:r>
          </w:p>
        </w:tc>
        <w:tc>
          <w:tcPr>
            <w:tcW w:w="1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jc w:val="right"/>
              <w:ind w:right="249"/>
              <w:spacing w:after="0" w:line="105" w:lineRule="exact"/>
              <w:rPr>
                <w:sz w:val="20"/>
                <w:szCs w:val="20"/>
                <w:color w:val="auto"/>
              </w:rPr>
            </w:pPr>
            <w:r>
              <w:rPr>
                <w:rFonts w:ascii="Arial" w:cs="Arial" w:eastAsia="Arial" w:hAnsi="Arial"/>
                <w:sz w:val="10"/>
                <w:szCs w:val="10"/>
                <w:color w:val="auto"/>
                <w:w w:val="97"/>
              </w:rPr>
              <w:t>15,560</w:t>
            </w:r>
          </w:p>
        </w:tc>
        <w:tc>
          <w:tcPr>
            <w:tcW w:w="20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w w:val="97"/>
              </w:rPr>
              <w:t>19,862</w:t>
            </w:r>
          </w:p>
        </w:tc>
        <w:tc>
          <w:tcPr>
            <w:tcW w:w="32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9,552</w:t>
            </w:r>
          </w:p>
        </w:tc>
        <w:tc>
          <w:tcPr>
            <w:tcW w:w="3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w w:val="97"/>
              </w:rPr>
              <w:t>13,116</w:t>
            </w:r>
          </w:p>
        </w:tc>
        <w:tc>
          <w:tcPr>
            <w:tcW w:w="36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w w:val="91"/>
              </w:rPr>
              <w:t>58,090</w:t>
            </w:r>
          </w:p>
        </w:tc>
        <w:tc>
          <w:tcPr>
            <w:tcW w:w="3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color w:val="auto"/>
                <w:w w:val="93"/>
              </w:rPr>
              <w:t>104,480</w:t>
            </w:r>
          </w:p>
        </w:tc>
        <w:tc>
          <w:tcPr>
            <w:tcW w:w="34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5"/>
              </w:rPr>
              <w:t>5,917</w:t>
            </w:r>
          </w:p>
        </w:tc>
        <w:tc>
          <w:tcPr>
            <w:tcW w:w="30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1,136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gridSpan w:val="2"/>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80" w:type="dxa"/>
            <w:vAlign w:val="bottom"/>
          </w:tcPr>
          <w:p>
            <w:pPr>
              <w:spacing w:after="0"/>
              <w:rPr>
                <w:sz w:val="8"/>
                <w:szCs w:val="8"/>
                <w:color w:val="auto"/>
              </w:rPr>
            </w:pPr>
          </w:p>
        </w:tc>
        <w:tc>
          <w:tcPr>
            <w:tcW w:w="520" w:type="dxa"/>
            <w:vAlign w:val="bottom"/>
          </w:tcPr>
          <w:p>
            <w:pPr>
              <w:jc w:val="right"/>
              <w:ind w:right="169"/>
              <w:spacing w:after="0" w:line="92" w:lineRule="exact"/>
              <w:rPr>
                <w:sz w:val="20"/>
                <w:szCs w:val="20"/>
                <w:color w:val="auto"/>
              </w:rPr>
            </w:pPr>
            <w:r>
              <w:rPr>
                <w:rFonts w:ascii="Arial" w:cs="Arial" w:eastAsia="Arial" w:hAnsi="Arial"/>
                <w:sz w:val="10"/>
                <w:szCs w:val="10"/>
                <w:color w:val="auto"/>
              </w:rPr>
              <w:t>738</w:t>
            </w:r>
          </w:p>
        </w:tc>
        <w:tc>
          <w:tcPr>
            <w:tcW w:w="280" w:type="dxa"/>
            <w:vAlign w:val="bottom"/>
          </w:tcPr>
          <w:p>
            <w:pPr>
              <w:spacing w:after="0"/>
              <w:rPr>
                <w:sz w:val="8"/>
                <w:szCs w:val="8"/>
                <w:color w:val="auto"/>
              </w:rPr>
            </w:pPr>
          </w:p>
        </w:tc>
        <w:tc>
          <w:tcPr>
            <w:tcW w:w="540" w:type="dxa"/>
            <w:vAlign w:val="bottom"/>
          </w:tcPr>
          <w:p>
            <w:pPr>
              <w:jc w:val="right"/>
              <w:ind w:right="169"/>
              <w:spacing w:after="0" w:line="92" w:lineRule="exact"/>
              <w:rPr>
                <w:sz w:val="20"/>
                <w:szCs w:val="20"/>
                <w:color w:val="auto"/>
              </w:rPr>
            </w:pPr>
            <w:r>
              <w:rPr>
                <w:rFonts w:ascii="Arial" w:cs="Arial" w:eastAsia="Arial" w:hAnsi="Arial"/>
                <w:sz w:val="10"/>
                <w:szCs w:val="10"/>
                <w:color w:val="auto"/>
              </w:rPr>
              <w:t>52</w:t>
            </w:r>
          </w:p>
        </w:tc>
        <w:tc>
          <w:tcPr>
            <w:tcW w:w="300" w:type="dxa"/>
            <w:vAlign w:val="bottom"/>
          </w:tcPr>
          <w:p>
            <w:pPr>
              <w:spacing w:after="0"/>
              <w:rPr>
                <w:sz w:val="8"/>
                <w:szCs w:val="8"/>
                <w:color w:val="auto"/>
              </w:rPr>
            </w:pPr>
          </w:p>
        </w:tc>
        <w:tc>
          <w:tcPr>
            <w:tcW w:w="460" w:type="dxa"/>
            <w:vAlign w:val="bottom"/>
          </w:tcPr>
          <w:p>
            <w:pPr>
              <w:jc w:val="right"/>
              <w:ind w:right="109"/>
              <w:spacing w:after="0" w:line="92" w:lineRule="exact"/>
              <w:rPr>
                <w:sz w:val="20"/>
                <w:szCs w:val="20"/>
                <w:color w:val="auto"/>
              </w:rPr>
            </w:pPr>
            <w:r>
              <w:rPr>
                <w:rFonts w:ascii="Arial" w:cs="Arial" w:eastAsia="Arial" w:hAnsi="Arial"/>
                <w:sz w:val="10"/>
                <w:szCs w:val="10"/>
                <w:color w:val="auto"/>
              </w:rPr>
              <w:t>29</w:t>
            </w:r>
          </w:p>
        </w:tc>
        <w:tc>
          <w:tcPr>
            <w:tcW w:w="340" w:type="dxa"/>
            <w:vAlign w:val="bottom"/>
          </w:tcPr>
          <w:p>
            <w:pPr>
              <w:spacing w:after="0"/>
              <w:rPr>
                <w:sz w:val="8"/>
                <w:szCs w:val="8"/>
                <w:color w:val="auto"/>
              </w:rPr>
            </w:pPr>
          </w:p>
        </w:tc>
        <w:tc>
          <w:tcPr>
            <w:tcW w:w="320" w:type="dxa"/>
            <w:vAlign w:val="bottom"/>
          </w:tcPr>
          <w:p>
            <w:pPr>
              <w:jc w:val="right"/>
              <w:spacing w:after="0" w:line="92" w:lineRule="exact"/>
              <w:rPr>
                <w:sz w:val="20"/>
                <w:szCs w:val="20"/>
                <w:color w:val="auto"/>
              </w:rPr>
            </w:pPr>
            <w:r>
              <w:rPr>
                <w:rFonts w:ascii="Arial" w:cs="Arial" w:eastAsia="Arial" w:hAnsi="Arial"/>
                <w:sz w:val="10"/>
                <w:szCs w:val="10"/>
                <w:color w:val="auto"/>
              </w:rPr>
              <w:t>819</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249"/>
              <w:spacing w:after="0" w:line="92" w:lineRule="exact"/>
              <w:rPr>
                <w:sz w:val="20"/>
                <w:szCs w:val="20"/>
                <w:color w:val="auto"/>
              </w:rPr>
            </w:pPr>
            <w:r>
              <w:rPr>
                <w:rFonts w:ascii="Arial" w:cs="Arial" w:eastAsia="Arial" w:hAnsi="Arial"/>
                <w:sz w:val="10"/>
                <w:szCs w:val="10"/>
                <w:color w:val="auto"/>
              </w:rPr>
              <w:t>189</w:t>
            </w:r>
          </w:p>
        </w:tc>
        <w:tc>
          <w:tcPr>
            <w:tcW w:w="200" w:type="dxa"/>
            <w:vAlign w:val="bottom"/>
          </w:tcPr>
          <w:p>
            <w:pPr>
              <w:spacing w:after="0"/>
              <w:rPr>
                <w:sz w:val="8"/>
                <w:szCs w:val="8"/>
                <w:color w:val="auto"/>
              </w:rPr>
            </w:pPr>
          </w:p>
        </w:tc>
        <w:tc>
          <w:tcPr>
            <w:tcW w:w="520" w:type="dxa"/>
            <w:vAlign w:val="bottom"/>
          </w:tcPr>
          <w:p>
            <w:pPr>
              <w:jc w:val="right"/>
              <w:ind w:right="149"/>
              <w:spacing w:after="0" w:line="92" w:lineRule="exact"/>
              <w:rPr>
                <w:sz w:val="20"/>
                <w:szCs w:val="20"/>
                <w:color w:val="auto"/>
              </w:rPr>
            </w:pPr>
            <w:r>
              <w:rPr>
                <w:rFonts w:ascii="Arial" w:cs="Arial" w:eastAsia="Arial" w:hAnsi="Arial"/>
                <w:sz w:val="10"/>
                <w:szCs w:val="10"/>
                <w:color w:val="auto"/>
              </w:rPr>
              <w:t>74</w:t>
            </w:r>
          </w:p>
        </w:tc>
        <w:tc>
          <w:tcPr>
            <w:tcW w:w="320" w:type="dxa"/>
            <w:vAlign w:val="bottom"/>
          </w:tcPr>
          <w:p>
            <w:pPr>
              <w:spacing w:after="0"/>
              <w:rPr>
                <w:sz w:val="8"/>
                <w:szCs w:val="8"/>
                <w:color w:val="auto"/>
              </w:rPr>
            </w:pPr>
          </w:p>
        </w:tc>
        <w:tc>
          <w:tcPr>
            <w:tcW w:w="480" w:type="dxa"/>
            <w:vAlign w:val="bottom"/>
          </w:tcPr>
          <w:p>
            <w:pPr>
              <w:jc w:val="right"/>
              <w:ind w:right="149"/>
              <w:spacing w:after="0" w:line="92" w:lineRule="exact"/>
              <w:rPr>
                <w:sz w:val="20"/>
                <w:szCs w:val="20"/>
                <w:color w:val="auto"/>
              </w:rPr>
            </w:pPr>
            <w:r>
              <w:rPr>
                <w:rFonts w:ascii="Arial" w:cs="Arial" w:eastAsia="Arial" w:hAnsi="Arial"/>
                <w:sz w:val="10"/>
                <w:szCs w:val="10"/>
                <w:color w:val="auto"/>
              </w:rPr>
              <w:t>14</w:t>
            </w:r>
          </w:p>
        </w:tc>
        <w:tc>
          <w:tcPr>
            <w:tcW w:w="300" w:type="dxa"/>
            <w:vAlign w:val="bottom"/>
          </w:tcPr>
          <w:p>
            <w:pPr>
              <w:spacing w:after="0"/>
              <w:rPr>
                <w:sz w:val="8"/>
                <w:szCs w:val="8"/>
                <w:color w:val="auto"/>
              </w:rPr>
            </w:pPr>
          </w:p>
        </w:tc>
        <w:tc>
          <w:tcPr>
            <w:tcW w:w="480" w:type="dxa"/>
            <w:vAlign w:val="bottom"/>
          </w:tcPr>
          <w:p>
            <w:pPr>
              <w:jc w:val="right"/>
              <w:ind w:right="109"/>
              <w:spacing w:after="0" w:line="92" w:lineRule="exact"/>
              <w:rPr>
                <w:sz w:val="20"/>
                <w:szCs w:val="20"/>
                <w:color w:val="auto"/>
              </w:rPr>
            </w:pPr>
            <w:r>
              <w:rPr>
                <w:rFonts w:ascii="Arial" w:cs="Arial" w:eastAsia="Arial" w:hAnsi="Arial"/>
                <w:sz w:val="10"/>
                <w:szCs w:val="10"/>
                <w:color w:val="auto"/>
              </w:rPr>
              <w:t>337</w:t>
            </w:r>
          </w:p>
        </w:tc>
        <w:tc>
          <w:tcPr>
            <w:tcW w:w="360" w:type="dxa"/>
            <w:vAlign w:val="bottom"/>
          </w:tcPr>
          <w:p>
            <w:pPr>
              <w:spacing w:after="0"/>
              <w:rPr>
                <w:sz w:val="8"/>
                <w:szCs w:val="8"/>
                <w:color w:val="auto"/>
              </w:rPr>
            </w:pPr>
          </w:p>
        </w:tc>
        <w:tc>
          <w:tcPr>
            <w:tcW w:w="520" w:type="dxa"/>
            <w:vAlign w:val="bottom"/>
            <w:gridSpan w:val="2"/>
          </w:tcPr>
          <w:p>
            <w:pPr>
              <w:jc w:val="right"/>
              <w:ind w:right="220"/>
              <w:spacing w:after="0" w:line="92" w:lineRule="exact"/>
              <w:rPr>
                <w:sz w:val="20"/>
                <w:szCs w:val="20"/>
                <w:color w:val="auto"/>
              </w:rPr>
            </w:pPr>
            <w:r>
              <w:rPr>
                <w:rFonts w:ascii="Arial" w:cs="Arial" w:eastAsia="Arial" w:hAnsi="Arial"/>
                <w:sz w:val="10"/>
                <w:szCs w:val="10"/>
                <w:color w:val="auto"/>
              </w:rPr>
              <w:t>614</w:t>
            </w:r>
          </w:p>
        </w:tc>
        <w:tc>
          <w:tcPr>
            <w:tcW w:w="300" w:type="dxa"/>
            <w:vAlign w:val="bottom"/>
          </w:tcPr>
          <w:p>
            <w:pPr>
              <w:spacing w:after="0"/>
              <w:rPr>
                <w:sz w:val="8"/>
                <w:szCs w:val="8"/>
                <w:color w:val="auto"/>
              </w:rPr>
            </w:pPr>
          </w:p>
        </w:tc>
        <w:tc>
          <w:tcPr>
            <w:tcW w:w="460" w:type="dxa"/>
            <w:vAlign w:val="bottom"/>
            <w:gridSpan w:val="2"/>
          </w:tcPr>
          <w:p>
            <w:pPr>
              <w:jc w:val="right"/>
              <w:ind w:right="100"/>
              <w:spacing w:after="0" w:line="92" w:lineRule="exact"/>
              <w:rPr>
                <w:sz w:val="20"/>
                <w:szCs w:val="20"/>
                <w:color w:val="auto"/>
              </w:rPr>
            </w:pPr>
            <w:r>
              <w:rPr>
                <w:rFonts w:ascii="Arial" w:cs="Arial" w:eastAsia="Arial" w:hAnsi="Arial"/>
                <w:sz w:val="10"/>
                <w:szCs w:val="10"/>
                <w:color w:val="auto"/>
              </w:rPr>
              <w:t>1,433</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ind w:right="169"/>
              <w:spacing w:after="0" w:line="92" w:lineRule="exact"/>
              <w:rPr>
                <w:sz w:val="20"/>
                <w:szCs w:val="20"/>
                <w:color w:val="auto"/>
              </w:rPr>
            </w:pPr>
            <w:r>
              <w:rPr>
                <w:rFonts w:ascii="Arial" w:cs="Arial" w:eastAsia="Arial" w:hAnsi="Arial"/>
                <w:sz w:val="10"/>
                <w:szCs w:val="10"/>
                <w:color w:val="auto"/>
              </w:rPr>
              <w:t>22</w:t>
            </w:r>
          </w:p>
        </w:tc>
        <w:tc>
          <w:tcPr>
            <w:tcW w:w="300" w:type="dxa"/>
            <w:vAlign w:val="bottom"/>
          </w:tcPr>
          <w:p>
            <w:pPr>
              <w:spacing w:after="0"/>
              <w:rPr>
                <w:sz w:val="8"/>
                <w:szCs w:val="8"/>
                <w:color w:val="auto"/>
              </w:rPr>
            </w:pPr>
          </w:p>
        </w:tc>
        <w:tc>
          <w:tcPr>
            <w:tcW w:w="26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 –</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Depreciation and depletion</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7,082</w:t>
            </w:r>
          </w:p>
        </w:tc>
        <w:tc>
          <w:tcPr>
            <w:tcW w:w="28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14,468</w:t>
            </w:r>
          </w:p>
        </w:tc>
        <w:tc>
          <w:tcPr>
            <w:tcW w:w="300" w:type="dxa"/>
            <w:vAlign w:val="bottom"/>
          </w:tcPr>
          <w:p>
            <w:pPr>
              <w:spacing w:after="0"/>
              <w:rPr>
                <w:sz w:val="9"/>
                <w:szCs w:val="9"/>
                <w:color w:val="auto"/>
              </w:rPr>
            </w:pP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6,880</w:t>
            </w:r>
          </w:p>
        </w:tc>
        <w:tc>
          <w:tcPr>
            <w:tcW w:w="34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w w:val="97"/>
              </w:rPr>
              <w:t>28,430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4,794</w:t>
            </w:r>
          </w:p>
        </w:tc>
        <w:tc>
          <w:tcPr>
            <w:tcW w:w="20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5,273</w:t>
            </w:r>
          </w:p>
        </w:tc>
        <w:tc>
          <w:tcPr>
            <w:tcW w:w="320" w:type="dxa"/>
            <w:vAlign w:val="bottom"/>
          </w:tcPr>
          <w:p>
            <w:pPr>
              <w:spacing w:after="0"/>
              <w:rPr>
                <w:sz w:val="9"/>
                <w:szCs w:val="9"/>
                <w:color w:val="auto"/>
              </w:rPr>
            </w:pP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4,971</w:t>
            </w:r>
          </w:p>
        </w:tc>
        <w:tc>
          <w:tcPr>
            <w:tcW w:w="30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6,087</w:t>
            </w:r>
          </w:p>
        </w:tc>
        <w:tc>
          <w:tcPr>
            <w:tcW w:w="360" w:type="dxa"/>
            <w:vAlign w:val="bottom"/>
          </w:tcPr>
          <w:p>
            <w:pPr>
              <w:spacing w:after="0"/>
              <w:rPr>
                <w:sz w:val="9"/>
                <w:szCs w:val="9"/>
                <w:color w:val="auto"/>
              </w:rPr>
            </w:pPr>
          </w:p>
        </w:tc>
        <w:tc>
          <w:tcPr>
            <w:tcW w:w="5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w w:val="91"/>
              </w:rPr>
              <w:t>21,125</w:t>
            </w:r>
          </w:p>
        </w:tc>
        <w:tc>
          <w:tcPr>
            <w:tcW w:w="300" w:type="dxa"/>
            <w:vAlign w:val="bottom"/>
          </w:tcPr>
          <w:p>
            <w:pPr>
              <w:spacing w:after="0"/>
              <w:rPr>
                <w:sz w:val="9"/>
                <w:szCs w:val="9"/>
                <w:color w:val="auto"/>
              </w:rPr>
            </w:pPr>
          </w:p>
        </w:tc>
        <w:tc>
          <w:tcPr>
            <w:tcW w:w="46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49,555</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541</w:t>
            </w:r>
          </w:p>
        </w:tc>
        <w:tc>
          <w:tcPr>
            <w:tcW w:w="30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109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20" w:type="dxa"/>
            <w:vAlign w:val="bottom"/>
            <w:gridSpan w:val="2"/>
          </w:tcPr>
          <w:p>
            <w:pPr>
              <w:spacing w:after="0"/>
              <w:rPr>
                <w:sz w:val="20"/>
                <w:szCs w:val="20"/>
                <w:color w:val="auto"/>
              </w:rPr>
            </w:pPr>
            <w:r>
              <w:rPr>
                <w:rFonts w:ascii="Arial" w:cs="Arial" w:eastAsia="Arial" w:hAnsi="Arial"/>
                <w:sz w:val="10"/>
                <w:szCs w:val="10"/>
                <w:color w:val="auto"/>
              </w:rPr>
              <w:t>Support equipment depreciation</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125</w:t>
            </w:r>
          </w:p>
        </w:tc>
        <w:tc>
          <w:tcPr>
            <w:tcW w:w="28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111</w:t>
            </w:r>
          </w:p>
        </w:tc>
        <w:tc>
          <w:tcPr>
            <w:tcW w:w="30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color w:val="auto"/>
              </w:rPr>
              <w:t>130</w:t>
            </w:r>
          </w:p>
        </w:tc>
        <w:tc>
          <w:tcPr>
            <w:tcW w:w="3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366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49"/>
              <w:spacing w:after="0"/>
              <w:rPr>
                <w:sz w:val="20"/>
                <w:szCs w:val="20"/>
                <w:color w:val="auto"/>
              </w:rPr>
            </w:pPr>
            <w:r>
              <w:rPr>
                <w:rFonts w:ascii="Arial" w:cs="Arial" w:eastAsia="Arial" w:hAnsi="Arial"/>
                <w:sz w:val="10"/>
                <w:szCs w:val="10"/>
                <w:color w:val="auto"/>
              </w:rPr>
              <w:t>400</w:t>
            </w:r>
          </w:p>
        </w:tc>
        <w:tc>
          <w:tcPr>
            <w:tcW w:w="20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rPr>
              <w:t>102</w:t>
            </w:r>
          </w:p>
        </w:tc>
        <w:tc>
          <w:tcPr>
            <w:tcW w:w="32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auto"/>
              </w:rPr>
              <w:t>522</w:t>
            </w:r>
          </w:p>
        </w:tc>
        <w:tc>
          <w:tcPr>
            <w:tcW w:w="300" w:type="dxa"/>
            <w:vAlign w:val="bottom"/>
          </w:tcPr>
          <w:p>
            <w:pPr>
              <w:spacing w:after="0"/>
              <w:rPr>
                <w:sz w:val="10"/>
                <w:szCs w:val="10"/>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color w:val="auto"/>
              </w:rPr>
              <w:t>238</w:t>
            </w:r>
          </w:p>
        </w:tc>
        <w:tc>
          <w:tcPr>
            <w:tcW w:w="36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1,262</w:t>
            </w:r>
          </w:p>
        </w:tc>
        <w:tc>
          <w:tcPr>
            <w:tcW w:w="3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1,628</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242</w:t>
            </w:r>
          </w:p>
        </w:tc>
        <w:tc>
          <w:tcPr>
            <w:tcW w:w="30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Accumulated provisions</w:t>
            </w:r>
          </w:p>
        </w:tc>
        <w:tc>
          <w:tcPr>
            <w:tcW w:w="8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7,945</w:t>
            </w:r>
          </w:p>
        </w:tc>
        <w:tc>
          <w:tcPr>
            <w:tcW w:w="28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14,631</w:t>
            </w:r>
          </w:p>
        </w:tc>
        <w:tc>
          <w:tcPr>
            <w:tcW w:w="3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7,039</w:t>
            </w:r>
          </w:p>
        </w:tc>
        <w:tc>
          <w:tcPr>
            <w:tcW w:w="34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7"/>
              </w:rPr>
              <w:t>29,615</w:t>
            </w:r>
          </w:p>
        </w:tc>
        <w:tc>
          <w:tcPr>
            <w:tcW w:w="10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249"/>
              <w:spacing w:after="0" w:line="105" w:lineRule="exact"/>
              <w:rPr>
                <w:sz w:val="20"/>
                <w:szCs w:val="20"/>
                <w:color w:val="auto"/>
              </w:rPr>
            </w:pPr>
            <w:r>
              <w:rPr>
                <w:rFonts w:ascii="Arial" w:cs="Arial" w:eastAsia="Arial" w:hAnsi="Arial"/>
                <w:sz w:val="10"/>
                <w:szCs w:val="10"/>
                <w:color w:val="auto"/>
              </w:rPr>
              <w:t>5,383</w:t>
            </w:r>
          </w:p>
        </w:tc>
        <w:tc>
          <w:tcPr>
            <w:tcW w:w="20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5,449</w:t>
            </w:r>
          </w:p>
        </w:tc>
        <w:tc>
          <w:tcPr>
            <w:tcW w:w="32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5,507</w:t>
            </w:r>
          </w:p>
        </w:tc>
        <w:tc>
          <w:tcPr>
            <w:tcW w:w="3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6,662</w:t>
            </w:r>
          </w:p>
        </w:tc>
        <w:tc>
          <w:tcPr>
            <w:tcW w:w="36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w w:val="91"/>
              </w:rPr>
              <w:t>23,001</w:t>
            </w:r>
          </w:p>
        </w:tc>
        <w:tc>
          <w:tcPr>
            <w:tcW w:w="300" w:type="dxa"/>
            <w:vAlign w:val="bottom"/>
            <w:tcBorders>
              <w:top w:val="single" w:sz="8" w:color="0077C0"/>
              <w:bottom w:val="single" w:sz="8" w:color="0077C0"/>
            </w:tcBorders>
          </w:tcPr>
          <w:p>
            <w:pPr>
              <w:spacing w:after="0"/>
              <w:rPr>
                <w:sz w:val="9"/>
                <w:szCs w:val="9"/>
                <w:color w:val="auto"/>
              </w:rPr>
            </w:pPr>
          </w:p>
        </w:tc>
        <w:tc>
          <w:tcPr>
            <w:tcW w:w="460" w:type="dxa"/>
            <w:vAlign w:val="bottom"/>
            <w:tcBorders>
              <w:top w:val="single" w:sz="8" w:color="0077C0"/>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color w:val="auto"/>
              </w:rPr>
              <w:t>52,616</w:t>
            </w:r>
          </w:p>
        </w:tc>
        <w:tc>
          <w:tcPr>
            <w:tcW w:w="340" w:type="dxa"/>
            <w:vAlign w:val="bottom"/>
            <w:tcBorders>
              <w:top w:val="single" w:sz="8" w:color="0077C0"/>
              <w:bottom w:val="single" w:sz="8" w:color="0077C0"/>
            </w:tcBorders>
          </w:tcPr>
          <w:p>
            <w:pPr>
              <w:spacing w:after="0"/>
              <w:rPr>
                <w:sz w:val="9"/>
                <w:szCs w:val="9"/>
                <w:color w:val="auto"/>
              </w:rPr>
            </w:pPr>
          </w:p>
        </w:tc>
        <w:tc>
          <w:tcPr>
            <w:tcW w:w="6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805</w:t>
            </w:r>
          </w:p>
        </w:tc>
        <w:tc>
          <w:tcPr>
            <w:tcW w:w="300" w:type="dxa"/>
            <w:vAlign w:val="bottom"/>
            <w:tcBorders>
              <w:top w:val="single" w:sz="8" w:color="0077C0"/>
              <w:bottom w:val="single" w:sz="8" w:color="0077C0"/>
            </w:tcBorders>
          </w:tcPr>
          <w:p>
            <w:pPr>
              <w:spacing w:after="0"/>
              <w:rPr>
                <w:sz w:val="9"/>
                <w:szCs w:val="9"/>
                <w:color w:val="auto"/>
              </w:rPr>
            </w:pP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20" w:type="dxa"/>
            <w:vAlign w:val="bottom"/>
            <w:gridSpan w:val="2"/>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80" w:type="dxa"/>
            <w:vAlign w:val="bottom"/>
          </w:tcPr>
          <w:p>
            <w:pPr>
              <w:jc w:val="right"/>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3,344</w:t>
            </w:r>
          </w:p>
        </w:tc>
        <w:tc>
          <w:tcPr>
            <w:tcW w:w="2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7,583</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5,848</w:t>
            </w: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w w:val="97"/>
              </w:rPr>
              <w:t>16,775</w:t>
            </w:r>
          </w:p>
        </w:tc>
        <w:tc>
          <w:tcPr>
            <w:tcW w:w="500" w:type="dxa"/>
            <w:vAlign w:val="bottom"/>
            <w:gridSpan w:val="3"/>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49"/>
              <w:spacing w:after="0" w:line="105" w:lineRule="exact"/>
              <w:rPr>
                <w:sz w:val="20"/>
                <w:szCs w:val="20"/>
                <w:color w:val="auto"/>
              </w:rPr>
            </w:pPr>
            <w:r>
              <w:rPr>
                <w:rFonts w:ascii="Arial" w:cs="Arial" w:eastAsia="Arial" w:hAnsi="Arial"/>
                <w:sz w:val="10"/>
                <w:szCs w:val="10"/>
                <w:color w:val="auto"/>
                <w:w w:val="97"/>
              </w:rPr>
              <w:t>10,177</w:t>
            </w: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color w:val="auto"/>
                <w:w w:val="97"/>
              </w:rPr>
              <w:t>14,413</w:t>
            </w:r>
          </w:p>
        </w:tc>
        <w:tc>
          <w:tcPr>
            <w:tcW w:w="320" w:type="dxa"/>
            <w:vAlign w:val="bottom"/>
          </w:tcPr>
          <w:p>
            <w:pPr>
              <w:ind w:left="220"/>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4,045</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09"/>
              <w:spacing w:after="0" w:line="105" w:lineRule="exact"/>
              <w:rPr>
                <w:sz w:val="20"/>
                <w:szCs w:val="20"/>
                <w:color w:val="auto"/>
              </w:rPr>
            </w:pPr>
            <w:r>
              <w:rPr>
                <w:rFonts w:ascii="Arial" w:cs="Arial" w:eastAsia="Arial" w:hAnsi="Arial"/>
                <w:sz w:val="10"/>
                <w:szCs w:val="10"/>
                <w:color w:val="auto"/>
              </w:rPr>
              <w:t>6,454</w:t>
            </w:r>
          </w:p>
        </w:tc>
        <w:tc>
          <w:tcPr>
            <w:tcW w:w="3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line="105" w:lineRule="exact"/>
              <w:rPr>
                <w:sz w:val="20"/>
                <w:szCs w:val="20"/>
                <w:color w:val="auto"/>
              </w:rPr>
            </w:pPr>
            <w:r>
              <w:rPr>
                <w:rFonts w:ascii="Arial" w:cs="Arial" w:eastAsia="Arial" w:hAnsi="Arial"/>
                <w:sz w:val="10"/>
                <w:szCs w:val="10"/>
                <w:color w:val="auto"/>
                <w:w w:val="91"/>
              </w:rPr>
              <w:t>35,089</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51,864</w:t>
            </w:r>
          </w:p>
        </w:tc>
        <w:tc>
          <w:tcPr>
            <w:tcW w:w="40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5" w:lineRule="exact"/>
              <w:rPr>
                <w:sz w:val="20"/>
                <w:szCs w:val="20"/>
                <w:color w:val="auto"/>
              </w:rPr>
            </w:pPr>
            <w:r>
              <w:rPr>
                <w:rFonts w:ascii="Arial" w:cs="Arial" w:eastAsia="Arial" w:hAnsi="Arial"/>
                <w:sz w:val="10"/>
                <w:szCs w:val="10"/>
                <w:color w:val="auto"/>
                <w:w w:val="95"/>
              </w:rPr>
              <w:t>5,112</w:t>
            </w: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5" w:lineRule="exact"/>
              <w:rPr>
                <w:sz w:val="20"/>
                <w:szCs w:val="20"/>
                <w:color w:val="auto"/>
              </w:rPr>
            </w:pPr>
            <w:r>
              <w:rPr>
                <w:rFonts w:ascii="Arial" w:cs="Arial" w:eastAsia="Arial" w:hAnsi="Arial"/>
                <w:sz w:val="10"/>
                <w:szCs w:val="10"/>
                <w:color w:val="auto"/>
                <w:w w:val="95"/>
              </w:rPr>
              <w:t>1,027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00" w:type="dxa"/>
            <w:vAlign w:val="bottom"/>
            <w:tcBorders>
              <w:top w:val="single" w:sz="8" w:color="0077C0"/>
            </w:tcBorders>
          </w:tcPr>
          <w:p>
            <w:pPr>
              <w:spacing w:after="0"/>
              <w:rPr>
                <w:sz w:val="20"/>
                <w:szCs w:val="20"/>
                <w:color w:val="auto"/>
              </w:rPr>
            </w:pPr>
          </w:p>
        </w:tc>
        <w:tc>
          <w:tcPr>
            <w:tcW w:w="8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tcPr>
          <w:p>
            <w:pPr>
              <w:spacing w:after="0"/>
              <w:rPr>
                <w:sz w:val="20"/>
                <w:szCs w:val="20"/>
                <w:color w:val="auto"/>
              </w:rPr>
            </w:pPr>
          </w:p>
        </w:tc>
        <w:tc>
          <w:tcPr>
            <w:tcW w:w="54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460" w:type="dxa"/>
            <w:vAlign w:val="bottom"/>
            <w:tcBorders>
              <w:top w:val="single" w:sz="8" w:color="0077C0"/>
            </w:tcBorders>
          </w:tcPr>
          <w:p>
            <w:pPr>
              <w:spacing w:after="0"/>
              <w:rPr>
                <w:sz w:val="20"/>
                <w:szCs w:val="20"/>
                <w:color w:val="auto"/>
              </w:rPr>
            </w:pPr>
          </w:p>
        </w:tc>
        <w:tc>
          <w:tcPr>
            <w:tcW w:w="34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80" w:type="dxa"/>
            <w:vAlign w:val="bottom"/>
            <w:tcBorders>
              <w:top w:val="single" w:sz="8" w:color="0077C0"/>
            </w:tcBorders>
          </w:tcPr>
          <w:p>
            <w:pPr>
              <w:spacing w:after="0"/>
              <w:rPr>
                <w:sz w:val="20"/>
                <w:szCs w:val="20"/>
                <w:color w:val="auto"/>
              </w:rPr>
            </w:pPr>
          </w:p>
        </w:tc>
        <w:tc>
          <w:tcPr>
            <w:tcW w:w="620" w:type="dxa"/>
            <w:vAlign w:val="bottom"/>
            <w:tcBorders>
              <w:top w:val="single" w:sz="8" w:color="0077C0"/>
            </w:tcBorders>
          </w:tcPr>
          <w:p>
            <w:pPr>
              <w:jc w:val="right"/>
              <w:ind w:right="49"/>
              <w:spacing w:after="0"/>
              <w:rPr>
                <w:sz w:val="20"/>
                <w:szCs w:val="20"/>
                <w:color w:val="auto"/>
              </w:rPr>
            </w:pPr>
            <w:r>
              <w:rPr>
                <w:rFonts w:ascii="Arial" w:cs="Arial" w:eastAsia="Arial" w:hAnsi="Arial"/>
                <w:sz w:val="10"/>
                <w:szCs w:val="10"/>
                <w:color w:val="auto"/>
              </w:rPr>
              <w:t>FS-64</w:t>
            </w:r>
          </w:p>
        </w:tc>
        <w:tc>
          <w:tcPr>
            <w:tcW w:w="20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6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22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360" w:type="dxa"/>
            <w:vAlign w:val="bottom"/>
            <w:tcBorders>
              <w:top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340" w:type="dxa"/>
            <w:vAlign w:val="bottom"/>
            <w:tcBorders>
              <w:top w:val="single" w:sz="8" w:color="0077C0"/>
            </w:tcBorders>
          </w:tcPr>
          <w:p>
            <w:pPr>
              <w:spacing w:after="0"/>
              <w:rPr>
                <w:sz w:val="20"/>
                <w:szCs w:val="20"/>
                <w:color w:val="auto"/>
              </w:rPr>
            </w:pPr>
          </w:p>
        </w:tc>
        <w:tc>
          <w:tcPr>
            <w:tcW w:w="6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00" w:type="dxa"/>
            <w:vAlign w:val="bottom"/>
            <w:tcBorders>
              <w:top w:val="single" w:sz="8" w:color="0077C0"/>
            </w:tcBorders>
          </w:tcPr>
          <w:p>
            <w:pPr>
              <w:spacing w:after="0"/>
              <w:rPr>
                <w:sz w:val="20"/>
                <w:szCs w:val="20"/>
                <w:color w:val="auto"/>
              </w:rPr>
            </w:pPr>
          </w:p>
        </w:tc>
        <w:tc>
          <w:tcPr>
            <w:tcW w:w="260" w:type="dxa"/>
            <w:vAlign w:val="bottom"/>
            <w:tcBorders>
              <w:top w:val="single" w:sz="8" w:color="0077C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105" w:name="page106"/>
    <w:bookmarkEnd w:id="105"/>
    <w:p>
      <w:pPr>
        <w:ind w:left="3"/>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285990" cy="6286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3"/>
        <w:spacing w:after="0"/>
        <w:rPr>
          <w:sz w:val="20"/>
          <w:szCs w:val="20"/>
          <w:color w:val="auto"/>
        </w:rPr>
      </w:pPr>
      <w:r>
        <w:rPr>
          <w:rFonts w:ascii="Arial" w:cs="Arial" w:eastAsia="Arial" w:hAnsi="Arial"/>
          <w:sz w:val="10"/>
          <w:szCs w:val="10"/>
          <w:b w:val="1"/>
          <w:bCs w:val="1"/>
          <w:color w:val="0077C0"/>
        </w:rPr>
        <w:t xml:space="preserve">Table III </w:t>
      </w:r>
      <w:r>
        <w:rPr>
          <w:rFonts w:ascii="Arial" w:cs="Arial" w:eastAsia="Arial" w:hAnsi="Arial"/>
          <w:sz w:val="8"/>
          <w:szCs w:val="8"/>
          <w:color w:val="000000"/>
        </w:rPr>
        <w:t>Results of Operations for Oil and</w:t>
      </w:r>
    </w:p>
    <w:p>
      <w:pPr>
        <w:spacing w:after="0" w:line="5" w:lineRule="exact"/>
        <w:rPr>
          <w:sz w:val="20"/>
          <w:szCs w:val="20"/>
          <w:color w:val="auto"/>
        </w:rPr>
      </w:pPr>
    </w:p>
    <w:p>
      <w:pPr>
        <w:ind w:left="563"/>
        <w:spacing w:after="0"/>
        <w:rPr>
          <w:sz w:val="20"/>
          <w:szCs w:val="20"/>
          <w:color w:val="auto"/>
        </w:rPr>
      </w:pPr>
      <w:r>
        <w:rPr>
          <w:rFonts w:ascii="Arial" w:cs="Arial" w:eastAsia="Arial" w:hAnsi="Arial"/>
          <w:sz w:val="9"/>
          <w:szCs w:val="9"/>
          <w:color w:val="auto"/>
        </w:rPr>
        <w:t>Gas Producing Activities</w:t>
      </w:r>
      <w:r>
        <w:rPr>
          <w:rFonts w:ascii="Arial" w:cs="Arial" w:eastAsia="Arial" w:hAnsi="Arial"/>
          <w:sz w:val="7"/>
          <w:szCs w:val="7"/>
          <w:color w:val="auto"/>
        </w:rPr>
        <w:t>1</w:t>
      </w:r>
    </w:p>
    <w:p>
      <w:pPr>
        <w:spacing w:after="0" w:line="372" w:lineRule="exact"/>
        <w:rPr>
          <w:sz w:val="20"/>
          <w:szCs w:val="20"/>
          <w:color w:val="auto"/>
        </w:rPr>
      </w:pPr>
    </w:p>
    <w:p>
      <w:pPr>
        <w:jc w:val="both"/>
        <w:ind w:left="3" w:firstLine="158"/>
        <w:spacing w:after="0" w:line="288" w:lineRule="auto"/>
        <w:rPr>
          <w:sz w:val="20"/>
          <w:szCs w:val="20"/>
          <w:color w:val="auto"/>
        </w:rPr>
      </w:pPr>
      <w:r>
        <w:rPr>
          <w:rFonts w:ascii="Arial" w:cs="Arial" w:eastAsia="Arial" w:hAnsi="Arial"/>
          <w:sz w:val="12"/>
          <w:szCs w:val="12"/>
          <w:color w:val="auto"/>
        </w:rPr>
        <w:t>The company’s results of operations from oil and gas producing activities for the years 2008, 2007 and 2006 are shown in the following table. Net income from exploration and production activities as reported on page FS-39 reflects income taxes computed on an effective rate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spacing w:after="0" w:line="256" w:lineRule="auto"/>
        <w:rPr>
          <w:sz w:val="20"/>
          <w:szCs w:val="20"/>
          <w:color w:val="auto"/>
        </w:rPr>
      </w:pPr>
      <w:r>
        <w:rPr>
          <w:rFonts w:ascii="Arial" w:cs="Arial" w:eastAsia="Arial" w:hAnsi="Arial"/>
          <w:sz w:val="13"/>
          <w:szCs w:val="13"/>
          <w:color w:val="auto"/>
        </w:rPr>
        <w:t>In accordance with FAS 69, income taxes in Table III are based on statutory tax rates, reflecting allowable deductions and tax credits. Interest income and expense are excluded from the results reported in Table III and from the net income amounts on page FS-39.</w:t>
      </w:r>
    </w:p>
    <w:p>
      <w:pPr>
        <w:spacing w:after="0" w:line="218" w:lineRule="exact"/>
        <w:rPr>
          <w:sz w:val="20"/>
          <w:szCs w:val="20"/>
          <w:color w:val="auto"/>
        </w:rPr>
      </w:pPr>
    </w:p>
    <w:p>
      <w:pPr>
        <w:sectPr>
          <w:pgSz w:w="11900" w:h="16838" w:orient="portrait"/>
          <w:cols w:equalWidth="0" w:num="2">
            <w:col w:w="5423" w:space="540"/>
            <w:col w:w="5520"/>
          </w:cols>
          <w:pgMar w:left="217" w:top="338" w:right="199" w:bottom="1440" w:gutter="0" w:footer="0" w:header="0"/>
          <w:type w:val="continuous"/>
        </w:sectPr>
      </w:pPr>
    </w:p>
    <w:p>
      <w:pPr>
        <w:spacing w:after="0" w:line="168"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0"/>
                <w:szCs w:val="10"/>
                <w:color w:val="auto"/>
              </w:rPr>
              <w:t>Consolidated Companies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United States</w:t>
            </w:r>
          </w:p>
        </w:tc>
        <w:tc>
          <w:tcPr>
            <w:tcW w:w="1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900" w:type="dxa"/>
            <w:vAlign w:val="bottom"/>
            <w:tcBorders>
              <w:top w:val="single" w:sz="8" w:color="0077C0"/>
            </w:tcBorders>
            <w:gridSpan w:val="3"/>
          </w:tcPr>
          <w:p>
            <w:pPr>
              <w:jc w:val="right"/>
              <w:ind w:right="240"/>
              <w:spacing w:after="0" w:line="95" w:lineRule="exact"/>
              <w:rPr>
                <w:sz w:val="20"/>
                <w:szCs w:val="20"/>
                <w:color w:val="auto"/>
              </w:rPr>
            </w:pPr>
            <w:r>
              <w:rPr>
                <w:rFonts w:ascii="Arial" w:cs="Arial" w:eastAsia="Arial" w:hAnsi="Arial"/>
                <w:sz w:val="10"/>
                <w:szCs w:val="10"/>
                <w:color w:val="auto"/>
              </w:rPr>
              <w:t>International</w:t>
            </w:r>
          </w:p>
        </w:tc>
        <w:tc>
          <w:tcPr>
            <w:tcW w:w="28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jc w:val="right"/>
              <w:ind w:right="12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46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Gulf of</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rPr>
              <w:t>Asia-</w:t>
            </w: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gridSpan w:val="2"/>
          </w:tcPr>
          <w:p>
            <w:pPr>
              <w:jc w:val="right"/>
              <w:ind w:right="240"/>
              <w:spacing w:after="0" w:line="95" w:lineRule="exact"/>
              <w:rPr>
                <w:sz w:val="20"/>
                <w:szCs w:val="20"/>
                <w:color w:val="auto"/>
              </w:rPr>
            </w:pPr>
            <w:r>
              <w:rPr>
                <w:rFonts w:ascii="Arial" w:cs="Arial" w:eastAsia="Arial" w:hAnsi="Arial"/>
                <w:sz w:val="10"/>
                <w:szCs w:val="10"/>
                <w:color w:val="auto"/>
              </w:rPr>
              <w:t>Total</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2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dollars</w:t>
            </w:r>
          </w:p>
        </w:tc>
        <w:tc>
          <w:tcPr>
            <w:tcW w:w="8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Calif.</w:t>
            </w:r>
          </w:p>
        </w:tc>
        <w:tc>
          <w:tcPr>
            <w:tcW w:w="26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w w:val="94"/>
              </w:rPr>
              <w:t>Mexico</w:t>
            </w:r>
          </w:p>
        </w:tc>
        <w:tc>
          <w:tcPr>
            <w:tcW w:w="280" w:type="dxa"/>
            <w:vAlign w:val="bottom"/>
          </w:tcPr>
          <w:p>
            <w:pPr>
              <w:spacing w:after="0"/>
              <w:rPr>
                <w:sz w:val="8"/>
                <w:szCs w:val="8"/>
                <w:color w:val="auto"/>
              </w:rPr>
            </w:pPr>
          </w:p>
        </w:tc>
        <w:tc>
          <w:tcPr>
            <w:tcW w:w="460" w:type="dxa"/>
            <w:vAlign w:val="bottom"/>
          </w:tcPr>
          <w:p>
            <w:pPr>
              <w:jc w:val="right"/>
              <w:ind w:right="109"/>
              <w:spacing w:after="0" w:line="95" w:lineRule="exact"/>
              <w:rPr>
                <w:sz w:val="20"/>
                <w:szCs w:val="20"/>
                <w:color w:val="auto"/>
              </w:rPr>
            </w:pPr>
            <w:r>
              <w:rPr>
                <w:rFonts w:ascii="Arial" w:cs="Arial" w:eastAsia="Arial" w:hAnsi="Arial"/>
                <w:sz w:val="10"/>
                <w:szCs w:val="10"/>
                <w:color w:val="auto"/>
              </w:rPr>
              <w:t>Other</w:t>
            </w:r>
          </w:p>
        </w:tc>
        <w:tc>
          <w:tcPr>
            <w:tcW w:w="340" w:type="dxa"/>
            <w:vAlign w:val="bottom"/>
          </w:tcPr>
          <w:p>
            <w:pPr>
              <w:spacing w:after="0"/>
              <w:rPr>
                <w:sz w:val="8"/>
                <w:szCs w:val="8"/>
                <w:color w:val="auto"/>
              </w:rPr>
            </w:pPr>
          </w:p>
        </w:tc>
        <w:tc>
          <w:tcPr>
            <w:tcW w:w="42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U.S.</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rPr>
              <w:t>Africa</w:t>
            </w:r>
          </w:p>
        </w:tc>
        <w:tc>
          <w:tcPr>
            <w:tcW w:w="28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w w:val="94"/>
              </w:rPr>
              <w:t>Pacific</w:t>
            </w:r>
          </w:p>
        </w:tc>
        <w:tc>
          <w:tcPr>
            <w:tcW w:w="820" w:type="dxa"/>
            <w:vAlign w:val="bottom"/>
            <w:gridSpan w:val="2"/>
          </w:tcPr>
          <w:p>
            <w:pPr>
              <w:jc w:val="right"/>
              <w:ind w:right="189"/>
              <w:spacing w:after="0" w:line="95" w:lineRule="exact"/>
              <w:rPr>
                <w:sz w:val="20"/>
                <w:szCs w:val="20"/>
                <w:color w:val="auto"/>
              </w:rPr>
            </w:pPr>
            <w:r>
              <w:rPr>
                <w:rFonts w:ascii="Arial" w:cs="Arial" w:eastAsia="Arial" w:hAnsi="Arial"/>
                <w:sz w:val="10"/>
                <w:szCs w:val="10"/>
                <w:color w:val="auto"/>
              </w:rPr>
              <w:t>Indonesia</w:t>
            </w:r>
          </w:p>
        </w:tc>
        <w:tc>
          <w:tcPr>
            <w:tcW w:w="280" w:type="dxa"/>
            <w:vAlign w:val="bottom"/>
          </w:tcPr>
          <w:p>
            <w:pPr>
              <w:spacing w:after="0"/>
              <w:rPr>
                <w:sz w:val="8"/>
                <w:szCs w:val="8"/>
                <w:color w:val="auto"/>
              </w:rPr>
            </w:pPr>
          </w:p>
        </w:tc>
        <w:tc>
          <w:tcPr>
            <w:tcW w:w="480" w:type="dxa"/>
            <w:vAlign w:val="bottom"/>
          </w:tcPr>
          <w:p>
            <w:pPr>
              <w:jc w:val="right"/>
              <w:ind w:right="149"/>
              <w:spacing w:after="0" w:line="95" w:lineRule="exact"/>
              <w:rPr>
                <w:sz w:val="20"/>
                <w:szCs w:val="20"/>
                <w:color w:val="auto"/>
              </w:rPr>
            </w:pPr>
            <w:r>
              <w:rPr>
                <w:rFonts w:ascii="Arial" w:cs="Arial" w:eastAsia="Arial" w:hAnsi="Arial"/>
                <w:sz w:val="10"/>
                <w:szCs w:val="10"/>
                <w:color w:val="auto"/>
              </w:rPr>
              <w:t>Other</w:t>
            </w:r>
          </w:p>
        </w:tc>
        <w:tc>
          <w:tcPr>
            <w:tcW w:w="320" w:type="dxa"/>
            <w:vAlign w:val="bottom"/>
          </w:tcPr>
          <w:p>
            <w:pPr>
              <w:spacing w:after="0"/>
              <w:rPr>
                <w:sz w:val="8"/>
                <w:szCs w:val="8"/>
                <w:color w:val="auto"/>
              </w:rPr>
            </w:pPr>
          </w:p>
        </w:tc>
        <w:tc>
          <w:tcPr>
            <w:tcW w:w="580" w:type="dxa"/>
            <w:vAlign w:val="bottom"/>
            <w:gridSpan w:val="2"/>
          </w:tcPr>
          <w:p>
            <w:pPr>
              <w:jc w:val="right"/>
              <w:ind w:right="240"/>
              <w:spacing w:after="0" w:line="95" w:lineRule="exact"/>
              <w:rPr>
                <w:sz w:val="20"/>
                <w:szCs w:val="20"/>
                <w:color w:val="auto"/>
              </w:rPr>
            </w:pPr>
            <w:r>
              <w:rPr>
                <w:rFonts w:ascii="Arial" w:cs="Arial" w:eastAsia="Arial" w:hAnsi="Arial"/>
                <w:sz w:val="10"/>
                <w:szCs w:val="10"/>
                <w:color w:val="auto"/>
              </w:rPr>
              <w:t>Int’l.</w:t>
            </w:r>
          </w:p>
        </w:tc>
        <w:tc>
          <w:tcPr>
            <w:tcW w:w="280" w:type="dxa"/>
            <w:vAlign w:val="bottom"/>
          </w:tcPr>
          <w:p>
            <w:pPr>
              <w:spacing w:after="0"/>
              <w:rPr>
                <w:sz w:val="8"/>
                <w:szCs w:val="8"/>
                <w:color w:val="auto"/>
              </w:rPr>
            </w:pPr>
          </w:p>
        </w:tc>
        <w:tc>
          <w:tcPr>
            <w:tcW w:w="44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Total</w:t>
            </w:r>
          </w:p>
        </w:tc>
        <w:tc>
          <w:tcPr>
            <w:tcW w:w="34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TCO</w:t>
            </w:r>
          </w:p>
        </w:tc>
        <w:tc>
          <w:tcPr>
            <w:tcW w:w="2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w w:val="95"/>
              </w:rPr>
              <w:t>Other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 31, 2008</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226</w:t>
            </w:r>
          </w:p>
        </w:tc>
        <w:tc>
          <w:tcPr>
            <w:tcW w:w="2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1,543</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3,113</w:t>
            </w: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4,882</w:t>
            </w:r>
          </w:p>
        </w:tc>
        <w:tc>
          <w:tcPr>
            <w:tcW w:w="100" w:type="dxa"/>
            <w:vAlign w:val="bottom"/>
          </w:tcPr>
          <w:p>
            <w:pPr>
              <w:spacing w:after="0"/>
              <w:rPr>
                <w:sz w:val="9"/>
                <w:szCs w:val="9"/>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2,578</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7,030</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1,447</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4,026</w:t>
            </w: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15,081</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19,963</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4,971</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95"/>
              </w:rPr>
              <w:t>1,599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00" w:type="dxa"/>
            <w:vAlign w:val="bottom"/>
          </w:tcPr>
          <w:p>
            <w:pPr>
              <w:ind w:left="80"/>
              <w:spacing w:after="0" w:line="104" w:lineRule="exact"/>
              <w:rPr>
                <w:sz w:val="20"/>
                <w:szCs w:val="20"/>
                <w:color w:val="auto"/>
              </w:rPr>
            </w:pPr>
            <w:r>
              <w:rPr>
                <w:rFonts w:ascii="Arial" w:cs="Arial" w:eastAsia="Arial" w:hAnsi="Arial"/>
                <w:sz w:val="10"/>
                <w:szCs w:val="10"/>
                <w:color w:val="auto"/>
              </w:rPr>
              <w:t>Sales</w:t>
            </w: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0" w:type="dxa"/>
            <w:vAlign w:val="bottom"/>
          </w:tcPr>
          <w:p>
            <w:pPr>
              <w:ind w:left="80"/>
              <w:spacing w:after="0"/>
              <w:rPr>
                <w:sz w:val="20"/>
                <w:szCs w:val="20"/>
                <w:color w:val="auto"/>
              </w:rPr>
            </w:pPr>
            <w:r>
              <w:rPr>
                <w:rFonts w:ascii="Arial" w:cs="Arial" w:eastAsia="Arial" w:hAnsi="Arial"/>
                <w:sz w:val="10"/>
                <w:szCs w:val="10"/>
                <w:color w:val="auto"/>
              </w:rPr>
              <w:t>Transfers</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b w:val="1"/>
                <w:bCs w:val="1"/>
                <w:color w:val="auto"/>
              </w:rPr>
              <w:t>6,405</w:t>
            </w:r>
          </w:p>
        </w:tc>
        <w:tc>
          <w:tcPr>
            <w:tcW w:w="26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b w:val="1"/>
                <w:bCs w:val="1"/>
                <w:color w:val="auto"/>
              </w:rPr>
              <w:t>2,839</w:t>
            </w:r>
          </w:p>
        </w:tc>
        <w:tc>
          <w:tcPr>
            <w:tcW w:w="28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b w:val="1"/>
                <w:bCs w:val="1"/>
                <w:color w:val="auto"/>
              </w:rPr>
              <w:t>3,624</w:t>
            </w:r>
          </w:p>
        </w:tc>
        <w:tc>
          <w:tcPr>
            <w:tcW w:w="3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97"/>
              </w:rPr>
              <w:t>12,868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8,373</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5,703</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2,975</w:t>
            </w:r>
          </w:p>
        </w:tc>
        <w:tc>
          <w:tcPr>
            <w:tcW w:w="28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b w:val="1"/>
                <w:bCs w:val="1"/>
                <w:color w:val="auto"/>
              </w:rPr>
              <w:t>3,651</w:t>
            </w:r>
          </w:p>
        </w:tc>
        <w:tc>
          <w:tcPr>
            <w:tcW w:w="32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20,702</w:t>
            </w:r>
          </w:p>
        </w:tc>
        <w:tc>
          <w:tcPr>
            <w:tcW w:w="2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33,570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Borders>
              <w:top w:val="single" w:sz="8" w:color="0077C0"/>
            </w:tcBorders>
          </w:tcPr>
          <w:p>
            <w:pPr>
              <w:ind w:left="80"/>
              <w:spacing w:after="0" w:line="91" w:lineRule="exact"/>
              <w:rPr>
                <w:sz w:val="20"/>
                <w:szCs w:val="20"/>
                <w:color w:val="auto"/>
              </w:rPr>
            </w:pPr>
            <w:r>
              <w:rPr>
                <w:rFonts w:ascii="Arial" w:cs="Arial" w:eastAsia="Arial" w:hAnsi="Arial"/>
                <w:sz w:val="10"/>
                <w:szCs w:val="10"/>
                <w:color w:val="auto"/>
              </w:rPr>
              <w:t>Total</w:t>
            </w: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6,631</w:t>
            </w:r>
          </w:p>
        </w:tc>
        <w:tc>
          <w:tcPr>
            <w:tcW w:w="26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4,382</w:t>
            </w:r>
          </w:p>
        </w:tc>
        <w:tc>
          <w:tcPr>
            <w:tcW w:w="28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6,737</w:t>
            </w:r>
          </w:p>
        </w:tc>
        <w:tc>
          <w:tcPr>
            <w:tcW w:w="34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w w:val="97"/>
              </w:rPr>
              <w:t>17,750</w:t>
            </w:r>
          </w:p>
        </w:tc>
        <w:tc>
          <w:tcPr>
            <w:tcW w:w="10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91"/>
              </w:rPr>
              <w:t>10,951</w:t>
            </w:r>
          </w:p>
        </w:tc>
        <w:tc>
          <w:tcPr>
            <w:tcW w:w="2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w w:val="91"/>
              </w:rPr>
              <w:t>12,733</w:t>
            </w:r>
          </w:p>
        </w:tc>
        <w:tc>
          <w:tcPr>
            <w:tcW w:w="2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4,422</w:t>
            </w:r>
          </w:p>
        </w:tc>
        <w:tc>
          <w:tcPr>
            <w:tcW w:w="280" w:type="dxa"/>
            <w:vAlign w:val="bottom"/>
            <w:tcBorders>
              <w:top w:val="single" w:sz="8" w:color="0077C0"/>
            </w:tcBorders>
          </w:tcPr>
          <w:p>
            <w:pPr>
              <w:spacing w:after="0"/>
              <w:rPr>
                <w:sz w:val="7"/>
                <w:szCs w:val="7"/>
                <w:color w:val="auto"/>
              </w:rPr>
            </w:pPr>
          </w:p>
        </w:tc>
        <w:tc>
          <w:tcPr>
            <w:tcW w:w="480" w:type="dxa"/>
            <w:vAlign w:val="bottom"/>
            <w:tcBorders>
              <w:top w:val="single" w:sz="8" w:color="0077C0"/>
            </w:tcBorders>
          </w:tcPr>
          <w:p>
            <w:pPr>
              <w:jc w:val="right"/>
              <w:ind w:right="149"/>
              <w:spacing w:after="0" w:line="91" w:lineRule="exact"/>
              <w:rPr>
                <w:sz w:val="20"/>
                <w:szCs w:val="20"/>
                <w:color w:val="auto"/>
              </w:rPr>
            </w:pPr>
            <w:r>
              <w:rPr>
                <w:rFonts w:ascii="Arial" w:cs="Arial" w:eastAsia="Arial" w:hAnsi="Arial"/>
                <w:sz w:val="10"/>
                <w:szCs w:val="10"/>
                <w:b w:val="1"/>
                <w:bCs w:val="1"/>
                <w:color w:val="auto"/>
              </w:rPr>
              <w:t>7,677</w:t>
            </w:r>
          </w:p>
        </w:tc>
        <w:tc>
          <w:tcPr>
            <w:tcW w:w="32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gridSpan w:val="2"/>
          </w:tcPr>
          <w:p>
            <w:pPr>
              <w:jc w:val="right"/>
              <w:ind w:right="240"/>
              <w:spacing w:after="0" w:line="91" w:lineRule="exact"/>
              <w:rPr>
                <w:sz w:val="20"/>
                <w:szCs w:val="20"/>
                <w:color w:val="auto"/>
              </w:rPr>
            </w:pPr>
            <w:r>
              <w:rPr>
                <w:rFonts w:ascii="Arial" w:cs="Arial" w:eastAsia="Arial" w:hAnsi="Arial"/>
                <w:sz w:val="10"/>
                <w:szCs w:val="10"/>
                <w:b w:val="1"/>
                <w:bCs w:val="1"/>
                <w:color w:val="auto"/>
              </w:rPr>
              <w:t>35,783</w:t>
            </w:r>
          </w:p>
        </w:tc>
        <w:tc>
          <w:tcPr>
            <w:tcW w:w="28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gridSpan w:val="2"/>
          </w:tcPr>
          <w:p>
            <w:pPr>
              <w:jc w:val="right"/>
              <w:ind w:right="100"/>
              <w:spacing w:after="0" w:line="91" w:lineRule="exact"/>
              <w:rPr>
                <w:sz w:val="20"/>
                <w:szCs w:val="20"/>
                <w:color w:val="auto"/>
              </w:rPr>
            </w:pPr>
            <w:r>
              <w:rPr>
                <w:rFonts w:ascii="Arial" w:cs="Arial" w:eastAsia="Arial" w:hAnsi="Arial"/>
                <w:sz w:val="10"/>
                <w:szCs w:val="10"/>
                <w:b w:val="1"/>
                <w:bCs w:val="1"/>
                <w:color w:val="auto"/>
              </w:rPr>
              <w:t>53,533</w:t>
            </w:r>
          </w:p>
        </w:tc>
        <w:tc>
          <w:tcPr>
            <w:tcW w:w="34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4,971</w:t>
            </w:r>
          </w:p>
        </w:tc>
        <w:tc>
          <w:tcPr>
            <w:tcW w:w="28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w w:val="95"/>
              </w:rPr>
              <w:t>1,599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Production expenses excluding taxes</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(1,385)</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(914)</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w w:val="94"/>
              </w:rPr>
              <w:t>(1,523)</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(3,822)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(1,228)</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(1,182)</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(1,009)</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(874)</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(4,293)</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b w:val="1"/>
                <w:bCs w:val="1"/>
                <w:color w:val="auto"/>
              </w:rPr>
              <w:t>(8,115)</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(376)</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(125)</w:t>
            </w:r>
          </w:p>
        </w:tc>
        <w:tc>
          <w:tcPr>
            <w:tcW w:w="0" w:type="dxa"/>
            <w:vAlign w:val="bottom"/>
          </w:tcPr>
          <w:p>
            <w:pPr>
              <w:spacing w:after="0"/>
              <w:rPr>
                <w:sz w:val="1"/>
                <w:szCs w:val="1"/>
                <w:color w:val="auto"/>
              </w:rPr>
            </w:pPr>
          </w:p>
        </w:tc>
      </w:tr>
      <w:tr>
        <w:trPr>
          <w:trHeight w:val="108"/>
        </w:trPr>
        <w:tc>
          <w:tcPr>
            <w:tcW w:w="2020" w:type="dxa"/>
            <w:vAlign w:val="bottom"/>
            <w:gridSpan w:val="2"/>
          </w:tcPr>
          <w:p>
            <w:pPr>
              <w:spacing w:after="0" w:line="108" w:lineRule="exact"/>
              <w:rPr>
                <w:sz w:val="20"/>
                <w:szCs w:val="20"/>
                <w:color w:val="auto"/>
              </w:rPr>
            </w:pPr>
            <w:r>
              <w:rPr>
                <w:rFonts w:ascii="Arial" w:cs="Arial" w:eastAsia="Arial" w:hAnsi="Arial"/>
                <w:sz w:val="10"/>
                <w:szCs w:val="10"/>
                <w:color w:val="auto"/>
              </w:rPr>
              <w:t>Taxes other than on income</w:t>
            </w:r>
          </w:p>
        </w:tc>
        <w:tc>
          <w:tcPr>
            <w:tcW w:w="80" w:type="dxa"/>
            <w:vAlign w:val="bottom"/>
          </w:tcPr>
          <w:p>
            <w:pPr>
              <w:spacing w:after="0"/>
              <w:rPr>
                <w:sz w:val="9"/>
                <w:szCs w:val="9"/>
                <w:color w:val="auto"/>
              </w:rPr>
            </w:pPr>
          </w:p>
        </w:tc>
        <w:tc>
          <w:tcPr>
            <w:tcW w:w="520" w:type="dxa"/>
            <w:vAlign w:val="bottom"/>
          </w:tcPr>
          <w:p>
            <w:pPr>
              <w:jc w:val="right"/>
              <w:ind w:right="129"/>
              <w:spacing w:after="0" w:line="108" w:lineRule="exact"/>
              <w:rPr>
                <w:sz w:val="20"/>
                <w:szCs w:val="20"/>
                <w:color w:val="auto"/>
              </w:rPr>
            </w:pPr>
            <w:r>
              <w:rPr>
                <w:rFonts w:ascii="Arial" w:cs="Arial" w:eastAsia="Arial" w:hAnsi="Arial"/>
                <w:sz w:val="10"/>
                <w:szCs w:val="10"/>
                <w:b w:val="1"/>
                <w:bCs w:val="1"/>
                <w:color w:val="auto"/>
              </w:rPr>
              <w:t>(107)</w:t>
            </w:r>
          </w:p>
        </w:tc>
        <w:tc>
          <w:tcPr>
            <w:tcW w:w="260" w:type="dxa"/>
            <w:vAlign w:val="bottom"/>
          </w:tcPr>
          <w:p>
            <w:pPr>
              <w:spacing w:after="0"/>
              <w:rPr>
                <w:sz w:val="9"/>
                <w:szCs w:val="9"/>
                <w:color w:val="auto"/>
              </w:rPr>
            </w:pPr>
          </w:p>
        </w:tc>
        <w:tc>
          <w:tcPr>
            <w:tcW w:w="540" w:type="dxa"/>
            <w:vAlign w:val="bottom"/>
          </w:tcPr>
          <w:p>
            <w:pPr>
              <w:jc w:val="right"/>
              <w:ind w:right="129"/>
              <w:spacing w:after="0" w:line="108" w:lineRule="exact"/>
              <w:rPr>
                <w:sz w:val="20"/>
                <w:szCs w:val="20"/>
                <w:color w:val="auto"/>
              </w:rPr>
            </w:pPr>
            <w:r>
              <w:rPr>
                <w:rFonts w:ascii="Arial" w:cs="Arial" w:eastAsia="Arial" w:hAnsi="Arial"/>
                <w:sz w:val="10"/>
                <w:szCs w:val="10"/>
                <w:b w:val="1"/>
                <w:bCs w:val="1"/>
                <w:color w:val="auto"/>
              </w:rPr>
              <w:t>(55)</w:t>
            </w:r>
          </w:p>
        </w:tc>
        <w:tc>
          <w:tcPr>
            <w:tcW w:w="280" w:type="dxa"/>
            <w:vAlign w:val="bottom"/>
          </w:tcPr>
          <w:p>
            <w:pPr>
              <w:spacing w:after="0"/>
              <w:rPr>
                <w:sz w:val="9"/>
                <w:szCs w:val="9"/>
                <w:color w:val="auto"/>
              </w:rPr>
            </w:pPr>
          </w:p>
        </w:tc>
        <w:tc>
          <w:tcPr>
            <w:tcW w:w="460" w:type="dxa"/>
            <w:vAlign w:val="bottom"/>
          </w:tcPr>
          <w:p>
            <w:pPr>
              <w:jc w:val="right"/>
              <w:ind w:right="89"/>
              <w:spacing w:after="0" w:line="108" w:lineRule="exact"/>
              <w:rPr>
                <w:sz w:val="20"/>
                <w:szCs w:val="20"/>
                <w:color w:val="auto"/>
              </w:rPr>
            </w:pPr>
            <w:r>
              <w:rPr>
                <w:rFonts w:ascii="Arial" w:cs="Arial" w:eastAsia="Arial" w:hAnsi="Arial"/>
                <w:sz w:val="10"/>
                <w:szCs w:val="10"/>
                <w:b w:val="1"/>
                <w:bCs w:val="1"/>
                <w:color w:val="auto"/>
              </w:rPr>
              <w:t>(554)</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b w:val="1"/>
                <w:bCs w:val="1"/>
                <w:color w:val="auto"/>
              </w:rPr>
              <w:t>(716)</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(163)</w:t>
            </w:r>
          </w:p>
        </w:tc>
        <w:tc>
          <w:tcPr>
            <w:tcW w:w="280" w:type="dxa"/>
            <w:vAlign w:val="bottom"/>
          </w:tcPr>
          <w:p>
            <w:pPr>
              <w:spacing w:after="0"/>
              <w:rPr>
                <w:sz w:val="9"/>
                <w:szCs w:val="9"/>
                <w:color w:val="auto"/>
              </w:rPr>
            </w:pPr>
          </w:p>
        </w:tc>
        <w:tc>
          <w:tcPr>
            <w:tcW w:w="54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(585)</w:t>
            </w:r>
          </w:p>
        </w:tc>
        <w:tc>
          <w:tcPr>
            <w:tcW w:w="280" w:type="dxa"/>
            <w:vAlign w:val="bottom"/>
          </w:tcPr>
          <w:p>
            <w:pPr>
              <w:spacing w:after="0"/>
              <w:rPr>
                <w:sz w:val="9"/>
                <w:szCs w:val="9"/>
                <w:color w:val="auto"/>
              </w:rPr>
            </w:pPr>
          </w:p>
        </w:tc>
        <w:tc>
          <w:tcPr>
            <w:tcW w:w="54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(1)</w:t>
            </w:r>
          </w:p>
        </w:tc>
        <w:tc>
          <w:tcPr>
            <w:tcW w:w="280" w:type="dxa"/>
            <w:vAlign w:val="bottom"/>
          </w:tcPr>
          <w:p>
            <w:pPr>
              <w:spacing w:after="0"/>
              <w:rPr>
                <w:sz w:val="9"/>
                <w:szCs w:val="9"/>
                <w:color w:val="auto"/>
              </w:rPr>
            </w:pPr>
          </w:p>
        </w:tc>
        <w:tc>
          <w:tcPr>
            <w:tcW w:w="480" w:type="dxa"/>
            <w:vAlign w:val="bottom"/>
          </w:tcPr>
          <w:p>
            <w:pPr>
              <w:jc w:val="right"/>
              <w:ind w:right="109"/>
              <w:spacing w:after="0" w:line="108" w:lineRule="exact"/>
              <w:rPr>
                <w:sz w:val="20"/>
                <w:szCs w:val="20"/>
                <w:color w:val="auto"/>
              </w:rPr>
            </w:pPr>
            <w:r>
              <w:rPr>
                <w:rFonts w:ascii="Arial" w:cs="Arial" w:eastAsia="Arial" w:hAnsi="Arial"/>
                <w:sz w:val="10"/>
                <w:szCs w:val="10"/>
                <w:b w:val="1"/>
                <w:bCs w:val="1"/>
                <w:color w:val="auto"/>
              </w:rPr>
              <w:t>(47)</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(796)</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b w:val="1"/>
                <w:bCs w:val="1"/>
                <w:color w:val="auto"/>
              </w:rPr>
              <w:t>(1,512)</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(41)</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b w:val="1"/>
                <w:bCs w:val="1"/>
                <w:color w:val="auto"/>
              </w:rPr>
              <w:t>(278)</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w:t>
            </w:r>
          </w:p>
        </w:tc>
        <w:tc>
          <w:tcPr>
            <w:tcW w:w="80" w:type="dxa"/>
            <w:vAlign w:val="bottom"/>
          </w:tcPr>
          <w:p>
            <w:pPr>
              <w:spacing w:after="0"/>
              <w:rPr>
                <w:sz w:val="9"/>
                <w:szCs w:val="9"/>
                <w:color w:val="auto"/>
              </w:rPr>
            </w:pPr>
          </w:p>
        </w:tc>
        <w:tc>
          <w:tcPr>
            <w:tcW w:w="52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(415)</w:t>
            </w:r>
          </w:p>
        </w:tc>
        <w:tc>
          <w:tcPr>
            <w:tcW w:w="260" w:type="dxa"/>
            <w:vAlign w:val="bottom"/>
          </w:tcPr>
          <w:p>
            <w:pPr>
              <w:spacing w:after="0"/>
              <w:rPr>
                <w:sz w:val="9"/>
                <w:szCs w:val="9"/>
                <w:color w:val="auto"/>
              </w:rPr>
            </w:pPr>
          </w:p>
        </w:tc>
        <w:tc>
          <w:tcPr>
            <w:tcW w:w="5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(926)</w:t>
            </w:r>
          </w:p>
        </w:tc>
        <w:tc>
          <w:tcPr>
            <w:tcW w:w="280" w:type="dxa"/>
            <w:vAlign w:val="bottom"/>
          </w:tcPr>
          <w:p>
            <w:pPr>
              <w:spacing w:after="0"/>
              <w:rPr>
                <w:sz w:val="9"/>
                <w:szCs w:val="9"/>
                <w:color w:val="auto"/>
              </w:rPr>
            </w:pPr>
          </w:p>
        </w:tc>
        <w:tc>
          <w:tcPr>
            <w:tcW w:w="46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(945)</w:t>
            </w:r>
          </w:p>
        </w:tc>
        <w:tc>
          <w:tcPr>
            <w:tcW w:w="340" w:type="dxa"/>
            <w:vAlign w:val="bottom"/>
          </w:tcPr>
          <w:p>
            <w:pPr>
              <w:spacing w:after="0"/>
              <w:rPr>
                <w:sz w:val="9"/>
                <w:szCs w:val="9"/>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(2,286)</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(1,176)</w:t>
            </w:r>
          </w:p>
        </w:tc>
        <w:tc>
          <w:tcPr>
            <w:tcW w:w="280" w:type="dxa"/>
            <w:vAlign w:val="bottom"/>
          </w:tcPr>
          <w:p>
            <w:pPr>
              <w:spacing w:after="0"/>
              <w:rPr>
                <w:sz w:val="9"/>
                <w:szCs w:val="9"/>
                <w:color w:val="auto"/>
              </w:rPr>
            </w:pPr>
          </w:p>
        </w:tc>
        <w:tc>
          <w:tcPr>
            <w:tcW w:w="54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(1,804)</w:t>
            </w:r>
          </w:p>
        </w:tc>
        <w:tc>
          <w:tcPr>
            <w:tcW w:w="280" w:type="dxa"/>
            <w:vAlign w:val="bottom"/>
          </w:tcPr>
          <w:p>
            <w:pPr>
              <w:spacing w:after="0"/>
              <w:rPr>
                <w:sz w:val="9"/>
                <w:szCs w:val="9"/>
                <w:color w:val="auto"/>
              </w:rPr>
            </w:pPr>
          </w:p>
        </w:tc>
        <w:tc>
          <w:tcPr>
            <w:tcW w:w="54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(617)</w:t>
            </w:r>
          </w:p>
        </w:tc>
        <w:tc>
          <w:tcPr>
            <w:tcW w:w="280" w:type="dxa"/>
            <w:vAlign w:val="bottom"/>
          </w:tcPr>
          <w:p>
            <w:pPr>
              <w:spacing w:after="0"/>
              <w:rPr>
                <w:sz w:val="9"/>
                <w:szCs w:val="9"/>
                <w:color w:val="auto"/>
              </w:rPr>
            </w:pPr>
          </w:p>
        </w:tc>
        <w:tc>
          <w:tcPr>
            <w:tcW w:w="48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w w:val="94"/>
              </w:rPr>
              <w:t>(1,330)</w:t>
            </w:r>
          </w:p>
        </w:tc>
        <w:tc>
          <w:tcPr>
            <w:tcW w:w="32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(4,927)</w:t>
            </w:r>
          </w:p>
        </w:tc>
        <w:tc>
          <w:tcPr>
            <w:tcW w:w="280" w:type="dxa"/>
            <w:vAlign w:val="bottom"/>
          </w:tcPr>
          <w:p>
            <w:pPr>
              <w:spacing w:after="0"/>
              <w:rPr>
                <w:sz w:val="9"/>
                <w:szCs w:val="9"/>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0"/>
                <w:szCs w:val="10"/>
                <w:b w:val="1"/>
                <w:bCs w:val="1"/>
                <w:color w:val="auto"/>
              </w:rPr>
              <w:t>(7,213)</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(237)</w:t>
            </w:r>
          </w:p>
        </w:tc>
        <w:tc>
          <w:tcPr>
            <w:tcW w:w="280" w:type="dxa"/>
            <w:vAlign w:val="bottom"/>
          </w:tcPr>
          <w:p>
            <w:pPr>
              <w:spacing w:after="0"/>
              <w:rPr>
                <w:sz w:val="9"/>
                <w:szCs w:val="9"/>
                <w:color w:val="auto"/>
              </w:rPr>
            </w:pP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(77)</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00" w:type="dxa"/>
            <w:vAlign w:val="bottom"/>
          </w:tcPr>
          <w:p>
            <w:pPr>
              <w:ind w:left="80"/>
              <w:spacing w:after="0" w:line="104" w:lineRule="exact"/>
              <w:rPr>
                <w:sz w:val="20"/>
                <w:szCs w:val="20"/>
                <w:color w:val="auto"/>
              </w:rPr>
            </w:pPr>
            <w:r>
              <w:rPr>
                <w:rFonts w:ascii="Arial" w:cs="Arial" w:eastAsia="Arial" w:hAnsi="Arial"/>
                <w:sz w:val="10"/>
                <w:szCs w:val="10"/>
                <w:color w:val="auto"/>
              </w:rPr>
              <w:t>Depreciation and depletion</w:t>
            </w: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(29)</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(119)</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(94)</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(242)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(60)</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(31)</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(22)</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(54)</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(167)</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b w:val="1"/>
                <w:bCs w:val="1"/>
                <w:color w:val="auto"/>
              </w:rPr>
              <w:t>(409)</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Exploration expenses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(330)</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(40)</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(370)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(223)</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(243)</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(83)</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(250)</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(799)</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b w:val="1"/>
                <w:bCs w:val="1"/>
                <w:color w:val="auto"/>
              </w:rPr>
              <w:t>(1,169)</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(3)</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(91)</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(20)</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b w:val="1"/>
                <w:bCs w:val="1"/>
                <w:color w:val="auto"/>
              </w:rPr>
              <w:t>(114)</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(13)</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(12)</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(25)</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b w:val="1"/>
                <w:bCs w:val="1"/>
                <w:color w:val="auto"/>
              </w:rPr>
              <w:t>(7)</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b w:val="1"/>
                <w:bCs w:val="1"/>
                <w:color w:val="auto"/>
              </w:rPr>
              <w:t>(57)</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b w:val="1"/>
                <w:bCs w:val="1"/>
                <w:color w:val="auto"/>
              </w:rPr>
              <w:t>(171)</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020" w:type="dxa"/>
            <w:vAlign w:val="bottom"/>
            <w:gridSpan w:val="2"/>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80" w:type="dxa"/>
            <w:vAlign w:val="bottom"/>
          </w:tcPr>
          <w:p>
            <w:pPr>
              <w:spacing w:after="0"/>
              <w:rPr>
                <w:sz w:val="10"/>
                <w:szCs w:val="10"/>
                <w:color w:val="auto"/>
              </w:rPr>
            </w:pPr>
          </w:p>
        </w:tc>
        <w:tc>
          <w:tcPr>
            <w:tcW w:w="520" w:type="dxa"/>
            <w:vAlign w:val="bottom"/>
          </w:tcPr>
          <w:p>
            <w:pPr>
              <w:jc w:val="right"/>
              <w:ind w:right="129"/>
              <w:spacing w:after="0"/>
              <w:rPr>
                <w:sz w:val="20"/>
                <w:szCs w:val="20"/>
                <w:color w:val="auto"/>
              </w:rPr>
            </w:pPr>
            <w:r>
              <w:rPr>
                <w:rFonts w:ascii="Arial" w:cs="Arial" w:eastAsia="Arial" w:hAnsi="Arial"/>
                <w:sz w:val="10"/>
                <w:szCs w:val="10"/>
                <w:b w:val="1"/>
                <w:bCs w:val="1"/>
                <w:color w:val="auto"/>
              </w:rPr>
              <w:t>(20)</w:t>
            </w:r>
          </w:p>
        </w:tc>
        <w:tc>
          <w:tcPr>
            <w:tcW w:w="260" w:type="dxa"/>
            <w:vAlign w:val="bottom"/>
          </w:tcPr>
          <w:p>
            <w:pPr>
              <w:spacing w:after="0"/>
              <w:rPr>
                <w:sz w:val="10"/>
                <w:szCs w:val="10"/>
                <w:color w:val="auto"/>
              </w:rPr>
            </w:pPr>
          </w:p>
        </w:tc>
        <w:tc>
          <w:tcPr>
            <w:tcW w:w="540" w:type="dxa"/>
            <w:vAlign w:val="bottom"/>
          </w:tcPr>
          <w:p>
            <w:pPr>
              <w:jc w:val="right"/>
              <w:ind w:right="129"/>
              <w:spacing w:after="0"/>
              <w:rPr>
                <w:sz w:val="20"/>
                <w:szCs w:val="20"/>
                <w:color w:val="auto"/>
              </w:rPr>
            </w:pPr>
            <w:r>
              <w:rPr>
                <w:rFonts w:ascii="Arial" w:cs="Arial" w:eastAsia="Arial" w:hAnsi="Arial"/>
                <w:sz w:val="10"/>
                <w:szCs w:val="10"/>
                <w:b w:val="1"/>
                <w:bCs w:val="1"/>
                <w:color w:val="auto"/>
              </w:rPr>
              <w:t>(383)</w:t>
            </w:r>
          </w:p>
        </w:tc>
        <w:tc>
          <w:tcPr>
            <w:tcW w:w="28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b w:val="1"/>
                <w:bCs w:val="1"/>
                <w:color w:val="auto"/>
              </w:rPr>
              <w:t>1,110</w:t>
            </w:r>
          </w:p>
        </w:tc>
        <w:tc>
          <w:tcPr>
            <w:tcW w:w="3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707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b w:val="1"/>
                <w:bCs w:val="1"/>
                <w:color w:val="auto"/>
              </w:rPr>
              <w:t>(350)</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298</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b w:val="1"/>
                <w:bCs w:val="1"/>
                <w:color w:val="auto"/>
              </w:rPr>
              <w:t>(64)</w:t>
            </w:r>
          </w:p>
        </w:tc>
        <w:tc>
          <w:tcPr>
            <w:tcW w:w="28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b w:val="1"/>
                <w:bCs w:val="1"/>
                <w:color w:val="auto"/>
              </w:rPr>
              <w:t>282</w:t>
            </w:r>
          </w:p>
        </w:tc>
        <w:tc>
          <w:tcPr>
            <w:tcW w:w="32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166</w:t>
            </w:r>
          </w:p>
        </w:tc>
        <w:tc>
          <w:tcPr>
            <w:tcW w:w="2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873</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b w:val="1"/>
                <w:bCs w:val="1"/>
                <w:color w:val="auto"/>
              </w:rPr>
              <w:t>184</w:t>
            </w:r>
          </w:p>
        </w:tc>
        <w:tc>
          <w:tcPr>
            <w:tcW w:w="2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rPr>
              <w:t>105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Borders>
              <w:top w:val="single" w:sz="8" w:color="0077C0"/>
            </w:tcBorders>
          </w:tcPr>
          <w:p>
            <w:pPr>
              <w:ind w:left="80"/>
              <w:spacing w:after="0" w:line="91" w:lineRule="exact"/>
              <w:rPr>
                <w:sz w:val="20"/>
                <w:szCs w:val="20"/>
                <w:color w:val="auto"/>
              </w:rPr>
            </w:pPr>
            <w:r>
              <w:rPr>
                <w:rFonts w:ascii="Arial" w:cs="Arial" w:eastAsia="Arial" w:hAnsi="Arial"/>
                <w:sz w:val="10"/>
                <w:szCs w:val="10"/>
                <w:color w:val="auto"/>
              </w:rPr>
              <w:t>Results before income taxes</w:t>
            </w: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4,672</w:t>
            </w:r>
          </w:p>
        </w:tc>
        <w:tc>
          <w:tcPr>
            <w:tcW w:w="26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69"/>
              <w:spacing w:after="0" w:line="91" w:lineRule="exact"/>
              <w:rPr>
                <w:sz w:val="20"/>
                <w:szCs w:val="20"/>
                <w:color w:val="auto"/>
              </w:rPr>
            </w:pPr>
            <w:r>
              <w:rPr>
                <w:rFonts w:ascii="Arial" w:cs="Arial" w:eastAsia="Arial" w:hAnsi="Arial"/>
                <w:sz w:val="10"/>
                <w:szCs w:val="10"/>
                <w:b w:val="1"/>
                <w:bCs w:val="1"/>
                <w:color w:val="auto"/>
              </w:rPr>
              <w:t>1,564</w:t>
            </w:r>
          </w:p>
        </w:tc>
        <w:tc>
          <w:tcPr>
            <w:tcW w:w="28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4,671</w:t>
            </w:r>
          </w:p>
        </w:tc>
        <w:tc>
          <w:tcPr>
            <w:tcW w:w="34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w w:val="97"/>
              </w:rPr>
              <w:t>10,907</w:t>
            </w:r>
          </w:p>
        </w:tc>
        <w:tc>
          <w:tcPr>
            <w:tcW w:w="10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7,738</w:t>
            </w:r>
          </w:p>
        </w:tc>
        <w:tc>
          <w:tcPr>
            <w:tcW w:w="2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9,174</w:t>
            </w:r>
          </w:p>
        </w:tc>
        <w:tc>
          <w:tcPr>
            <w:tcW w:w="280" w:type="dxa"/>
            <w:vAlign w:val="bottom"/>
            <w:tcBorders>
              <w:top w:val="single" w:sz="8" w:color="0077C0"/>
            </w:tcBorders>
          </w:tcPr>
          <w:p>
            <w:pPr>
              <w:spacing w:after="0"/>
              <w:rPr>
                <w:sz w:val="7"/>
                <w:szCs w:val="7"/>
                <w:color w:val="auto"/>
              </w:rPr>
            </w:pPr>
          </w:p>
        </w:tc>
        <w:tc>
          <w:tcPr>
            <w:tcW w:w="5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2,601</w:t>
            </w:r>
          </w:p>
        </w:tc>
        <w:tc>
          <w:tcPr>
            <w:tcW w:w="280" w:type="dxa"/>
            <w:vAlign w:val="bottom"/>
            <w:tcBorders>
              <w:top w:val="single" w:sz="8" w:color="0077C0"/>
            </w:tcBorders>
          </w:tcPr>
          <w:p>
            <w:pPr>
              <w:spacing w:after="0"/>
              <w:rPr>
                <w:sz w:val="7"/>
                <w:szCs w:val="7"/>
                <w:color w:val="auto"/>
              </w:rPr>
            </w:pPr>
          </w:p>
        </w:tc>
        <w:tc>
          <w:tcPr>
            <w:tcW w:w="480" w:type="dxa"/>
            <w:vAlign w:val="bottom"/>
            <w:tcBorders>
              <w:top w:val="single" w:sz="8" w:color="0077C0"/>
            </w:tcBorders>
          </w:tcPr>
          <w:p>
            <w:pPr>
              <w:jc w:val="right"/>
              <w:ind w:right="149"/>
              <w:spacing w:after="0" w:line="91" w:lineRule="exact"/>
              <w:rPr>
                <w:sz w:val="20"/>
                <w:szCs w:val="20"/>
                <w:color w:val="auto"/>
              </w:rPr>
            </w:pPr>
            <w:r>
              <w:rPr>
                <w:rFonts w:ascii="Arial" w:cs="Arial" w:eastAsia="Arial" w:hAnsi="Arial"/>
                <w:sz w:val="10"/>
                <w:szCs w:val="10"/>
                <w:b w:val="1"/>
                <w:bCs w:val="1"/>
                <w:color w:val="auto"/>
              </w:rPr>
              <w:t>5,397</w:t>
            </w:r>
          </w:p>
        </w:tc>
        <w:tc>
          <w:tcPr>
            <w:tcW w:w="32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gridSpan w:val="2"/>
          </w:tcPr>
          <w:p>
            <w:pPr>
              <w:jc w:val="right"/>
              <w:ind w:right="240"/>
              <w:spacing w:after="0" w:line="91" w:lineRule="exact"/>
              <w:rPr>
                <w:sz w:val="20"/>
                <w:szCs w:val="20"/>
                <w:color w:val="auto"/>
              </w:rPr>
            </w:pPr>
            <w:r>
              <w:rPr>
                <w:rFonts w:ascii="Arial" w:cs="Arial" w:eastAsia="Arial" w:hAnsi="Arial"/>
                <w:sz w:val="10"/>
                <w:szCs w:val="10"/>
                <w:b w:val="1"/>
                <w:bCs w:val="1"/>
                <w:color w:val="auto"/>
              </w:rPr>
              <w:t>24,910</w:t>
            </w:r>
          </w:p>
        </w:tc>
        <w:tc>
          <w:tcPr>
            <w:tcW w:w="28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gridSpan w:val="2"/>
          </w:tcPr>
          <w:p>
            <w:pPr>
              <w:jc w:val="right"/>
              <w:ind w:right="100"/>
              <w:spacing w:after="0" w:line="91" w:lineRule="exact"/>
              <w:rPr>
                <w:sz w:val="20"/>
                <w:szCs w:val="20"/>
                <w:color w:val="auto"/>
              </w:rPr>
            </w:pPr>
            <w:r>
              <w:rPr>
                <w:rFonts w:ascii="Arial" w:cs="Arial" w:eastAsia="Arial" w:hAnsi="Arial"/>
                <w:sz w:val="10"/>
                <w:szCs w:val="10"/>
                <w:b w:val="1"/>
                <w:bCs w:val="1"/>
                <w:color w:val="auto"/>
              </w:rPr>
              <w:t>35,817</w:t>
            </w:r>
          </w:p>
        </w:tc>
        <w:tc>
          <w:tcPr>
            <w:tcW w:w="34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4,499</w:t>
            </w:r>
          </w:p>
        </w:tc>
        <w:tc>
          <w:tcPr>
            <w:tcW w:w="28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w w:val="95"/>
              </w:rPr>
              <w:t>1,223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20" w:type="dxa"/>
            <w:vAlign w:val="bottom"/>
            <w:gridSpan w:val="2"/>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Pr>
          <w:p>
            <w:pPr>
              <w:spacing w:after="0"/>
              <w:rPr>
                <w:sz w:val="10"/>
                <w:szCs w:val="10"/>
                <w:color w:val="auto"/>
              </w:rPr>
            </w:pPr>
          </w:p>
        </w:tc>
        <w:tc>
          <w:tcPr>
            <w:tcW w:w="520" w:type="dxa"/>
            <w:vAlign w:val="bottom"/>
          </w:tcPr>
          <w:p>
            <w:pPr>
              <w:jc w:val="right"/>
              <w:ind w:right="129"/>
              <w:spacing w:after="0"/>
              <w:rPr>
                <w:sz w:val="20"/>
                <w:szCs w:val="20"/>
                <w:color w:val="auto"/>
              </w:rPr>
            </w:pPr>
            <w:r>
              <w:rPr>
                <w:rFonts w:ascii="Arial" w:cs="Arial" w:eastAsia="Arial" w:hAnsi="Arial"/>
                <w:sz w:val="10"/>
                <w:szCs w:val="10"/>
                <w:b w:val="1"/>
                <w:bCs w:val="1"/>
                <w:color w:val="auto"/>
              </w:rPr>
              <w:t>(1,652)</w:t>
            </w:r>
          </w:p>
        </w:tc>
        <w:tc>
          <w:tcPr>
            <w:tcW w:w="260" w:type="dxa"/>
            <w:vAlign w:val="bottom"/>
          </w:tcPr>
          <w:p>
            <w:pPr>
              <w:spacing w:after="0"/>
              <w:rPr>
                <w:sz w:val="10"/>
                <w:szCs w:val="10"/>
                <w:color w:val="auto"/>
              </w:rPr>
            </w:pPr>
          </w:p>
        </w:tc>
        <w:tc>
          <w:tcPr>
            <w:tcW w:w="540" w:type="dxa"/>
            <w:vAlign w:val="bottom"/>
          </w:tcPr>
          <w:p>
            <w:pPr>
              <w:jc w:val="right"/>
              <w:ind w:right="129"/>
              <w:spacing w:after="0"/>
              <w:rPr>
                <w:sz w:val="20"/>
                <w:szCs w:val="20"/>
                <w:color w:val="auto"/>
              </w:rPr>
            </w:pPr>
            <w:r>
              <w:rPr>
                <w:rFonts w:ascii="Arial" w:cs="Arial" w:eastAsia="Arial" w:hAnsi="Arial"/>
                <w:sz w:val="10"/>
                <w:szCs w:val="10"/>
                <w:b w:val="1"/>
                <w:bCs w:val="1"/>
                <w:color w:val="auto"/>
              </w:rPr>
              <w:t>(553)</w:t>
            </w:r>
          </w:p>
        </w:tc>
        <w:tc>
          <w:tcPr>
            <w:tcW w:w="28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b w:val="1"/>
                <w:bCs w:val="1"/>
                <w:color w:val="auto"/>
                <w:w w:val="94"/>
              </w:rPr>
              <w:t>(1,651)</w:t>
            </w:r>
          </w:p>
        </w:tc>
        <w:tc>
          <w:tcPr>
            <w:tcW w:w="34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(3,856)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b w:val="1"/>
                <w:bCs w:val="1"/>
                <w:color w:val="auto"/>
              </w:rPr>
              <w:t>(6,051)</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b w:val="1"/>
                <w:bCs w:val="1"/>
                <w:color w:val="auto"/>
              </w:rPr>
              <w:t>(4,865)</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b w:val="1"/>
                <w:bCs w:val="1"/>
                <w:color w:val="auto"/>
              </w:rPr>
              <w:t>(1,257)</w:t>
            </w:r>
          </w:p>
        </w:tc>
        <w:tc>
          <w:tcPr>
            <w:tcW w:w="280" w:type="dxa"/>
            <w:vAlign w:val="bottom"/>
          </w:tcPr>
          <w:p>
            <w:pPr>
              <w:spacing w:after="0"/>
              <w:rPr>
                <w:sz w:val="10"/>
                <w:szCs w:val="10"/>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b w:val="1"/>
                <w:bCs w:val="1"/>
                <w:color w:val="auto"/>
                <w:w w:val="94"/>
              </w:rPr>
              <w:t>(3,016)</w:t>
            </w:r>
          </w:p>
        </w:tc>
        <w:tc>
          <w:tcPr>
            <w:tcW w:w="32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6"/>
              </w:rPr>
              <w:t>(15,189)</w:t>
            </w:r>
          </w:p>
        </w:tc>
        <w:tc>
          <w:tcPr>
            <w:tcW w:w="28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6"/>
              </w:rPr>
              <w:t>(19,045)</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w w:val="94"/>
              </w:rPr>
              <w:t>(1,357)</w:t>
            </w:r>
          </w:p>
        </w:tc>
        <w:tc>
          <w:tcPr>
            <w:tcW w:w="28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(612)</w:t>
            </w:r>
          </w:p>
        </w:tc>
        <w:tc>
          <w:tcPr>
            <w:tcW w:w="0" w:type="dxa"/>
            <w:vAlign w:val="bottom"/>
          </w:tcPr>
          <w:p>
            <w:pPr>
              <w:spacing w:after="0"/>
              <w:rPr>
                <w:sz w:val="1"/>
                <w:szCs w:val="1"/>
                <w:color w:val="auto"/>
              </w:rPr>
            </w:pPr>
          </w:p>
        </w:tc>
      </w:tr>
      <w:tr>
        <w:trPr>
          <w:trHeight w:val="114"/>
        </w:trPr>
        <w:tc>
          <w:tcPr>
            <w:tcW w:w="20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3,020</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1,011</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3,020</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7,051</w:t>
            </w:r>
          </w:p>
        </w:tc>
        <w:tc>
          <w:tcPr>
            <w:tcW w:w="100" w:type="dxa"/>
            <w:vAlign w:val="bottom"/>
            <w:tcBorders>
              <w:top w:val="single" w:sz="8" w:color="0077C0"/>
              <w:bottom w:val="single" w:sz="8" w:color="0077C0"/>
            </w:tcBorders>
          </w:tcPr>
          <w:p>
            <w:pPr>
              <w:spacing w:after="0"/>
              <w:rPr>
                <w:sz w:val="9"/>
                <w:szCs w:val="9"/>
                <w:color w:val="auto"/>
              </w:rPr>
            </w:pPr>
          </w:p>
        </w:tc>
        <w:tc>
          <w:tcPr>
            <w:tcW w:w="400" w:type="dxa"/>
            <w:vAlign w:val="bottom"/>
            <w:tcBorders>
              <w:top w:val="single" w:sz="8" w:color="0077C0"/>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1,687</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4,309</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1,344</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2,381</w:t>
            </w: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0077C0"/>
              <w:bottom w:val="single" w:sz="8" w:color="0077C0"/>
            </w:tcBorders>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rPr>
              <w:t>9,721</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rPr>
              <w:t>16,772</w:t>
            </w:r>
          </w:p>
        </w:tc>
        <w:tc>
          <w:tcPr>
            <w:tcW w:w="420" w:type="dxa"/>
            <w:vAlign w:val="bottom"/>
            <w:tcBorders>
              <w:top w:val="single" w:sz="8" w:color="0077C0"/>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3,142</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611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2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 31, 2007</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Sales</w:t>
            </w: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202</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1,555</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2,476</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4,233</w:t>
            </w:r>
          </w:p>
        </w:tc>
        <w:tc>
          <w:tcPr>
            <w:tcW w:w="100" w:type="dxa"/>
            <w:vAlign w:val="bottom"/>
          </w:tcPr>
          <w:p>
            <w:pPr>
              <w:spacing w:after="0"/>
              <w:rPr>
                <w:sz w:val="9"/>
                <w:szCs w:val="9"/>
                <w:color w:val="auto"/>
              </w:rPr>
            </w:pP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1,810</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6,192</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1,045</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3,012</w:t>
            </w: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line="106" w:lineRule="exact"/>
              <w:rPr>
                <w:sz w:val="20"/>
                <w:szCs w:val="20"/>
                <w:color w:val="auto"/>
              </w:rPr>
            </w:pPr>
            <w:r>
              <w:rPr>
                <w:rFonts w:ascii="Arial" w:cs="Arial" w:eastAsia="Arial" w:hAnsi="Arial"/>
                <w:sz w:val="10"/>
                <w:szCs w:val="10"/>
                <w:color w:val="auto"/>
              </w:rPr>
              <w:t>12,059</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16,292</w:t>
            </w:r>
          </w:p>
        </w:tc>
        <w:tc>
          <w:tcPr>
            <w:tcW w:w="4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3,327</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w w:val="95"/>
              </w:rPr>
              <w:t>1,290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00" w:type="dxa"/>
            <w:vAlign w:val="bottom"/>
          </w:tcPr>
          <w:p>
            <w:pPr>
              <w:ind w:left="80"/>
              <w:spacing w:after="0"/>
              <w:rPr>
                <w:sz w:val="20"/>
                <w:szCs w:val="20"/>
                <w:color w:val="auto"/>
              </w:rPr>
            </w:pPr>
            <w:r>
              <w:rPr>
                <w:rFonts w:ascii="Arial" w:cs="Arial" w:eastAsia="Arial" w:hAnsi="Arial"/>
                <w:sz w:val="10"/>
                <w:szCs w:val="10"/>
                <w:color w:val="auto"/>
              </w:rPr>
              <w:t>Transfers</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4,671</w:t>
            </w:r>
          </w:p>
        </w:tc>
        <w:tc>
          <w:tcPr>
            <w:tcW w:w="26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2,630</w:t>
            </w:r>
          </w:p>
        </w:tc>
        <w:tc>
          <w:tcPr>
            <w:tcW w:w="28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color w:val="auto"/>
              </w:rPr>
              <w:t>2,707</w:t>
            </w:r>
          </w:p>
        </w:tc>
        <w:tc>
          <w:tcPr>
            <w:tcW w:w="3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97"/>
              </w:rPr>
              <w:t>10,008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6,778</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4,440</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2,590</w:t>
            </w:r>
          </w:p>
        </w:tc>
        <w:tc>
          <w:tcPr>
            <w:tcW w:w="28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auto"/>
              </w:rPr>
              <w:t>2,744</w:t>
            </w:r>
          </w:p>
        </w:tc>
        <w:tc>
          <w:tcPr>
            <w:tcW w:w="32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16,552</w:t>
            </w:r>
          </w:p>
        </w:tc>
        <w:tc>
          <w:tcPr>
            <w:tcW w:w="2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26,560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Total</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4,873</w:t>
            </w: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4,185</w:t>
            </w: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5,183</w:t>
            </w:r>
          </w:p>
        </w:tc>
        <w:tc>
          <w:tcPr>
            <w:tcW w:w="34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w w:val="97"/>
              </w:rPr>
              <w:t>14,241</w:t>
            </w:r>
          </w:p>
        </w:tc>
        <w:tc>
          <w:tcPr>
            <w:tcW w:w="1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8,588</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w w:val="91"/>
              </w:rPr>
              <w:t>10,632</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3,635</w:t>
            </w: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5,756</w:t>
            </w:r>
          </w:p>
        </w:tc>
        <w:tc>
          <w:tcPr>
            <w:tcW w:w="32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gridSpan w:val="2"/>
          </w:tcPr>
          <w:p>
            <w:pPr>
              <w:jc w:val="right"/>
              <w:ind w:right="240"/>
              <w:spacing w:after="0" w:line="92" w:lineRule="exact"/>
              <w:rPr>
                <w:sz w:val="20"/>
                <w:szCs w:val="20"/>
                <w:color w:val="auto"/>
              </w:rPr>
            </w:pPr>
            <w:r>
              <w:rPr>
                <w:rFonts w:ascii="Arial" w:cs="Arial" w:eastAsia="Arial" w:hAnsi="Arial"/>
                <w:sz w:val="10"/>
                <w:szCs w:val="10"/>
                <w:color w:val="auto"/>
              </w:rPr>
              <w:t>28,611</w:t>
            </w:r>
          </w:p>
        </w:tc>
        <w:tc>
          <w:tcPr>
            <w:tcW w:w="2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42,852</w:t>
            </w:r>
          </w:p>
        </w:tc>
        <w:tc>
          <w:tcPr>
            <w:tcW w:w="34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3,327</w:t>
            </w:r>
          </w:p>
        </w:tc>
        <w:tc>
          <w:tcPr>
            <w:tcW w:w="2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w w:val="95"/>
              </w:rPr>
              <w:t>1,290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Production expenses</w:t>
            </w:r>
            <w:r>
              <w:rPr>
                <w:rFonts w:ascii="Arial" w:cs="Arial" w:eastAsia="Arial" w:hAnsi="Arial"/>
                <w:sz w:val="8"/>
                <w:szCs w:val="8"/>
                <w:color w:val="auto"/>
              </w:rPr>
              <w:t>4</w:t>
            </w:r>
            <w:r>
              <w:rPr>
                <w:rFonts w:ascii="Arial" w:cs="Arial" w:eastAsia="Arial" w:hAnsi="Arial"/>
                <w:sz w:val="10"/>
                <w:szCs w:val="10"/>
                <w:color w:val="auto"/>
              </w:rPr>
              <w:t xml:space="preserve"> excluding taxes</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(1,063)</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(936)</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w w:val="94"/>
              </w:rPr>
              <w:t>(1,400)</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(3,399)</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(892)</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(953)</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(892)</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(828)</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(3,565)</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(6,964)</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(248)</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Taxes other than on income</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(91)</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(53)</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(378)</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(522)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(49)</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(292)</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(58)</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(401)</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(923)</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(31)</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(163)</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00" w:type="dxa"/>
            <w:vAlign w:val="bottom"/>
          </w:tcPr>
          <w:p>
            <w:pPr>
              <w:ind w:left="80"/>
              <w:spacing w:after="0" w:line="106" w:lineRule="exact"/>
              <w:rPr>
                <w:sz w:val="20"/>
                <w:szCs w:val="20"/>
                <w:color w:val="auto"/>
              </w:rPr>
            </w:pPr>
            <w:r>
              <w:rPr>
                <w:rFonts w:ascii="Arial" w:cs="Arial" w:eastAsia="Arial" w:hAnsi="Arial"/>
                <w:sz w:val="10"/>
                <w:szCs w:val="10"/>
                <w:color w:val="auto"/>
              </w:rPr>
              <w:t>Depreciation and depletion</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(300)</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(1,143)</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(833)</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(2,276)</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(646)</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(1,668)</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(623)</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(980)</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(3,917)</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(6,193)</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(127)</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(92)</w:t>
            </w:r>
          </w:p>
        </w:tc>
        <w:tc>
          <w:tcPr>
            <w:tcW w:w="26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(167)</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(258)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(33)</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(36)</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(21)</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(27)</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(117)</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(375)</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9"/>
                <w:szCs w:val="9"/>
                <w:color w:val="auto"/>
              </w:rPr>
            </w:pPr>
          </w:p>
        </w:tc>
        <w:tc>
          <w:tcPr>
            <w:tcW w:w="3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Exploration expenses</w:t>
            </w:r>
          </w:p>
        </w:tc>
        <w:tc>
          <w:tcPr>
            <w:tcW w:w="80" w:type="dxa"/>
            <w:vAlign w:val="bottom"/>
          </w:tcPr>
          <w:p>
            <w:pPr>
              <w:spacing w:after="0"/>
              <w:rPr>
                <w:sz w:val="9"/>
                <w:szCs w:val="9"/>
                <w:color w:val="auto"/>
              </w:rPr>
            </w:pP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(486)</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(25)</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(511)</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(267)</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(225)</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(61)</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(259)</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(812)</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(1,323)</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8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(3)</w:t>
            </w:r>
          </w:p>
        </w:tc>
        <w:tc>
          <w:tcPr>
            <w:tcW w:w="260" w:type="dxa"/>
            <w:vAlign w:val="bottom"/>
          </w:tcPr>
          <w:p>
            <w:pPr>
              <w:spacing w:after="0"/>
              <w:rPr>
                <w:sz w:val="9"/>
                <w:szCs w:val="9"/>
                <w:color w:val="auto"/>
              </w:rPr>
            </w:pPr>
          </w:p>
        </w:tc>
        <w:tc>
          <w:tcPr>
            <w:tcW w:w="5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(102)</w:t>
            </w:r>
          </w:p>
        </w:tc>
        <w:tc>
          <w:tcPr>
            <w:tcW w:w="280" w:type="dxa"/>
            <w:vAlign w:val="bottom"/>
          </w:tcPr>
          <w:p>
            <w:pPr>
              <w:spacing w:after="0"/>
              <w:rPr>
                <w:sz w:val="9"/>
                <w:szCs w:val="9"/>
                <w:color w:val="auto"/>
              </w:rPr>
            </w:pPr>
          </w:p>
        </w:tc>
        <w:tc>
          <w:tcPr>
            <w:tcW w:w="4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(27)</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(132)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(150)</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(30)</w:t>
            </w:r>
          </w:p>
        </w:tc>
        <w:tc>
          <w:tcPr>
            <w:tcW w:w="280" w:type="dxa"/>
            <w:vAlign w:val="bottom"/>
          </w:tcPr>
          <w:p>
            <w:pPr>
              <w:spacing w:after="0"/>
              <w:rPr>
                <w:sz w:val="9"/>
                <w:szCs w:val="9"/>
                <w:color w:val="auto"/>
              </w:rPr>
            </w:pPr>
          </w:p>
        </w:tc>
        <w:tc>
          <w:tcPr>
            <w:tcW w:w="4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(120)</w:t>
            </w:r>
          </w:p>
        </w:tc>
        <w:tc>
          <w:tcPr>
            <w:tcW w:w="32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(312)</w:t>
            </w:r>
          </w:p>
        </w:tc>
        <w:tc>
          <w:tcPr>
            <w:tcW w:w="280" w:type="dxa"/>
            <w:vAlign w:val="bottom"/>
          </w:tcPr>
          <w:p>
            <w:pPr>
              <w:spacing w:after="0"/>
              <w:rPr>
                <w:sz w:val="9"/>
                <w:szCs w:val="9"/>
                <w:color w:val="auto"/>
              </w:rPr>
            </w:pPr>
          </w:p>
        </w:tc>
        <w:tc>
          <w:tcPr>
            <w:tcW w:w="4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(444)</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20" w:type="dxa"/>
            <w:vAlign w:val="bottom"/>
            <w:gridSpan w:val="2"/>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3</w:t>
            </w:r>
          </w:p>
        </w:tc>
        <w:tc>
          <w:tcPr>
            <w:tcW w:w="26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2</w:t>
            </w:r>
          </w:p>
        </w:tc>
        <w:tc>
          <w:tcPr>
            <w:tcW w:w="280" w:type="dxa"/>
            <w:vAlign w:val="bottom"/>
          </w:tcPr>
          <w:p>
            <w:pPr>
              <w:spacing w:after="0"/>
              <w:rPr>
                <w:sz w:val="10"/>
                <w:szCs w:val="10"/>
                <w:color w:val="auto"/>
              </w:rPr>
            </w:pPr>
          </w:p>
        </w:tc>
        <w:tc>
          <w:tcPr>
            <w:tcW w:w="460" w:type="dxa"/>
            <w:vAlign w:val="bottom"/>
          </w:tcPr>
          <w:p>
            <w:pPr>
              <w:jc w:val="right"/>
              <w:ind w:right="109"/>
              <w:spacing w:after="0"/>
              <w:rPr>
                <w:sz w:val="20"/>
                <w:szCs w:val="20"/>
                <w:color w:val="auto"/>
              </w:rPr>
            </w:pPr>
            <w:r>
              <w:rPr>
                <w:rFonts w:ascii="Arial" w:cs="Arial" w:eastAsia="Arial" w:hAnsi="Arial"/>
                <w:sz w:val="10"/>
                <w:szCs w:val="10"/>
                <w:color w:val="auto"/>
              </w:rPr>
              <w:t>31</w:t>
            </w:r>
          </w:p>
        </w:tc>
        <w:tc>
          <w:tcPr>
            <w:tcW w:w="3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(447)</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(302)</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(197)</w:t>
            </w:r>
          </w:p>
        </w:tc>
        <w:tc>
          <w:tcPr>
            <w:tcW w:w="280" w:type="dxa"/>
            <w:vAlign w:val="bottom"/>
          </w:tcPr>
          <w:p>
            <w:pPr>
              <w:spacing w:after="0"/>
              <w:rPr>
                <w:sz w:val="10"/>
                <w:szCs w:val="10"/>
                <w:color w:val="auto"/>
              </w:rPr>
            </w:pPr>
          </w:p>
        </w:tc>
        <w:tc>
          <w:tcPr>
            <w:tcW w:w="480" w:type="dxa"/>
            <w:vAlign w:val="bottom"/>
          </w:tcPr>
          <w:p>
            <w:pPr>
              <w:jc w:val="right"/>
              <w:ind w:right="149"/>
              <w:spacing w:after="0"/>
              <w:rPr>
                <w:sz w:val="20"/>
                <w:szCs w:val="20"/>
                <w:color w:val="auto"/>
              </w:rPr>
            </w:pPr>
            <w:r>
              <w:rPr>
                <w:rFonts w:ascii="Arial" w:cs="Arial" w:eastAsia="Arial" w:hAnsi="Arial"/>
                <w:sz w:val="10"/>
                <w:szCs w:val="10"/>
                <w:color w:val="auto"/>
              </w:rPr>
              <w:t>33</w:t>
            </w:r>
          </w:p>
        </w:tc>
        <w:tc>
          <w:tcPr>
            <w:tcW w:w="32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(913)</w:t>
            </w:r>
          </w:p>
        </w:tc>
        <w:tc>
          <w:tcPr>
            <w:tcW w:w="28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(877)</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18</w:t>
            </w:r>
          </w:p>
        </w:tc>
        <w:tc>
          <w:tcPr>
            <w:tcW w:w="2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Results before income taxes</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3,327</w:t>
            </w: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1,468</w:t>
            </w: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2,384</w:t>
            </w:r>
          </w:p>
        </w:tc>
        <w:tc>
          <w:tcPr>
            <w:tcW w:w="34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7,179</w:t>
            </w:r>
          </w:p>
        </w:tc>
        <w:tc>
          <w:tcPr>
            <w:tcW w:w="10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6,242</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7,006</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1,809</w:t>
            </w: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3,517</w:t>
            </w:r>
          </w:p>
        </w:tc>
        <w:tc>
          <w:tcPr>
            <w:tcW w:w="32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gridSpan w:val="2"/>
          </w:tcPr>
          <w:p>
            <w:pPr>
              <w:jc w:val="right"/>
              <w:ind w:right="240"/>
              <w:spacing w:after="0" w:line="92" w:lineRule="exact"/>
              <w:rPr>
                <w:sz w:val="20"/>
                <w:szCs w:val="20"/>
                <w:color w:val="auto"/>
              </w:rPr>
            </w:pPr>
            <w:r>
              <w:rPr>
                <w:rFonts w:ascii="Arial" w:cs="Arial" w:eastAsia="Arial" w:hAnsi="Arial"/>
                <w:sz w:val="10"/>
                <w:szCs w:val="10"/>
                <w:color w:val="auto"/>
              </w:rPr>
              <w:t>18,574</w:t>
            </w:r>
          </w:p>
        </w:tc>
        <w:tc>
          <w:tcPr>
            <w:tcW w:w="2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25,753</w:t>
            </w:r>
          </w:p>
        </w:tc>
        <w:tc>
          <w:tcPr>
            <w:tcW w:w="34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2,938</w:t>
            </w:r>
          </w:p>
        </w:tc>
        <w:tc>
          <w:tcPr>
            <w:tcW w:w="2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946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gridSpan w:val="2"/>
          </w:tcPr>
          <w:p>
            <w:pPr>
              <w:spacing w:after="0"/>
              <w:rPr>
                <w:sz w:val="20"/>
                <w:szCs w:val="20"/>
                <w:color w:val="auto"/>
              </w:rPr>
            </w:pPr>
            <w:r>
              <w:rPr>
                <w:rFonts w:ascii="Arial" w:cs="Arial" w:eastAsia="Arial" w:hAnsi="Arial"/>
                <w:sz w:val="10"/>
                <w:szCs w:val="10"/>
                <w:color w:val="auto"/>
              </w:rPr>
              <w:t>Income tax expense</w:t>
            </w:r>
          </w:p>
        </w:tc>
        <w:tc>
          <w:tcPr>
            <w:tcW w:w="80" w:type="dxa"/>
            <w:vAlign w:val="bottom"/>
          </w:tcPr>
          <w:p>
            <w:pPr>
              <w:spacing w:after="0"/>
              <w:rPr>
                <w:sz w:val="10"/>
                <w:szCs w:val="10"/>
                <w:color w:val="auto"/>
              </w:rPr>
            </w:pPr>
          </w:p>
        </w:tc>
        <w:tc>
          <w:tcPr>
            <w:tcW w:w="520" w:type="dxa"/>
            <w:vAlign w:val="bottom"/>
          </w:tcPr>
          <w:p>
            <w:pPr>
              <w:jc w:val="right"/>
              <w:ind w:right="129"/>
              <w:spacing w:after="0"/>
              <w:rPr>
                <w:sz w:val="20"/>
                <w:szCs w:val="20"/>
                <w:color w:val="auto"/>
              </w:rPr>
            </w:pPr>
            <w:r>
              <w:rPr>
                <w:rFonts w:ascii="Arial" w:cs="Arial" w:eastAsia="Arial" w:hAnsi="Arial"/>
                <w:sz w:val="10"/>
                <w:szCs w:val="10"/>
                <w:color w:val="auto"/>
              </w:rPr>
              <w:t>(1,204)</w:t>
            </w:r>
          </w:p>
        </w:tc>
        <w:tc>
          <w:tcPr>
            <w:tcW w:w="260" w:type="dxa"/>
            <w:vAlign w:val="bottom"/>
          </w:tcPr>
          <w:p>
            <w:pPr>
              <w:spacing w:after="0"/>
              <w:rPr>
                <w:sz w:val="10"/>
                <w:szCs w:val="10"/>
                <w:color w:val="auto"/>
              </w:rPr>
            </w:pPr>
          </w:p>
        </w:tc>
        <w:tc>
          <w:tcPr>
            <w:tcW w:w="540" w:type="dxa"/>
            <w:vAlign w:val="bottom"/>
          </w:tcPr>
          <w:p>
            <w:pPr>
              <w:jc w:val="right"/>
              <w:ind w:right="129"/>
              <w:spacing w:after="0"/>
              <w:rPr>
                <w:sz w:val="20"/>
                <w:szCs w:val="20"/>
                <w:color w:val="auto"/>
              </w:rPr>
            </w:pPr>
            <w:r>
              <w:rPr>
                <w:rFonts w:ascii="Arial" w:cs="Arial" w:eastAsia="Arial" w:hAnsi="Arial"/>
                <w:sz w:val="10"/>
                <w:szCs w:val="10"/>
                <w:color w:val="auto"/>
              </w:rPr>
              <w:t>(531)</w:t>
            </w:r>
          </w:p>
        </w:tc>
        <w:tc>
          <w:tcPr>
            <w:tcW w:w="280" w:type="dxa"/>
            <w:vAlign w:val="bottom"/>
          </w:tcPr>
          <w:p>
            <w:pPr>
              <w:spacing w:after="0"/>
              <w:rPr>
                <w:sz w:val="10"/>
                <w:szCs w:val="10"/>
                <w:color w:val="auto"/>
              </w:rPr>
            </w:pPr>
          </w:p>
        </w:tc>
        <w:tc>
          <w:tcPr>
            <w:tcW w:w="460" w:type="dxa"/>
            <w:vAlign w:val="bottom"/>
          </w:tcPr>
          <w:p>
            <w:pPr>
              <w:jc w:val="right"/>
              <w:ind w:right="89"/>
              <w:spacing w:after="0"/>
              <w:rPr>
                <w:sz w:val="20"/>
                <w:szCs w:val="20"/>
                <w:color w:val="auto"/>
              </w:rPr>
            </w:pPr>
            <w:r>
              <w:rPr>
                <w:rFonts w:ascii="Arial" w:cs="Arial" w:eastAsia="Arial" w:hAnsi="Arial"/>
                <w:sz w:val="10"/>
                <w:szCs w:val="10"/>
                <w:color w:val="auto"/>
              </w:rPr>
              <w:t>(864)</w:t>
            </w:r>
          </w:p>
        </w:tc>
        <w:tc>
          <w:tcPr>
            <w:tcW w:w="34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(2,599)</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(4,907)</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(3,456)</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(841)</w:t>
            </w:r>
          </w:p>
        </w:tc>
        <w:tc>
          <w:tcPr>
            <w:tcW w:w="280" w:type="dxa"/>
            <w:vAlign w:val="bottom"/>
          </w:tcPr>
          <w:p>
            <w:pPr>
              <w:spacing w:after="0"/>
              <w:rPr>
                <w:sz w:val="10"/>
                <w:szCs w:val="10"/>
                <w:color w:val="auto"/>
              </w:rPr>
            </w:pPr>
          </w:p>
        </w:tc>
        <w:tc>
          <w:tcPr>
            <w:tcW w:w="480" w:type="dxa"/>
            <w:vAlign w:val="bottom"/>
          </w:tcPr>
          <w:p>
            <w:pPr>
              <w:jc w:val="right"/>
              <w:ind w:right="109"/>
              <w:spacing w:after="0"/>
              <w:rPr>
                <w:sz w:val="20"/>
                <w:szCs w:val="20"/>
                <w:color w:val="auto"/>
              </w:rPr>
            </w:pPr>
            <w:r>
              <w:rPr>
                <w:rFonts w:ascii="Arial" w:cs="Arial" w:eastAsia="Arial" w:hAnsi="Arial"/>
                <w:sz w:val="10"/>
                <w:szCs w:val="10"/>
                <w:color w:val="auto"/>
                <w:w w:val="94"/>
              </w:rPr>
              <w:t>(1,830)</w:t>
            </w:r>
          </w:p>
        </w:tc>
        <w:tc>
          <w:tcPr>
            <w:tcW w:w="32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w w:val="96"/>
              </w:rPr>
              <w:t>(11,034)</w:t>
            </w:r>
          </w:p>
        </w:tc>
        <w:tc>
          <w:tcPr>
            <w:tcW w:w="28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w w:val="96"/>
              </w:rPr>
              <w:t>(13,633)</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rPr>
              <w:t>(887)</w:t>
            </w:r>
          </w:p>
        </w:tc>
        <w:tc>
          <w:tcPr>
            <w:tcW w:w="28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color w:val="auto"/>
              </w:rPr>
              <w:t>(462)</w:t>
            </w:r>
          </w:p>
        </w:tc>
        <w:tc>
          <w:tcPr>
            <w:tcW w:w="0" w:type="dxa"/>
            <w:vAlign w:val="bottom"/>
          </w:tcPr>
          <w:p>
            <w:pPr>
              <w:spacing w:after="0"/>
              <w:rPr>
                <w:sz w:val="1"/>
                <w:szCs w:val="1"/>
                <w:color w:val="auto"/>
              </w:rPr>
            </w:pPr>
          </w:p>
        </w:tc>
      </w:tr>
      <w:tr>
        <w:trPr>
          <w:trHeight w:val="114"/>
        </w:trPr>
        <w:tc>
          <w:tcPr>
            <w:tcW w:w="20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2,123</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937</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1,520</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4,580</w:t>
            </w:r>
          </w:p>
        </w:tc>
        <w:tc>
          <w:tcPr>
            <w:tcW w:w="100" w:type="dxa"/>
            <w:vAlign w:val="bottom"/>
            <w:tcBorders>
              <w:top w:val="single" w:sz="8" w:color="0077C0"/>
              <w:bottom w:val="single" w:sz="8" w:color="0077C0"/>
            </w:tcBorders>
          </w:tcPr>
          <w:p>
            <w:pPr>
              <w:spacing w:after="0"/>
              <w:rPr>
                <w:sz w:val="9"/>
                <w:szCs w:val="9"/>
                <w:color w:val="auto"/>
              </w:rPr>
            </w:pPr>
          </w:p>
        </w:tc>
        <w:tc>
          <w:tcPr>
            <w:tcW w:w="400" w:type="dxa"/>
            <w:vAlign w:val="bottom"/>
            <w:tcBorders>
              <w:top w:val="single" w:sz="8" w:color="0077C0"/>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1,335</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3,550</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968</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1,687</w:t>
            </w: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gridSpan w:val="2"/>
          </w:tcPr>
          <w:p>
            <w:pPr>
              <w:jc w:val="right"/>
              <w:ind w:right="240"/>
              <w:spacing w:after="0" w:line="105" w:lineRule="exact"/>
              <w:rPr>
                <w:sz w:val="20"/>
                <w:szCs w:val="20"/>
                <w:color w:val="auto"/>
              </w:rPr>
            </w:pPr>
            <w:r>
              <w:rPr>
                <w:rFonts w:ascii="Arial" w:cs="Arial" w:eastAsia="Arial" w:hAnsi="Arial"/>
                <w:sz w:val="10"/>
                <w:szCs w:val="10"/>
                <w:color w:val="auto"/>
              </w:rPr>
              <w:t>7,540</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0077C0"/>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color w:val="auto"/>
              </w:rPr>
              <w:t>12,120</w:t>
            </w:r>
          </w:p>
        </w:tc>
        <w:tc>
          <w:tcPr>
            <w:tcW w:w="420" w:type="dxa"/>
            <w:vAlign w:val="bottom"/>
            <w:tcBorders>
              <w:top w:val="single" w:sz="8" w:color="0077C0"/>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2,051</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484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3" w:hanging="223"/>
        <w:spacing w:after="0"/>
        <w:tabs>
          <w:tab w:leader="none" w:pos="223" w:val="left"/>
        </w:tabs>
        <w:numPr>
          <w:ilvl w:val="0"/>
          <w:numId w:val="57"/>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2Represents accretion of ARO liability. Refer to Note 24, “Asset Retirement Obligations,” beginning on page FS-58.</w:t>
      </w:r>
    </w:p>
    <w:p>
      <w:pPr>
        <w:spacing w:after="0" w:line="25"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3Includes foreign currency gains and losses, gains and losses on property dispositions, and income from operating and technical service agreements.</w:t>
      </w:r>
    </w:p>
    <w:p>
      <w:pPr>
        <w:spacing w:after="0" w:line="25"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4Includes $10 costs incurred prior to assignment of proved reserves in 2007.</w:t>
      </w:r>
    </w:p>
    <w:p>
      <w:pPr>
        <w:spacing w:after="0" w:line="128" w:lineRule="exact"/>
        <w:rPr>
          <w:sz w:val="20"/>
          <w:szCs w:val="20"/>
          <w:color w:val="auto"/>
        </w:rPr>
      </w:pPr>
    </w:p>
    <w:p>
      <w:pPr>
        <w:jc w:val="center"/>
        <w:ind w:right="-2"/>
        <w:spacing w:after="0"/>
        <w:rPr>
          <w:sz w:val="20"/>
          <w:szCs w:val="20"/>
          <w:color w:val="auto"/>
        </w:rPr>
      </w:pPr>
      <w:r>
        <w:rPr>
          <w:rFonts w:ascii="Arial" w:cs="Arial" w:eastAsia="Arial" w:hAnsi="Arial"/>
          <w:sz w:val="10"/>
          <w:szCs w:val="10"/>
          <w:color w:val="auto"/>
        </w:rPr>
        <w:t>FS-65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type w:val="continuous"/>
        </w:sectPr>
      </w:pPr>
    </w:p>
    <w:bookmarkStart w:id="106" w:name="page107"/>
    <w:bookmarkEnd w:id="106"/>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85990" cy="5187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5990" cy="5187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43"/>
        <w:spacing w:after="0"/>
        <w:rPr>
          <w:sz w:val="20"/>
          <w:szCs w:val="20"/>
          <w:color w:val="auto"/>
        </w:rPr>
      </w:pPr>
      <w:r>
        <w:rPr>
          <w:rFonts w:ascii="Arial" w:cs="Arial" w:eastAsia="Arial" w:hAnsi="Arial"/>
          <w:sz w:val="10"/>
          <w:szCs w:val="10"/>
          <w:color w:val="0077C0"/>
        </w:rPr>
        <w:t>Supplemental Information on Oil and Gas Producing Activities</w:t>
      </w:r>
    </w:p>
    <w:p>
      <w:pPr>
        <w:spacing w:after="0" w:line="219" w:lineRule="exact"/>
        <w:rPr>
          <w:sz w:val="20"/>
          <w:szCs w:val="20"/>
          <w:color w:val="auto"/>
        </w:rPr>
      </w:pPr>
    </w:p>
    <w:p>
      <w:pPr>
        <w:ind w:left="143"/>
        <w:spacing w:after="0"/>
        <w:rPr>
          <w:sz w:val="20"/>
          <w:szCs w:val="20"/>
          <w:color w:val="auto"/>
        </w:rPr>
      </w:pPr>
      <w:r>
        <w:rPr>
          <w:rFonts w:ascii="Arial" w:cs="Arial" w:eastAsia="Arial" w:hAnsi="Arial"/>
          <w:sz w:val="10"/>
          <w:szCs w:val="10"/>
          <w:b w:val="1"/>
          <w:bCs w:val="1"/>
          <w:color w:val="0077C0"/>
        </w:rPr>
        <w:t xml:space="preserve">Table III </w:t>
      </w:r>
      <w:r>
        <w:rPr>
          <w:rFonts w:ascii="Arial" w:cs="Arial" w:eastAsia="Arial" w:hAnsi="Arial"/>
          <w:sz w:val="8"/>
          <w:szCs w:val="8"/>
          <w:color w:val="000000"/>
        </w:rPr>
        <w:t>Results of Operations for Oil and</w:t>
      </w:r>
    </w:p>
    <w:p>
      <w:pPr>
        <w:spacing w:after="0" w:line="5" w:lineRule="exact"/>
        <w:rPr>
          <w:sz w:val="20"/>
          <w:szCs w:val="20"/>
          <w:color w:val="auto"/>
        </w:rPr>
      </w:pPr>
    </w:p>
    <w:p>
      <w:pPr>
        <w:ind w:left="523"/>
        <w:spacing w:after="0"/>
        <w:rPr>
          <w:sz w:val="20"/>
          <w:szCs w:val="20"/>
          <w:color w:val="auto"/>
        </w:rPr>
      </w:pPr>
      <w:r>
        <w:rPr>
          <w:rFonts w:ascii="Arial" w:cs="Arial" w:eastAsia="Arial" w:hAnsi="Arial"/>
          <w:sz w:val="9"/>
          <w:szCs w:val="9"/>
          <w:color w:val="auto"/>
        </w:rPr>
        <w:t>Gas Producing Activities</w:t>
      </w:r>
      <w:r>
        <w:rPr>
          <w:rFonts w:ascii="Arial" w:cs="Arial" w:eastAsia="Arial" w:hAnsi="Arial"/>
          <w:sz w:val="7"/>
          <w:szCs w:val="7"/>
          <w:color w:val="auto"/>
        </w:rPr>
        <w:t>1</w:t>
      </w:r>
      <w:r>
        <w:rPr>
          <w:rFonts w:ascii="Arial" w:cs="Arial" w:eastAsia="Arial" w:hAnsi="Arial"/>
          <w:sz w:val="9"/>
          <w:szCs w:val="9"/>
          <w:color w:val="auto"/>
        </w:rPr>
        <w:t xml:space="preserve"> - Continued</w:t>
      </w:r>
    </w:p>
    <w:p>
      <w:pPr>
        <w:spacing w:after="0" w:line="209"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0"/>
                <w:szCs w:val="10"/>
                <w:color w:val="auto"/>
              </w:rPr>
              <w:t>Consolidated Companies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1080" w:type="dxa"/>
            <w:vAlign w:val="bottom"/>
            <w:tcBorders>
              <w:top w:val="single" w:sz="8" w:color="0077C0"/>
            </w:tcBorders>
            <w:gridSpan w:val="4"/>
          </w:tcPr>
          <w:p>
            <w:pPr>
              <w:jc w:val="right"/>
              <w:ind w:right="440"/>
              <w:spacing w:after="0" w:line="95" w:lineRule="exact"/>
              <w:rPr>
                <w:sz w:val="20"/>
                <w:szCs w:val="20"/>
                <w:color w:val="auto"/>
              </w:rPr>
            </w:pPr>
            <w:r>
              <w:rPr>
                <w:rFonts w:ascii="Arial" w:cs="Arial" w:eastAsia="Arial" w:hAnsi="Arial"/>
                <w:sz w:val="10"/>
                <w:szCs w:val="10"/>
                <w:color w:val="auto"/>
              </w:rPr>
              <w:t>United States</w:t>
            </w: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gridSpan w:val="3"/>
          </w:tcPr>
          <w:p>
            <w:pPr>
              <w:jc w:val="right"/>
              <w:ind w:right="220"/>
              <w:spacing w:after="0" w:line="95" w:lineRule="exact"/>
              <w:rPr>
                <w:sz w:val="20"/>
                <w:szCs w:val="20"/>
                <w:color w:val="auto"/>
              </w:rPr>
            </w:pPr>
            <w:r>
              <w:rPr>
                <w:rFonts w:ascii="Arial" w:cs="Arial" w:eastAsia="Arial" w:hAnsi="Arial"/>
                <w:sz w:val="10"/>
                <w:szCs w:val="10"/>
                <w:color w:val="auto"/>
              </w:rPr>
              <w:t>International</w:t>
            </w:r>
          </w:p>
        </w:tc>
        <w:tc>
          <w:tcPr>
            <w:tcW w:w="28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4"/>
            <w:vMerge w:val="restart"/>
          </w:tcPr>
          <w:p>
            <w:pPr>
              <w:jc w:val="right"/>
              <w:ind w:right="12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Gulf of</w:t>
            </w: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gridSpan w:val="3"/>
          </w:tcPr>
          <w:p>
            <w:pPr>
              <w:jc w:val="right"/>
              <w:ind w:right="440"/>
              <w:spacing w:after="0" w:line="95" w:lineRule="exact"/>
              <w:rPr>
                <w:sz w:val="20"/>
                <w:szCs w:val="20"/>
                <w:color w:val="auto"/>
              </w:rPr>
            </w:pPr>
            <w:r>
              <w:rPr>
                <w:rFonts w:ascii="Arial" w:cs="Arial" w:eastAsia="Arial" w:hAnsi="Arial"/>
                <w:sz w:val="10"/>
                <w:szCs w:val="10"/>
                <w:color w:val="auto"/>
              </w:rPr>
              <w:t>Total</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rPr>
              <w:t>Asia-</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Total</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8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dollars</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189"/>
              <w:spacing w:after="0" w:line="95" w:lineRule="exact"/>
              <w:rPr>
                <w:sz w:val="20"/>
                <w:szCs w:val="20"/>
                <w:color w:val="auto"/>
              </w:rPr>
            </w:pPr>
            <w:r>
              <w:rPr>
                <w:rFonts w:ascii="Arial" w:cs="Arial" w:eastAsia="Arial" w:hAnsi="Arial"/>
                <w:sz w:val="10"/>
                <w:szCs w:val="10"/>
                <w:color w:val="auto"/>
              </w:rPr>
              <w:t>Calif.</w:t>
            </w:r>
          </w:p>
        </w:tc>
        <w:tc>
          <w:tcPr>
            <w:tcW w:w="260" w:type="dxa"/>
            <w:vAlign w:val="bottom"/>
          </w:tcPr>
          <w:p>
            <w:pPr>
              <w:spacing w:after="0"/>
              <w:rPr>
                <w:sz w:val="8"/>
                <w:szCs w:val="8"/>
                <w:color w:val="auto"/>
              </w:rPr>
            </w:pPr>
          </w:p>
        </w:tc>
        <w:tc>
          <w:tcPr>
            <w:tcW w:w="540" w:type="dxa"/>
            <w:vAlign w:val="bottom"/>
          </w:tcPr>
          <w:p>
            <w:pPr>
              <w:jc w:val="right"/>
              <w:ind w:right="169"/>
              <w:spacing w:after="0" w:line="95" w:lineRule="exact"/>
              <w:rPr>
                <w:sz w:val="20"/>
                <w:szCs w:val="20"/>
                <w:color w:val="auto"/>
              </w:rPr>
            </w:pPr>
            <w:r>
              <w:rPr>
                <w:rFonts w:ascii="Arial" w:cs="Arial" w:eastAsia="Arial" w:hAnsi="Arial"/>
                <w:sz w:val="10"/>
                <w:szCs w:val="10"/>
                <w:color w:val="auto"/>
                <w:w w:val="94"/>
              </w:rPr>
              <w:t>Mexico</w:t>
            </w:r>
          </w:p>
        </w:tc>
        <w:tc>
          <w:tcPr>
            <w:tcW w:w="280" w:type="dxa"/>
            <w:vAlign w:val="bottom"/>
          </w:tcPr>
          <w:p>
            <w:pPr>
              <w:spacing w:after="0"/>
              <w:rPr>
                <w:sz w:val="8"/>
                <w:szCs w:val="8"/>
                <w:color w:val="auto"/>
              </w:rPr>
            </w:pPr>
          </w:p>
        </w:tc>
        <w:tc>
          <w:tcPr>
            <w:tcW w:w="480" w:type="dxa"/>
            <w:vAlign w:val="bottom"/>
          </w:tcPr>
          <w:p>
            <w:pPr>
              <w:jc w:val="right"/>
              <w:ind w:right="129"/>
              <w:spacing w:after="0" w:line="95" w:lineRule="exact"/>
              <w:rPr>
                <w:sz w:val="20"/>
                <w:szCs w:val="20"/>
                <w:color w:val="auto"/>
              </w:rPr>
            </w:pPr>
            <w:r>
              <w:rPr>
                <w:rFonts w:ascii="Arial" w:cs="Arial" w:eastAsia="Arial" w:hAnsi="Arial"/>
                <w:sz w:val="10"/>
                <w:szCs w:val="10"/>
                <w:color w:val="auto"/>
              </w:rPr>
              <w:t>Other</w:t>
            </w:r>
          </w:p>
        </w:tc>
        <w:tc>
          <w:tcPr>
            <w:tcW w:w="340" w:type="dxa"/>
            <w:vAlign w:val="bottom"/>
          </w:tcPr>
          <w:p>
            <w:pPr>
              <w:spacing w:after="0"/>
              <w:rPr>
                <w:sz w:val="8"/>
                <w:szCs w:val="8"/>
                <w:color w:val="auto"/>
              </w:rPr>
            </w:pPr>
          </w:p>
        </w:tc>
        <w:tc>
          <w:tcPr>
            <w:tcW w:w="740" w:type="dxa"/>
            <w:vAlign w:val="bottom"/>
            <w:gridSpan w:val="3"/>
          </w:tcPr>
          <w:p>
            <w:pPr>
              <w:jc w:val="right"/>
              <w:ind w:right="440"/>
              <w:spacing w:after="0" w:line="95" w:lineRule="exact"/>
              <w:rPr>
                <w:sz w:val="20"/>
                <w:szCs w:val="20"/>
                <w:color w:val="auto"/>
              </w:rPr>
            </w:pPr>
            <w:r>
              <w:rPr>
                <w:rFonts w:ascii="Arial" w:cs="Arial" w:eastAsia="Arial" w:hAnsi="Arial"/>
                <w:sz w:val="10"/>
                <w:szCs w:val="10"/>
                <w:color w:val="auto"/>
              </w:rPr>
              <w:t>U.S.</w:t>
            </w:r>
          </w:p>
        </w:tc>
        <w:tc>
          <w:tcPr>
            <w:tcW w:w="80" w:type="dxa"/>
            <w:vAlign w:val="bottom"/>
          </w:tcPr>
          <w:p>
            <w:pPr>
              <w:spacing w:after="0"/>
              <w:rPr>
                <w:sz w:val="8"/>
                <w:szCs w:val="8"/>
                <w:color w:val="auto"/>
              </w:rPr>
            </w:pPr>
          </w:p>
        </w:tc>
        <w:tc>
          <w:tcPr>
            <w:tcW w:w="520" w:type="dxa"/>
            <w:vAlign w:val="bottom"/>
          </w:tcPr>
          <w:p>
            <w:pPr>
              <w:jc w:val="right"/>
              <w:ind w:right="169"/>
              <w:spacing w:after="0" w:line="95" w:lineRule="exact"/>
              <w:rPr>
                <w:sz w:val="20"/>
                <w:szCs w:val="20"/>
                <w:color w:val="auto"/>
              </w:rPr>
            </w:pPr>
            <w:r>
              <w:rPr>
                <w:rFonts w:ascii="Arial" w:cs="Arial" w:eastAsia="Arial" w:hAnsi="Arial"/>
                <w:sz w:val="10"/>
                <w:szCs w:val="10"/>
                <w:color w:val="auto"/>
              </w:rPr>
              <w:t>Africa</w:t>
            </w:r>
          </w:p>
        </w:tc>
        <w:tc>
          <w:tcPr>
            <w:tcW w:w="28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w w:val="94"/>
              </w:rPr>
              <w:t>Pacific</w:t>
            </w:r>
          </w:p>
        </w:tc>
        <w:tc>
          <w:tcPr>
            <w:tcW w:w="800" w:type="dxa"/>
            <w:vAlign w:val="bottom"/>
            <w:gridSpan w:val="2"/>
          </w:tcPr>
          <w:p>
            <w:pPr>
              <w:ind w:left="200"/>
              <w:spacing w:after="0" w:line="95" w:lineRule="exact"/>
              <w:rPr>
                <w:sz w:val="20"/>
                <w:szCs w:val="20"/>
                <w:color w:val="auto"/>
              </w:rPr>
            </w:pPr>
            <w:r>
              <w:rPr>
                <w:rFonts w:ascii="Arial" w:cs="Arial" w:eastAsia="Arial" w:hAnsi="Arial"/>
                <w:sz w:val="10"/>
                <w:szCs w:val="10"/>
                <w:color w:val="auto"/>
              </w:rPr>
              <w:t>Indonesia</w:t>
            </w:r>
          </w:p>
        </w:tc>
        <w:tc>
          <w:tcPr>
            <w:tcW w:w="280" w:type="dxa"/>
            <w:vAlign w:val="bottom"/>
          </w:tcPr>
          <w:p>
            <w:pPr>
              <w:spacing w:after="0"/>
              <w:rPr>
                <w:sz w:val="8"/>
                <w:szCs w:val="8"/>
                <w:color w:val="auto"/>
              </w:rPr>
            </w:pPr>
          </w:p>
        </w:tc>
        <w:tc>
          <w:tcPr>
            <w:tcW w:w="500" w:type="dxa"/>
            <w:vAlign w:val="bottom"/>
          </w:tcPr>
          <w:p>
            <w:pPr>
              <w:jc w:val="right"/>
              <w:ind w:right="149"/>
              <w:spacing w:after="0" w:line="95" w:lineRule="exact"/>
              <w:rPr>
                <w:sz w:val="20"/>
                <w:szCs w:val="20"/>
                <w:color w:val="auto"/>
              </w:rPr>
            </w:pPr>
            <w:r>
              <w:rPr>
                <w:rFonts w:ascii="Arial" w:cs="Arial" w:eastAsia="Arial" w:hAnsi="Arial"/>
                <w:sz w:val="10"/>
                <w:szCs w:val="10"/>
                <w:color w:val="auto"/>
              </w:rPr>
              <w:t>Other</w:t>
            </w:r>
          </w:p>
        </w:tc>
        <w:tc>
          <w:tcPr>
            <w:tcW w:w="300" w:type="dxa"/>
            <w:vAlign w:val="bottom"/>
          </w:tcPr>
          <w:p>
            <w:pPr>
              <w:spacing w:after="0"/>
              <w:rPr>
                <w:sz w:val="8"/>
                <w:szCs w:val="8"/>
                <w:color w:val="auto"/>
              </w:rPr>
            </w:pPr>
          </w:p>
        </w:tc>
        <w:tc>
          <w:tcPr>
            <w:tcW w:w="58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Int’l.</w:t>
            </w:r>
          </w:p>
        </w:tc>
        <w:tc>
          <w:tcPr>
            <w:tcW w:w="280" w:type="dxa"/>
            <w:vAlign w:val="bottom"/>
          </w:tcPr>
          <w:p>
            <w:pPr>
              <w:spacing w:after="0"/>
              <w:rPr>
                <w:sz w:val="8"/>
                <w:szCs w:val="8"/>
                <w:color w:val="auto"/>
              </w:rPr>
            </w:pPr>
          </w:p>
        </w:tc>
        <w:tc>
          <w:tcPr>
            <w:tcW w:w="46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rPr>
              <w:t>Total</w:t>
            </w: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rPr>
              <w:t>TCO</w:t>
            </w:r>
          </w:p>
        </w:tc>
        <w:tc>
          <w:tcPr>
            <w:tcW w:w="28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w w:val="87"/>
              </w:rPr>
              <w:t>Other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7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 31, 2006</w:t>
            </w:r>
          </w:p>
        </w:tc>
        <w:tc>
          <w:tcPr>
            <w:tcW w:w="30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ind w:left="80"/>
              <w:spacing w:after="0" w:line="106" w:lineRule="exact"/>
              <w:rPr>
                <w:sz w:val="20"/>
                <w:szCs w:val="20"/>
                <w:color w:val="auto"/>
              </w:rPr>
            </w:pPr>
            <w:r>
              <w:rPr>
                <w:rFonts w:ascii="Arial" w:cs="Arial" w:eastAsia="Arial" w:hAnsi="Arial"/>
                <w:sz w:val="10"/>
                <w:szCs w:val="10"/>
                <w:color w:val="auto"/>
              </w:rPr>
              <w:t>Sales</w:t>
            </w: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308</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1,845</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2,976</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5,129</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2,377</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4,938</w:t>
            </w:r>
          </w:p>
        </w:tc>
        <w:tc>
          <w:tcPr>
            <w:tcW w:w="300" w:type="dxa"/>
            <w:vAlign w:val="bottom"/>
          </w:tcPr>
          <w:p>
            <w:pPr>
              <w:ind w:left="20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1,001</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2,814</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11,130</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16,259</w:t>
            </w: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89"/>
              <w:spacing w:after="0" w:line="106" w:lineRule="exact"/>
              <w:rPr>
                <w:sz w:val="20"/>
                <w:szCs w:val="20"/>
                <w:color w:val="auto"/>
              </w:rPr>
            </w:pPr>
            <w:r>
              <w:rPr>
                <w:rFonts w:ascii="Arial" w:cs="Arial" w:eastAsia="Arial" w:hAnsi="Arial"/>
                <w:sz w:val="10"/>
                <w:szCs w:val="10"/>
                <w:color w:val="auto"/>
                <w:w w:val="95"/>
              </w:rPr>
              <w:t>2,861</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598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60" w:type="dxa"/>
            <w:vAlign w:val="bottom"/>
          </w:tcPr>
          <w:p>
            <w:pPr>
              <w:ind w:left="80"/>
              <w:spacing w:after="0"/>
              <w:rPr>
                <w:sz w:val="20"/>
                <w:szCs w:val="20"/>
                <w:color w:val="auto"/>
              </w:rPr>
            </w:pPr>
            <w:r>
              <w:rPr>
                <w:rFonts w:ascii="Arial" w:cs="Arial" w:eastAsia="Arial" w:hAnsi="Arial"/>
                <w:sz w:val="10"/>
                <w:szCs w:val="10"/>
                <w:color w:val="auto"/>
              </w:rPr>
              <w:t>Transfers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4,072</w:t>
            </w:r>
          </w:p>
        </w:tc>
        <w:tc>
          <w:tcPr>
            <w:tcW w:w="26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2,317</w:t>
            </w:r>
          </w:p>
        </w:tc>
        <w:tc>
          <w:tcPr>
            <w:tcW w:w="280" w:type="dxa"/>
            <w:vAlign w:val="bottom"/>
          </w:tcPr>
          <w:p>
            <w:pPr>
              <w:spacing w:after="0"/>
              <w:rPr>
                <w:sz w:val="10"/>
                <w:szCs w:val="10"/>
                <w:color w:val="auto"/>
              </w:rPr>
            </w:pPr>
          </w:p>
        </w:tc>
        <w:tc>
          <w:tcPr>
            <w:tcW w:w="480" w:type="dxa"/>
            <w:vAlign w:val="bottom"/>
          </w:tcPr>
          <w:p>
            <w:pPr>
              <w:jc w:val="right"/>
              <w:ind w:right="129"/>
              <w:spacing w:after="0"/>
              <w:rPr>
                <w:sz w:val="20"/>
                <w:szCs w:val="20"/>
                <w:color w:val="auto"/>
              </w:rPr>
            </w:pPr>
            <w:r>
              <w:rPr>
                <w:rFonts w:ascii="Arial" w:cs="Arial" w:eastAsia="Arial" w:hAnsi="Arial"/>
                <w:sz w:val="10"/>
                <w:szCs w:val="10"/>
                <w:color w:val="auto"/>
              </w:rPr>
              <w:t>2,046</w:t>
            </w:r>
          </w:p>
        </w:tc>
        <w:tc>
          <w:tcPr>
            <w:tcW w:w="34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8,435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69"/>
              <w:spacing w:after="0"/>
              <w:rPr>
                <w:sz w:val="20"/>
                <w:szCs w:val="20"/>
                <w:color w:val="auto"/>
              </w:rPr>
            </w:pPr>
            <w:r>
              <w:rPr>
                <w:rFonts w:ascii="Arial" w:cs="Arial" w:eastAsia="Arial" w:hAnsi="Arial"/>
                <w:sz w:val="10"/>
                <w:szCs w:val="10"/>
                <w:color w:val="auto"/>
              </w:rPr>
              <w:t>5,264</w:t>
            </w:r>
          </w:p>
        </w:tc>
        <w:tc>
          <w:tcPr>
            <w:tcW w:w="280" w:type="dxa"/>
            <w:vAlign w:val="bottom"/>
          </w:tcPr>
          <w:p>
            <w:pPr>
              <w:spacing w:after="0"/>
              <w:rPr>
                <w:sz w:val="10"/>
                <w:szCs w:val="10"/>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4,084</w:t>
            </w:r>
          </w:p>
        </w:tc>
        <w:tc>
          <w:tcPr>
            <w:tcW w:w="30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2,211</w:t>
            </w:r>
          </w:p>
        </w:tc>
        <w:tc>
          <w:tcPr>
            <w:tcW w:w="280" w:type="dxa"/>
            <w:vAlign w:val="bottom"/>
          </w:tcPr>
          <w:p>
            <w:pPr>
              <w:spacing w:after="0"/>
              <w:rPr>
                <w:sz w:val="10"/>
                <w:szCs w:val="10"/>
                <w:color w:val="auto"/>
              </w:rPr>
            </w:pPr>
          </w:p>
        </w:tc>
        <w:tc>
          <w:tcPr>
            <w:tcW w:w="500" w:type="dxa"/>
            <w:vAlign w:val="bottom"/>
          </w:tcPr>
          <w:p>
            <w:pPr>
              <w:jc w:val="right"/>
              <w:ind w:right="149"/>
              <w:spacing w:after="0"/>
              <w:rPr>
                <w:sz w:val="20"/>
                <w:szCs w:val="20"/>
                <w:color w:val="auto"/>
              </w:rPr>
            </w:pPr>
            <w:r>
              <w:rPr>
                <w:rFonts w:ascii="Arial" w:cs="Arial" w:eastAsia="Arial" w:hAnsi="Arial"/>
                <w:sz w:val="10"/>
                <w:szCs w:val="10"/>
                <w:color w:val="auto"/>
              </w:rPr>
              <w:t>2,848</w:t>
            </w:r>
          </w:p>
        </w:tc>
        <w:tc>
          <w:tcPr>
            <w:tcW w:w="3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14,407</w:t>
            </w:r>
          </w:p>
        </w:tc>
        <w:tc>
          <w:tcPr>
            <w:tcW w:w="28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22,842</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76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Total</w:t>
            </w:r>
          </w:p>
        </w:tc>
        <w:tc>
          <w:tcPr>
            <w:tcW w:w="30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4,380</w:t>
            </w: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4,162</w:t>
            </w: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5,022</w:t>
            </w:r>
          </w:p>
        </w:tc>
        <w:tc>
          <w:tcPr>
            <w:tcW w:w="3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w w:val="91"/>
              </w:rPr>
              <w:t>13,564</w:t>
            </w:r>
          </w:p>
        </w:tc>
        <w:tc>
          <w:tcPr>
            <w:tcW w:w="12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7,641</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9,022</w:t>
            </w:r>
          </w:p>
        </w:tc>
        <w:tc>
          <w:tcPr>
            <w:tcW w:w="3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3,212</w:t>
            </w:r>
          </w:p>
        </w:tc>
        <w:tc>
          <w:tcPr>
            <w:tcW w:w="2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5,662</w:t>
            </w:r>
          </w:p>
        </w:tc>
        <w:tc>
          <w:tcPr>
            <w:tcW w:w="3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gridSpan w:val="2"/>
          </w:tcPr>
          <w:p>
            <w:pPr>
              <w:jc w:val="right"/>
              <w:ind w:right="220"/>
              <w:spacing w:after="0" w:line="92" w:lineRule="exact"/>
              <w:rPr>
                <w:sz w:val="20"/>
                <w:szCs w:val="20"/>
                <w:color w:val="auto"/>
              </w:rPr>
            </w:pPr>
            <w:r>
              <w:rPr>
                <w:rFonts w:ascii="Arial" w:cs="Arial" w:eastAsia="Arial" w:hAnsi="Arial"/>
                <w:sz w:val="10"/>
                <w:szCs w:val="10"/>
                <w:color w:val="auto"/>
              </w:rPr>
              <w:t>25,537</w:t>
            </w: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gridSpan w:val="2"/>
          </w:tcPr>
          <w:p>
            <w:pPr>
              <w:jc w:val="right"/>
              <w:ind w:right="120"/>
              <w:spacing w:after="0" w:line="92" w:lineRule="exact"/>
              <w:rPr>
                <w:sz w:val="20"/>
                <w:szCs w:val="20"/>
                <w:color w:val="auto"/>
              </w:rPr>
            </w:pPr>
            <w:r>
              <w:rPr>
                <w:rFonts w:ascii="Arial" w:cs="Arial" w:eastAsia="Arial" w:hAnsi="Arial"/>
                <w:sz w:val="10"/>
                <w:szCs w:val="10"/>
                <w:color w:val="auto"/>
              </w:rPr>
              <w:t>39,101</w:t>
            </w: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w w:val="95"/>
              </w:rPr>
              <w:t>2,861</w:t>
            </w:r>
          </w:p>
        </w:tc>
        <w:tc>
          <w:tcPr>
            <w:tcW w:w="28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598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Production expenses excluding taxes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(889)</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(765)</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(1,057)</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(2,711)</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(640)</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(740)</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(728)</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(664)</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(2,772)</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(5,483)</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(202)</w:t>
            </w:r>
          </w:p>
        </w:tc>
        <w:tc>
          <w:tcPr>
            <w:tcW w:w="280" w:type="dxa"/>
            <w:vAlign w:val="bottom"/>
          </w:tcPr>
          <w:p>
            <w:pPr>
              <w:spacing w:after="0"/>
              <w:rPr>
                <w:sz w:val="9"/>
                <w:szCs w:val="9"/>
                <w:color w:val="auto"/>
              </w:rPr>
            </w:pPr>
          </w:p>
        </w:tc>
        <w:tc>
          <w:tcPr>
            <w:tcW w:w="3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Taxes other than on income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(84)</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(57)</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(442)</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(583)</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(57)</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(231)</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(60)</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(349)</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(932)</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(28)</w:t>
            </w:r>
          </w:p>
        </w:tc>
        <w:tc>
          <w:tcPr>
            <w:tcW w:w="280" w:type="dxa"/>
            <w:vAlign w:val="bottom"/>
          </w:tcPr>
          <w:p>
            <w:pPr>
              <w:spacing w:after="0"/>
              <w:rPr>
                <w:sz w:val="9"/>
                <w:szCs w:val="9"/>
                <w:color w:val="auto"/>
              </w:rPr>
            </w:pPr>
          </w:p>
        </w:tc>
        <w:tc>
          <w:tcPr>
            <w:tcW w:w="3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Proved producing properties: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ind w:left="80"/>
              <w:spacing w:after="0" w:line="106" w:lineRule="exact"/>
              <w:rPr>
                <w:sz w:val="20"/>
                <w:szCs w:val="20"/>
                <w:color w:val="auto"/>
              </w:rPr>
            </w:pPr>
            <w:r>
              <w:rPr>
                <w:rFonts w:ascii="Arial" w:cs="Arial" w:eastAsia="Arial" w:hAnsi="Arial"/>
                <w:sz w:val="10"/>
                <w:szCs w:val="10"/>
                <w:color w:val="auto"/>
              </w:rPr>
              <w:t>Depreciation and depletion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(275)</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(1,096)</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(763)</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(2,134)</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(579)</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(1,475)</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(666)</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(703)</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(3,423)</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(5,557)</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(114)</w:t>
            </w:r>
          </w:p>
        </w:tc>
        <w:tc>
          <w:tcPr>
            <w:tcW w:w="280" w:type="dxa"/>
            <w:vAlign w:val="bottom"/>
          </w:tcPr>
          <w:p>
            <w:pPr>
              <w:spacing w:after="0"/>
              <w:rPr>
                <w:sz w:val="9"/>
                <w:szCs w:val="9"/>
                <w:color w:val="auto"/>
              </w:rPr>
            </w:pPr>
          </w:p>
        </w:tc>
        <w:tc>
          <w:tcPr>
            <w:tcW w:w="3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(11)</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(80)</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(39)</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(130)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(26)</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(30)</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(49)</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(128)</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(258)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w:t>
            </w:r>
          </w:p>
        </w:tc>
        <w:tc>
          <w:tcPr>
            <w:tcW w:w="28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Exploration expenses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(407)</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(24)</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(431)</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(296)</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(209)</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(110)</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(318)</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(933)</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(1,364)</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(25)</w:t>
            </w:r>
          </w:p>
        </w:tc>
        <w:tc>
          <w:tcPr>
            <w:tcW w:w="28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w:t>
            </w:r>
          </w:p>
        </w:tc>
        <w:tc>
          <w:tcPr>
            <w:tcW w:w="26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(73)</w:t>
            </w:r>
          </w:p>
        </w:tc>
        <w:tc>
          <w:tcPr>
            <w:tcW w:w="280" w:type="dxa"/>
            <w:vAlign w:val="bottom"/>
          </w:tcPr>
          <w:p>
            <w:pPr>
              <w:spacing w:after="0"/>
              <w:rPr>
                <w:sz w:val="9"/>
                <w:szCs w:val="9"/>
                <w:color w:val="auto"/>
              </w:rPr>
            </w:pPr>
          </w:p>
        </w:tc>
        <w:tc>
          <w:tcPr>
            <w:tcW w:w="4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(8)</w:t>
            </w:r>
          </w:p>
        </w:tc>
        <w:tc>
          <w:tcPr>
            <w:tcW w:w="340" w:type="dxa"/>
            <w:vAlign w:val="bottom"/>
          </w:tcPr>
          <w:p>
            <w:pPr>
              <w:spacing w:after="0"/>
              <w:rPr>
                <w:sz w:val="9"/>
                <w:szCs w:val="9"/>
                <w:color w:val="auto"/>
              </w:rPr>
            </w:pPr>
          </w:p>
        </w:tc>
        <w:tc>
          <w:tcPr>
            <w:tcW w:w="4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(84)</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(28)</w:t>
            </w:r>
          </w:p>
        </w:tc>
        <w:tc>
          <w:tcPr>
            <w:tcW w:w="28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(15)</w:t>
            </w:r>
          </w:p>
        </w:tc>
        <w:tc>
          <w:tcPr>
            <w:tcW w:w="300" w:type="dxa"/>
            <w:vAlign w:val="bottom"/>
          </w:tcPr>
          <w:p>
            <w:pPr>
              <w:spacing w:after="0"/>
              <w:rPr>
                <w:sz w:val="9"/>
                <w:szCs w:val="9"/>
                <w:color w:val="auto"/>
              </w:rPr>
            </w:pPr>
          </w:p>
        </w:tc>
        <w:tc>
          <w:tcPr>
            <w:tcW w:w="5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w:t>
            </w:r>
          </w:p>
        </w:tc>
        <w:tc>
          <w:tcPr>
            <w:tcW w:w="280" w:type="dxa"/>
            <w:vAlign w:val="bottom"/>
          </w:tcPr>
          <w:p>
            <w:pPr>
              <w:spacing w:after="0"/>
              <w:rPr>
                <w:sz w:val="9"/>
                <w:szCs w:val="9"/>
                <w:color w:val="auto"/>
              </w:rPr>
            </w:pPr>
          </w:p>
        </w:tc>
        <w:tc>
          <w:tcPr>
            <w:tcW w:w="5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(27)</w:t>
            </w:r>
          </w:p>
        </w:tc>
        <w:tc>
          <w:tcPr>
            <w:tcW w:w="300" w:type="dxa"/>
            <w:vAlign w:val="bottom"/>
          </w:tcPr>
          <w:p>
            <w:pPr>
              <w:spacing w:after="0"/>
              <w:rPr>
                <w:sz w:val="9"/>
                <w:szCs w:val="9"/>
                <w:color w:val="auto"/>
              </w:rPr>
            </w:pPr>
          </w:p>
        </w:tc>
        <w:tc>
          <w:tcPr>
            <w:tcW w:w="58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(84)</w:t>
            </w:r>
          </w:p>
        </w:tc>
        <w:tc>
          <w:tcPr>
            <w:tcW w:w="280" w:type="dxa"/>
            <w:vAlign w:val="bottom"/>
          </w:tcPr>
          <w:p>
            <w:pPr>
              <w:spacing w:after="0"/>
              <w:rPr>
                <w:sz w:val="9"/>
                <w:szCs w:val="9"/>
                <w:color w:val="auto"/>
              </w:rPr>
            </w:pPr>
          </w:p>
        </w:tc>
        <w:tc>
          <w:tcPr>
            <w:tcW w:w="4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(168)</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3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1</w:t>
            </w:r>
          </w:p>
        </w:tc>
        <w:tc>
          <w:tcPr>
            <w:tcW w:w="26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(732)</w:t>
            </w:r>
          </w:p>
        </w:tc>
        <w:tc>
          <w:tcPr>
            <w:tcW w:w="280" w:type="dxa"/>
            <w:vAlign w:val="bottom"/>
          </w:tcPr>
          <w:p>
            <w:pPr>
              <w:spacing w:after="0"/>
              <w:rPr>
                <w:sz w:val="10"/>
                <w:szCs w:val="10"/>
                <w:color w:val="auto"/>
              </w:rPr>
            </w:pPr>
          </w:p>
        </w:tc>
        <w:tc>
          <w:tcPr>
            <w:tcW w:w="480" w:type="dxa"/>
            <w:vAlign w:val="bottom"/>
          </w:tcPr>
          <w:p>
            <w:pPr>
              <w:jc w:val="right"/>
              <w:ind w:right="129"/>
              <w:spacing w:after="0"/>
              <w:rPr>
                <w:sz w:val="20"/>
                <w:szCs w:val="20"/>
                <w:color w:val="auto"/>
              </w:rPr>
            </w:pPr>
            <w:r>
              <w:rPr>
                <w:rFonts w:ascii="Arial" w:cs="Arial" w:eastAsia="Arial" w:hAnsi="Arial"/>
                <w:sz w:val="10"/>
                <w:szCs w:val="10"/>
                <w:color w:val="auto"/>
              </w:rPr>
              <w:t>254</w:t>
            </w:r>
          </w:p>
        </w:tc>
        <w:tc>
          <w:tcPr>
            <w:tcW w:w="34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(477)</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rPr>
              <w:t>(435)</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(475)</w:t>
            </w:r>
          </w:p>
        </w:tc>
        <w:tc>
          <w:tcPr>
            <w:tcW w:w="300" w:type="dxa"/>
            <w:vAlign w:val="bottom"/>
          </w:tcPr>
          <w:p>
            <w:pPr>
              <w:spacing w:after="0"/>
              <w:rPr>
                <w:sz w:val="10"/>
                <w:szCs w:val="10"/>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50</w:t>
            </w:r>
          </w:p>
        </w:tc>
        <w:tc>
          <w:tcPr>
            <w:tcW w:w="280" w:type="dxa"/>
            <w:vAlign w:val="bottom"/>
          </w:tcPr>
          <w:p>
            <w:pPr>
              <w:spacing w:after="0"/>
              <w:rPr>
                <w:sz w:val="10"/>
                <w:szCs w:val="10"/>
                <w:color w:val="auto"/>
              </w:rPr>
            </w:pPr>
          </w:p>
        </w:tc>
        <w:tc>
          <w:tcPr>
            <w:tcW w:w="500" w:type="dxa"/>
            <w:vAlign w:val="bottom"/>
          </w:tcPr>
          <w:p>
            <w:pPr>
              <w:jc w:val="right"/>
              <w:ind w:right="149"/>
              <w:spacing w:after="0"/>
              <w:rPr>
                <w:sz w:val="20"/>
                <w:szCs w:val="20"/>
                <w:color w:val="auto"/>
              </w:rPr>
            </w:pPr>
            <w:r>
              <w:rPr>
                <w:rFonts w:ascii="Arial" w:cs="Arial" w:eastAsia="Arial" w:hAnsi="Arial"/>
                <w:sz w:val="10"/>
                <w:szCs w:val="10"/>
                <w:color w:val="auto"/>
              </w:rPr>
              <w:t>385</w:t>
            </w:r>
          </w:p>
        </w:tc>
        <w:tc>
          <w:tcPr>
            <w:tcW w:w="30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(475)</w:t>
            </w:r>
          </w:p>
        </w:tc>
        <w:tc>
          <w:tcPr>
            <w:tcW w:w="28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(952)</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89"/>
              <w:spacing w:after="0"/>
              <w:rPr>
                <w:sz w:val="20"/>
                <w:szCs w:val="20"/>
                <w:color w:val="auto"/>
              </w:rPr>
            </w:pPr>
            <w:r>
              <w:rPr>
                <w:rFonts w:ascii="Arial" w:cs="Arial" w:eastAsia="Arial" w:hAnsi="Arial"/>
                <w:sz w:val="10"/>
                <w:szCs w:val="10"/>
                <w:color w:val="auto"/>
              </w:rPr>
              <w:t>8</w:t>
            </w:r>
          </w:p>
        </w:tc>
        <w:tc>
          <w:tcPr>
            <w:tcW w:w="2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76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Results before income taxes</w:t>
            </w:r>
          </w:p>
        </w:tc>
        <w:tc>
          <w:tcPr>
            <w:tcW w:w="30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3,119</w:t>
            </w: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952</w:t>
            </w:r>
          </w:p>
        </w:tc>
        <w:tc>
          <w:tcPr>
            <w:tcW w:w="28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2,943</w:t>
            </w:r>
          </w:p>
        </w:tc>
        <w:tc>
          <w:tcPr>
            <w:tcW w:w="3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7,014</w:t>
            </w:r>
          </w:p>
        </w:tc>
        <w:tc>
          <w:tcPr>
            <w:tcW w:w="120" w:type="dxa"/>
            <w:vAlign w:val="bottom"/>
            <w:tcBorders>
              <w:top w:val="single" w:sz="8" w:color="0077C0"/>
            </w:tcBorders>
          </w:tcPr>
          <w:p>
            <w:pPr>
              <w:spacing w:after="0"/>
              <w:rPr>
                <w:sz w:val="8"/>
                <w:szCs w:val="8"/>
                <w:color w:val="auto"/>
              </w:rPr>
            </w:pP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5,580</w:t>
            </w:r>
          </w:p>
        </w:tc>
        <w:tc>
          <w:tcPr>
            <w:tcW w:w="2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5,847</w:t>
            </w:r>
          </w:p>
        </w:tc>
        <w:tc>
          <w:tcPr>
            <w:tcW w:w="3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1,720</w:t>
            </w:r>
          </w:p>
        </w:tc>
        <w:tc>
          <w:tcPr>
            <w:tcW w:w="2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4,226</w:t>
            </w:r>
          </w:p>
        </w:tc>
        <w:tc>
          <w:tcPr>
            <w:tcW w:w="30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gridSpan w:val="2"/>
          </w:tcPr>
          <w:p>
            <w:pPr>
              <w:jc w:val="right"/>
              <w:ind w:right="220"/>
              <w:spacing w:after="0" w:line="92" w:lineRule="exact"/>
              <w:rPr>
                <w:sz w:val="20"/>
                <w:szCs w:val="20"/>
                <w:color w:val="auto"/>
              </w:rPr>
            </w:pPr>
            <w:r>
              <w:rPr>
                <w:rFonts w:ascii="Arial" w:cs="Arial" w:eastAsia="Arial" w:hAnsi="Arial"/>
                <w:sz w:val="10"/>
                <w:szCs w:val="10"/>
                <w:color w:val="auto"/>
              </w:rPr>
              <w:t>17,373</w:t>
            </w: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gridSpan w:val="2"/>
          </w:tcPr>
          <w:p>
            <w:pPr>
              <w:jc w:val="right"/>
              <w:ind w:right="120"/>
              <w:spacing w:after="0" w:line="92" w:lineRule="exact"/>
              <w:rPr>
                <w:sz w:val="20"/>
                <w:szCs w:val="20"/>
                <w:color w:val="auto"/>
              </w:rPr>
            </w:pPr>
            <w:r>
              <w:rPr>
                <w:rFonts w:ascii="Arial" w:cs="Arial" w:eastAsia="Arial" w:hAnsi="Arial"/>
                <w:sz w:val="10"/>
                <w:szCs w:val="10"/>
                <w:color w:val="auto"/>
              </w:rPr>
              <w:t>24,387</w:t>
            </w:r>
          </w:p>
        </w:tc>
        <w:tc>
          <w:tcPr>
            <w:tcW w:w="32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w w:val="95"/>
              </w:rPr>
              <w:t>2,499</w:t>
            </w:r>
          </w:p>
        </w:tc>
        <w:tc>
          <w:tcPr>
            <w:tcW w:w="28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467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20"/>
                <w:szCs w:val="20"/>
                <w:color w:val="auto"/>
              </w:rPr>
            </w:pPr>
            <w:r>
              <w:rPr>
                <w:rFonts w:ascii="Arial" w:cs="Arial" w:eastAsia="Arial" w:hAnsi="Arial"/>
                <w:sz w:val="10"/>
                <w:szCs w:val="10"/>
                <w:color w:val="auto"/>
              </w:rPr>
              <w:t>Income tax expense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w w:val="94"/>
              </w:rPr>
              <w:t>(1,169)</w:t>
            </w:r>
          </w:p>
        </w:tc>
        <w:tc>
          <w:tcPr>
            <w:tcW w:w="26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(357)</w:t>
            </w:r>
          </w:p>
        </w:tc>
        <w:tc>
          <w:tcPr>
            <w:tcW w:w="280" w:type="dxa"/>
            <w:vAlign w:val="bottom"/>
          </w:tcPr>
          <w:p>
            <w:pPr>
              <w:spacing w:after="0"/>
              <w:rPr>
                <w:sz w:val="10"/>
                <w:szCs w:val="10"/>
                <w:color w:val="auto"/>
              </w:rPr>
            </w:pPr>
          </w:p>
        </w:tc>
        <w:tc>
          <w:tcPr>
            <w:tcW w:w="480" w:type="dxa"/>
            <w:vAlign w:val="bottom"/>
          </w:tcPr>
          <w:p>
            <w:pPr>
              <w:jc w:val="right"/>
              <w:ind w:right="89"/>
              <w:spacing w:after="0"/>
              <w:rPr>
                <w:sz w:val="20"/>
                <w:szCs w:val="20"/>
                <w:color w:val="auto"/>
              </w:rPr>
            </w:pPr>
            <w:r>
              <w:rPr>
                <w:rFonts w:ascii="Arial" w:cs="Arial" w:eastAsia="Arial" w:hAnsi="Arial"/>
                <w:sz w:val="10"/>
                <w:szCs w:val="10"/>
                <w:color w:val="auto"/>
              </w:rPr>
              <w:t>(1,103)</w:t>
            </w:r>
          </w:p>
        </w:tc>
        <w:tc>
          <w:tcPr>
            <w:tcW w:w="34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(2,629)</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color w:val="auto"/>
                <w:w w:val="94"/>
              </w:rPr>
              <w:t>(4,740)</w:t>
            </w:r>
          </w:p>
        </w:tc>
        <w:tc>
          <w:tcPr>
            <w:tcW w:w="28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(3,224)</w:t>
            </w:r>
          </w:p>
        </w:tc>
        <w:tc>
          <w:tcPr>
            <w:tcW w:w="300" w:type="dxa"/>
            <w:vAlign w:val="bottom"/>
          </w:tcPr>
          <w:p>
            <w:pPr>
              <w:spacing w:after="0"/>
              <w:rPr>
                <w:sz w:val="10"/>
                <w:szCs w:val="10"/>
                <w:color w:val="auto"/>
              </w:rPr>
            </w:pPr>
          </w:p>
        </w:tc>
        <w:tc>
          <w:tcPr>
            <w:tcW w:w="500" w:type="dxa"/>
            <w:vAlign w:val="bottom"/>
          </w:tcPr>
          <w:p>
            <w:pPr>
              <w:jc w:val="right"/>
              <w:ind w:right="149"/>
              <w:spacing w:after="0"/>
              <w:rPr>
                <w:sz w:val="20"/>
                <w:szCs w:val="20"/>
                <w:color w:val="auto"/>
              </w:rPr>
            </w:pPr>
            <w:r>
              <w:rPr>
                <w:rFonts w:ascii="Arial" w:cs="Arial" w:eastAsia="Arial" w:hAnsi="Arial"/>
                <w:sz w:val="10"/>
                <w:szCs w:val="10"/>
                <w:color w:val="auto"/>
              </w:rPr>
              <w:t>(793)</w:t>
            </w:r>
          </w:p>
        </w:tc>
        <w:tc>
          <w:tcPr>
            <w:tcW w:w="280" w:type="dxa"/>
            <w:vAlign w:val="bottom"/>
          </w:tcPr>
          <w:p>
            <w:pPr>
              <w:spacing w:after="0"/>
              <w:rPr>
                <w:sz w:val="10"/>
                <w:szCs w:val="10"/>
                <w:color w:val="auto"/>
              </w:rPr>
            </w:pPr>
          </w:p>
        </w:tc>
        <w:tc>
          <w:tcPr>
            <w:tcW w:w="500" w:type="dxa"/>
            <w:vAlign w:val="bottom"/>
          </w:tcPr>
          <w:p>
            <w:pPr>
              <w:jc w:val="right"/>
              <w:ind w:right="109"/>
              <w:spacing w:after="0"/>
              <w:rPr>
                <w:sz w:val="20"/>
                <w:szCs w:val="20"/>
                <w:color w:val="auto"/>
              </w:rPr>
            </w:pPr>
            <w:r>
              <w:rPr>
                <w:rFonts w:ascii="Arial" w:cs="Arial" w:eastAsia="Arial" w:hAnsi="Arial"/>
                <w:sz w:val="10"/>
                <w:szCs w:val="10"/>
                <w:color w:val="auto"/>
              </w:rPr>
              <w:t>(2,151)</w:t>
            </w:r>
          </w:p>
        </w:tc>
        <w:tc>
          <w:tcPr>
            <w:tcW w:w="30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w w:val="96"/>
              </w:rPr>
              <w:t>(10,908)</w:t>
            </w:r>
          </w:p>
        </w:tc>
        <w:tc>
          <w:tcPr>
            <w:tcW w:w="28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w w:val="96"/>
              </w:rPr>
              <w:t>(13,537)</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49"/>
              <w:spacing w:after="0"/>
              <w:rPr>
                <w:sz w:val="20"/>
                <w:szCs w:val="20"/>
                <w:color w:val="auto"/>
              </w:rPr>
            </w:pPr>
            <w:r>
              <w:rPr>
                <w:rFonts w:ascii="Arial" w:cs="Arial" w:eastAsia="Arial" w:hAnsi="Arial"/>
                <w:sz w:val="10"/>
                <w:szCs w:val="10"/>
                <w:color w:val="auto"/>
              </w:rPr>
              <w:t>(750)</w:t>
            </w:r>
          </w:p>
        </w:tc>
        <w:tc>
          <w:tcPr>
            <w:tcW w:w="2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(174)</w:t>
            </w:r>
          </w:p>
        </w:tc>
        <w:tc>
          <w:tcPr>
            <w:tcW w:w="0" w:type="dxa"/>
            <w:vAlign w:val="bottom"/>
          </w:tcPr>
          <w:p>
            <w:pPr>
              <w:spacing w:after="0"/>
              <w:rPr>
                <w:sz w:val="1"/>
                <w:szCs w:val="1"/>
                <w:color w:val="auto"/>
              </w:rPr>
            </w:pPr>
          </w:p>
        </w:tc>
      </w:tr>
      <w:tr>
        <w:trPr>
          <w:trHeight w:val="114"/>
        </w:trPr>
        <w:tc>
          <w:tcPr>
            <w:tcW w:w="178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380" w:type="dxa"/>
            <w:vAlign w:val="bottom"/>
            <w:tcBorders>
              <w:top w:val="single" w:sz="8" w:color="0077C0"/>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1,950</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595</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1,840</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4,385</w:t>
            </w:r>
          </w:p>
        </w:tc>
        <w:tc>
          <w:tcPr>
            <w:tcW w:w="12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spacing w:after="0"/>
              <w:rPr>
                <w:sz w:val="9"/>
                <w:szCs w:val="9"/>
                <w:color w:val="auto"/>
              </w:rPr>
            </w:pPr>
          </w:p>
        </w:tc>
        <w:tc>
          <w:tcPr>
            <w:tcW w:w="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840</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2,623</w:t>
            </w:r>
          </w:p>
        </w:tc>
        <w:tc>
          <w:tcPr>
            <w:tcW w:w="300" w:type="dxa"/>
            <w:vAlign w:val="bottom"/>
            <w:tcBorders>
              <w:top w:val="single" w:sz="8" w:color="0077C0"/>
              <w:bottom w:val="single" w:sz="8" w:color="0077C0"/>
            </w:tcBorders>
          </w:tcPr>
          <w:p>
            <w:pPr>
              <w:ind w:left="200"/>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927</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2,075</w:t>
            </w: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6,465</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10,850</w:t>
            </w:r>
          </w:p>
        </w:tc>
        <w:tc>
          <w:tcPr>
            <w:tcW w:w="40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w w:val="95"/>
              </w:rPr>
              <w:t>1,749</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293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3" w:hanging="223"/>
        <w:spacing w:after="0"/>
        <w:tabs>
          <w:tab w:leader="none" w:pos="223" w:val="left"/>
        </w:tabs>
        <w:numPr>
          <w:ilvl w:val="0"/>
          <w:numId w:val="58"/>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2Represents accretion of ARO liability. Refer to Note 24, “Asset Retirement Obligations,” beginning on page FS-58.</w:t>
      </w:r>
    </w:p>
    <w:p>
      <w:pPr>
        <w:spacing w:after="0" w:line="25"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3Includes foreign currency gains and losses, gains and losses on property dispositions, and income from operating and technical service agreements.</w:t>
      </w:r>
    </w:p>
    <w:p>
      <w:pPr>
        <w:spacing w:after="0" w:line="128" w:lineRule="exact"/>
        <w:rPr>
          <w:sz w:val="20"/>
          <w:szCs w:val="20"/>
          <w:color w:val="auto"/>
        </w:rPr>
      </w:pPr>
    </w:p>
    <w:p>
      <w:pPr>
        <w:jc w:val="center"/>
        <w:ind w:right="-2"/>
        <w:spacing w:after="0"/>
        <w:rPr>
          <w:sz w:val="20"/>
          <w:szCs w:val="20"/>
          <w:color w:val="auto"/>
        </w:rPr>
      </w:pPr>
      <w:r>
        <w:rPr>
          <w:rFonts w:ascii="Arial" w:cs="Arial" w:eastAsia="Arial" w:hAnsi="Arial"/>
          <w:sz w:val="10"/>
          <w:szCs w:val="10"/>
          <w:color w:val="auto"/>
        </w:rPr>
        <w:t>FS-66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sectPr>
      </w:pPr>
    </w:p>
    <w:bookmarkStart w:id="107" w:name="page108"/>
    <w:bookmarkEnd w:id="107"/>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85990" cy="6286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3"/>
        <w:spacing w:after="0"/>
        <w:rPr>
          <w:sz w:val="20"/>
          <w:szCs w:val="20"/>
          <w:color w:val="auto"/>
        </w:rPr>
      </w:pPr>
      <w:r>
        <w:rPr>
          <w:rFonts w:ascii="Arial" w:cs="Arial" w:eastAsia="Arial" w:hAnsi="Arial"/>
          <w:sz w:val="10"/>
          <w:szCs w:val="10"/>
          <w:b w:val="1"/>
          <w:bCs w:val="1"/>
          <w:color w:val="0077C0"/>
        </w:rPr>
        <w:t xml:space="preserve">Table IV </w:t>
      </w:r>
      <w:r>
        <w:rPr>
          <w:rFonts w:ascii="Arial" w:cs="Arial" w:eastAsia="Arial" w:hAnsi="Arial"/>
          <w:sz w:val="8"/>
          <w:szCs w:val="8"/>
          <w:color w:val="000000"/>
        </w:rPr>
        <w:t>Results of Operations for Oil and</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80" w:type="dxa"/>
            <w:vAlign w:val="bottom"/>
            <w:gridSpan w:val="3"/>
          </w:tcPr>
          <w:p>
            <w:pPr>
              <w:jc w:val="right"/>
              <w:ind w:right="149"/>
              <w:spacing w:after="0"/>
              <w:rPr>
                <w:sz w:val="20"/>
                <w:szCs w:val="20"/>
                <w:color w:val="auto"/>
              </w:rPr>
            </w:pPr>
            <w:r>
              <w:rPr>
                <w:rFonts w:ascii="Arial" w:cs="Arial" w:eastAsia="Arial" w:hAnsi="Arial"/>
                <w:sz w:val="9"/>
                <w:szCs w:val="9"/>
                <w:color w:val="auto"/>
              </w:rPr>
              <w:t>Gas Producing Activities - Unit Prices and Costs</w:t>
            </w:r>
            <w:r>
              <w:rPr>
                <w:rFonts w:ascii="Arial" w:cs="Arial" w:eastAsia="Arial" w:hAnsi="Arial"/>
                <w:sz w:val="7"/>
                <w:szCs w:val="7"/>
                <w:color w:val="auto"/>
              </w:rPr>
              <w:t>1,2</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5"/>
          </w:tcPr>
          <w:p>
            <w:pPr>
              <w:jc w:val="right"/>
              <w:ind w:right="120"/>
              <w:spacing w:after="0"/>
              <w:rPr>
                <w:sz w:val="20"/>
                <w:szCs w:val="20"/>
                <w:color w:val="auto"/>
              </w:rPr>
            </w:pPr>
            <w:r>
              <w:rPr>
                <w:rFonts w:ascii="Arial" w:cs="Arial" w:eastAsia="Arial" w:hAnsi="Arial"/>
                <w:sz w:val="10"/>
                <w:szCs w:val="10"/>
                <w:color w:val="auto"/>
                <w:w w:val="89"/>
              </w:rPr>
              <w:t>Consolidated Companies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spacing w:after="0"/>
              <w:rPr>
                <w:sz w:val="8"/>
                <w:szCs w:val="8"/>
                <w:color w:val="auto"/>
              </w:rPr>
            </w:pPr>
          </w:p>
        </w:tc>
        <w:tc>
          <w:tcPr>
            <w:tcW w:w="54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420" w:type="dxa"/>
            <w:vAlign w:val="bottom"/>
            <w:tcBorders>
              <w:top w:val="single" w:sz="8" w:color="0077C0"/>
              <w:bottom w:val="single" w:sz="8" w:color="0077C0"/>
            </w:tcBorders>
          </w:tcPr>
          <w:p>
            <w:pPr>
              <w:spacing w:after="0"/>
              <w:rPr>
                <w:sz w:val="8"/>
                <w:szCs w:val="8"/>
                <w:color w:val="auto"/>
              </w:rPr>
            </w:pPr>
          </w:p>
        </w:tc>
        <w:tc>
          <w:tcPr>
            <w:tcW w:w="68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United States</w:t>
            </w:r>
          </w:p>
        </w:tc>
        <w:tc>
          <w:tcPr>
            <w:tcW w:w="1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spacing w:after="0"/>
              <w:rPr>
                <w:sz w:val="8"/>
                <w:szCs w:val="8"/>
                <w:color w:val="auto"/>
              </w:rPr>
            </w:pPr>
          </w:p>
        </w:tc>
        <w:tc>
          <w:tcPr>
            <w:tcW w:w="5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spacing w:after="0"/>
              <w:rPr>
                <w:sz w:val="8"/>
                <w:szCs w:val="8"/>
                <w:color w:val="auto"/>
              </w:rPr>
            </w:pPr>
          </w:p>
        </w:tc>
        <w:tc>
          <w:tcPr>
            <w:tcW w:w="400" w:type="dxa"/>
            <w:vAlign w:val="bottom"/>
            <w:tcBorders>
              <w:top w:val="single" w:sz="8" w:color="0077C0"/>
              <w:bottom w:val="single" w:sz="8" w:color="0077C0"/>
            </w:tcBorders>
          </w:tcPr>
          <w:p>
            <w:pPr>
              <w:spacing w:after="0"/>
              <w:rPr>
                <w:sz w:val="8"/>
                <w:szCs w:val="8"/>
                <w:color w:val="auto"/>
              </w:rPr>
            </w:pPr>
          </w:p>
        </w:tc>
        <w:tc>
          <w:tcPr>
            <w:tcW w:w="640" w:type="dxa"/>
            <w:vAlign w:val="bottom"/>
            <w:tcBorders>
              <w:top w:val="single" w:sz="8" w:color="0077C0"/>
              <w:bottom w:val="single" w:sz="8" w:color="0077C0"/>
            </w:tcBorders>
            <w:gridSpan w:val="2"/>
          </w:tcPr>
          <w:p>
            <w:pPr>
              <w:jc w:val="right"/>
              <w:spacing w:after="0" w:line="95" w:lineRule="exact"/>
              <w:rPr>
                <w:sz w:val="20"/>
                <w:szCs w:val="20"/>
                <w:color w:val="auto"/>
              </w:rPr>
            </w:pPr>
            <w:r>
              <w:rPr>
                <w:rFonts w:ascii="Arial" w:cs="Arial" w:eastAsia="Arial" w:hAnsi="Arial"/>
                <w:sz w:val="10"/>
                <w:szCs w:val="10"/>
                <w:color w:val="auto"/>
              </w:rPr>
              <w:t>International</w:t>
            </w: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5"/>
            <w:vMerge w:val="restart"/>
          </w:tcPr>
          <w:p>
            <w:pPr>
              <w:ind w:left="22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jc w:val="right"/>
              <w:ind w:right="189"/>
              <w:spacing w:after="0" w:line="95" w:lineRule="exact"/>
              <w:rPr>
                <w:sz w:val="20"/>
                <w:szCs w:val="20"/>
                <w:color w:val="auto"/>
              </w:rPr>
            </w:pPr>
            <w:r>
              <w:rPr>
                <w:rFonts w:ascii="Arial" w:cs="Arial" w:eastAsia="Arial" w:hAnsi="Arial"/>
                <w:sz w:val="10"/>
                <w:szCs w:val="10"/>
                <w:color w:val="auto"/>
                <w:w w:val="94"/>
              </w:rPr>
              <w:t>Gulf of</w:t>
            </w: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10"/>
                <w:szCs w:val="10"/>
                <w:color w:val="auto"/>
              </w:rPr>
              <w:t>Total</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jc w:val="right"/>
              <w:ind w:right="189"/>
              <w:spacing w:after="0" w:line="95" w:lineRule="exact"/>
              <w:rPr>
                <w:sz w:val="20"/>
                <w:szCs w:val="20"/>
                <w:color w:val="auto"/>
              </w:rPr>
            </w:pPr>
            <w:r>
              <w:rPr>
                <w:rFonts w:ascii="Arial" w:cs="Arial" w:eastAsia="Arial" w:hAnsi="Arial"/>
                <w:sz w:val="10"/>
                <w:szCs w:val="10"/>
                <w:color w:val="auto"/>
              </w:rPr>
              <w:t>Asia-</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2"/>
          </w:tcPr>
          <w:p>
            <w:pPr>
              <w:jc w:val="right"/>
              <w:ind w:right="220"/>
              <w:spacing w:after="0" w:line="95" w:lineRule="exact"/>
              <w:rPr>
                <w:sz w:val="20"/>
                <w:szCs w:val="20"/>
                <w:color w:val="auto"/>
              </w:rPr>
            </w:pPr>
            <w:r>
              <w:rPr>
                <w:rFonts w:ascii="Arial" w:cs="Arial" w:eastAsia="Arial" w:hAnsi="Arial"/>
                <w:sz w:val="10"/>
                <w:szCs w:val="10"/>
                <w:color w:val="auto"/>
              </w:rPr>
              <w:t>Total</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209"/>
              <w:spacing w:after="0" w:line="95" w:lineRule="exact"/>
              <w:rPr>
                <w:sz w:val="20"/>
                <w:szCs w:val="20"/>
                <w:color w:val="auto"/>
              </w:rPr>
            </w:pPr>
            <w:r>
              <w:rPr>
                <w:rFonts w:ascii="Arial" w:cs="Arial" w:eastAsia="Arial" w:hAnsi="Arial"/>
                <w:sz w:val="10"/>
                <w:szCs w:val="10"/>
                <w:color w:val="auto"/>
              </w:rPr>
              <w:t>Calif.</w:t>
            </w:r>
          </w:p>
        </w:tc>
        <w:tc>
          <w:tcPr>
            <w:tcW w:w="260" w:type="dxa"/>
            <w:vAlign w:val="bottom"/>
            <w:tcBorders>
              <w:bottom w:val="single" w:sz="8" w:color="0077C0"/>
            </w:tcBorders>
          </w:tcPr>
          <w:p>
            <w:pPr>
              <w:spacing w:after="0"/>
              <w:rPr>
                <w:sz w:val="8"/>
                <w:szCs w:val="8"/>
                <w:color w:val="auto"/>
              </w:rPr>
            </w:pPr>
          </w:p>
        </w:tc>
        <w:tc>
          <w:tcPr>
            <w:tcW w:w="54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w w:val="88"/>
              </w:rPr>
              <w:t>Mexico</w:t>
            </w:r>
          </w:p>
        </w:tc>
        <w:tc>
          <w:tcPr>
            <w:tcW w:w="300" w:type="dxa"/>
            <w:vAlign w:val="bottom"/>
            <w:tcBorders>
              <w:bottom w:val="single" w:sz="8" w:color="0077C0"/>
            </w:tcBorders>
          </w:tcPr>
          <w:p>
            <w:pPr>
              <w:spacing w:after="0"/>
              <w:rPr>
                <w:sz w:val="8"/>
                <w:szCs w:val="8"/>
                <w:color w:val="auto"/>
              </w:rPr>
            </w:pPr>
          </w:p>
        </w:tc>
        <w:tc>
          <w:tcPr>
            <w:tcW w:w="420" w:type="dxa"/>
            <w:vAlign w:val="bottom"/>
            <w:tcBorders>
              <w:bottom w:val="single" w:sz="8" w:color="0077C0"/>
            </w:tcBorders>
          </w:tcPr>
          <w:p>
            <w:pPr>
              <w:jc w:val="right"/>
              <w:ind w:right="89"/>
              <w:spacing w:after="0" w:line="95" w:lineRule="exact"/>
              <w:rPr>
                <w:sz w:val="20"/>
                <w:szCs w:val="20"/>
                <w:color w:val="auto"/>
              </w:rPr>
            </w:pPr>
            <w:r>
              <w:rPr>
                <w:rFonts w:ascii="Arial" w:cs="Arial" w:eastAsia="Arial" w:hAnsi="Arial"/>
                <w:sz w:val="10"/>
                <w:szCs w:val="10"/>
                <w:color w:val="auto"/>
              </w:rPr>
              <w:t>Other</w:t>
            </w:r>
          </w:p>
        </w:tc>
        <w:tc>
          <w:tcPr>
            <w:tcW w:w="400" w:type="dxa"/>
            <w:vAlign w:val="bottom"/>
            <w:tcBorders>
              <w:bottom w:val="single" w:sz="8" w:color="0077C0"/>
            </w:tcBorders>
          </w:tcPr>
          <w:p>
            <w:pPr>
              <w:spacing w:after="0"/>
              <w:rPr>
                <w:sz w:val="8"/>
                <w:szCs w:val="8"/>
                <w:color w:val="auto"/>
              </w:rPr>
            </w:pPr>
          </w:p>
        </w:tc>
        <w:tc>
          <w:tcPr>
            <w:tcW w:w="28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U.S.</w:t>
            </w:r>
          </w:p>
        </w:tc>
        <w:tc>
          <w:tcPr>
            <w:tcW w:w="100" w:type="dxa"/>
            <w:vAlign w:val="bottom"/>
            <w:tcBorders>
              <w:bottom w:val="single" w:sz="8" w:color="0077C0"/>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500" w:type="dxa"/>
            <w:vAlign w:val="bottom"/>
            <w:tcBorders>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Africa</w:t>
            </w:r>
          </w:p>
        </w:tc>
        <w:tc>
          <w:tcPr>
            <w:tcW w:w="300" w:type="dxa"/>
            <w:vAlign w:val="bottom"/>
            <w:tcBorders>
              <w:bottom w:val="single" w:sz="8" w:color="0077C0"/>
            </w:tcBorders>
          </w:tcPr>
          <w:p>
            <w:pPr>
              <w:spacing w:after="0"/>
              <w:rPr>
                <w:sz w:val="8"/>
                <w:szCs w:val="8"/>
                <w:color w:val="auto"/>
              </w:rPr>
            </w:pPr>
          </w:p>
        </w:tc>
        <w:tc>
          <w:tcPr>
            <w:tcW w:w="520" w:type="dxa"/>
            <w:vAlign w:val="bottom"/>
            <w:tcBorders>
              <w:bottom w:val="single" w:sz="8" w:color="0077C0"/>
            </w:tcBorders>
          </w:tcPr>
          <w:p>
            <w:pPr>
              <w:jc w:val="right"/>
              <w:ind w:right="189"/>
              <w:spacing w:after="0" w:line="95" w:lineRule="exact"/>
              <w:rPr>
                <w:sz w:val="20"/>
                <w:szCs w:val="20"/>
                <w:color w:val="auto"/>
              </w:rPr>
            </w:pPr>
            <w:r>
              <w:rPr>
                <w:rFonts w:ascii="Arial" w:cs="Arial" w:eastAsia="Arial" w:hAnsi="Arial"/>
                <w:sz w:val="10"/>
                <w:szCs w:val="10"/>
                <w:color w:val="auto"/>
                <w:w w:val="88"/>
              </w:rPr>
              <w:t>Pacific</w:t>
            </w:r>
          </w:p>
        </w:tc>
        <w:tc>
          <w:tcPr>
            <w:tcW w:w="840" w:type="dxa"/>
            <w:vAlign w:val="bottom"/>
            <w:tcBorders>
              <w:bottom w:val="single" w:sz="8" w:color="0077C0"/>
            </w:tcBorders>
            <w:gridSpan w:val="2"/>
          </w:tcPr>
          <w:p>
            <w:pPr>
              <w:ind w:left="240"/>
              <w:spacing w:after="0" w:line="95" w:lineRule="exact"/>
              <w:rPr>
                <w:sz w:val="20"/>
                <w:szCs w:val="20"/>
                <w:color w:val="auto"/>
              </w:rPr>
            </w:pPr>
            <w:r>
              <w:rPr>
                <w:rFonts w:ascii="Arial" w:cs="Arial" w:eastAsia="Arial" w:hAnsi="Arial"/>
                <w:sz w:val="10"/>
                <w:szCs w:val="10"/>
                <w:color w:val="auto"/>
              </w:rPr>
              <w:t>Indonesia</w:t>
            </w:r>
          </w:p>
        </w:tc>
        <w:tc>
          <w:tcPr>
            <w:tcW w:w="300" w:type="dxa"/>
            <w:vAlign w:val="bottom"/>
            <w:tcBorders>
              <w:bottom w:val="single" w:sz="8" w:color="0077C0"/>
            </w:tcBorders>
          </w:tcPr>
          <w:p>
            <w:pPr>
              <w:spacing w:after="0"/>
              <w:rPr>
                <w:sz w:val="8"/>
                <w:szCs w:val="8"/>
                <w:color w:val="auto"/>
              </w:rPr>
            </w:pPr>
          </w:p>
        </w:tc>
        <w:tc>
          <w:tcPr>
            <w:tcW w:w="400" w:type="dxa"/>
            <w:vAlign w:val="bottom"/>
            <w:tcBorders>
              <w:bottom w:val="single" w:sz="8" w:color="0077C0"/>
            </w:tcBorders>
          </w:tcPr>
          <w:p>
            <w:pPr>
              <w:jc w:val="right"/>
              <w:ind w:right="89"/>
              <w:spacing w:after="0" w:line="95" w:lineRule="exact"/>
              <w:rPr>
                <w:sz w:val="20"/>
                <w:szCs w:val="20"/>
                <w:color w:val="auto"/>
              </w:rPr>
            </w:pPr>
            <w:r>
              <w:rPr>
                <w:rFonts w:ascii="Arial" w:cs="Arial" w:eastAsia="Arial" w:hAnsi="Arial"/>
                <w:sz w:val="10"/>
                <w:szCs w:val="10"/>
                <w:color w:val="auto"/>
                <w:w w:val="95"/>
              </w:rPr>
              <w:t>Other</w:t>
            </w:r>
          </w:p>
        </w:tc>
        <w:tc>
          <w:tcPr>
            <w:tcW w:w="380" w:type="dxa"/>
            <w:vAlign w:val="bottom"/>
            <w:tcBorders>
              <w:bottom w:val="single" w:sz="8" w:color="0077C0"/>
            </w:tcBorders>
          </w:tcPr>
          <w:p>
            <w:pPr>
              <w:spacing w:after="0"/>
              <w:rPr>
                <w:sz w:val="8"/>
                <w:szCs w:val="8"/>
                <w:color w:val="auto"/>
              </w:rPr>
            </w:pPr>
          </w:p>
        </w:tc>
        <w:tc>
          <w:tcPr>
            <w:tcW w:w="480" w:type="dxa"/>
            <w:vAlign w:val="bottom"/>
            <w:tcBorders>
              <w:bottom w:val="single" w:sz="8" w:color="0077C0"/>
            </w:tcBorders>
            <w:gridSpan w:val="2"/>
          </w:tcPr>
          <w:p>
            <w:pPr>
              <w:jc w:val="right"/>
              <w:ind w:right="220"/>
              <w:spacing w:after="0" w:line="95" w:lineRule="exact"/>
              <w:rPr>
                <w:sz w:val="20"/>
                <w:szCs w:val="20"/>
                <w:color w:val="auto"/>
              </w:rPr>
            </w:pPr>
            <w:r>
              <w:rPr>
                <w:rFonts w:ascii="Arial" w:cs="Arial" w:eastAsia="Arial" w:hAnsi="Arial"/>
                <w:sz w:val="10"/>
                <w:szCs w:val="10"/>
                <w:color w:val="auto"/>
              </w:rPr>
              <w:t>Int’l.</w:t>
            </w:r>
          </w:p>
        </w:tc>
        <w:tc>
          <w:tcPr>
            <w:tcW w:w="300" w:type="dxa"/>
            <w:vAlign w:val="bottom"/>
            <w:tcBorders>
              <w:bottom w:val="single" w:sz="8" w:color="0077C0"/>
            </w:tcBorders>
          </w:tcPr>
          <w:p>
            <w:pPr>
              <w:spacing w:after="0"/>
              <w:rPr>
                <w:sz w:val="8"/>
                <w:szCs w:val="8"/>
                <w:color w:val="auto"/>
              </w:rPr>
            </w:pPr>
          </w:p>
        </w:tc>
        <w:tc>
          <w:tcPr>
            <w:tcW w:w="360" w:type="dxa"/>
            <w:vAlign w:val="bottom"/>
            <w:tcBorders>
              <w:bottom w:val="single" w:sz="8" w:color="0077C0"/>
            </w:tcBorders>
            <w:gridSpan w:val="2"/>
          </w:tcPr>
          <w:p>
            <w:pPr>
              <w:jc w:val="right"/>
              <w:ind w:right="120"/>
              <w:spacing w:after="0" w:line="95" w:lineRule="exact"/>
              <w:rPr>
                <w:sz w:val="20"/>
                <w:szCs w:val="20"/>
                <w:color w:val="auto"/>
              </w:rPr>
            </w:pPr>
            <w:r>
              <w:rPr>
                <w:rFonts w:ascii="Arial" w:cs="Arial" w:eastAsia="Arial" w:hAnsi="Arial"/>
                <w:sz w:val="10"/>
                <w:szCs w:val="10"/>
                <w:color w:val="auto"/>
                <w:w w:val="98"/>
              </w:rPr>
              <w:t>Total</w:t>
            </w:r>
          </w:p>
        </w:tc>
        <w:tc>
          <w:tcPr>
            <w:tcW w:w="340" w:type="dxa"/>
            <w:vAlign w:val="bottom"/>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480" w:type="dxa"/>
            <w:vAlign w:val="bottom"/>
            <w:tcBorders>
              <w:top w:val="single" w:sz="8" w:color="0077C0"/>
              <w:bottom w:val="single" w:sz="8" w:color="0077C0"/>
            </w:tcBorders>
          </w:tcPr>
          <w:p>
            <w:pPr>
              <w:jc w:val="right"/>
              <w:ind w:right="169"/>
              <w:spacing w:after="0" w:line="95" w:lineRule="exact"/>
              <w:rPr>
                <w:sz w:val="20"/>
                <w:szCs w:val="20"/>
                <w:color w:val="auto"/>
              </w:rPr>
            </w:pPr>
            <w:r>
              <w:rPr>
                <w:rFonts w:ascii="Arial" w:cs="Arial" w:eastAsia="Arial" w:hAnsi="Arial"/>
                <w:sz w:val="10"/>
                <w:szCs w:val="10"/>
                <w:color w:val="auto"/>
              </w:rPr>
              <w:t>TCO</w:t>
            </w:r>
          </w:p>
        </w:tc>
        <w:tc>
          <w:tcPr>
            <w:tcW w:w="30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jc w:val="right"/>
              <w:spacing w:after="0" w:line="95" w:lineRule="exact"/>
              <w:rPr>
                <w:sz w:val="20"/>
                <w:szCs w:val="20"/>
                <w:color w:val="auto"/>
              </w:rPr>
            </w:pPr>
            <w:r>
              <w:rPr>
                <w:rFonts w:ascii="Arial" w:cs="Arial" w:eastAsia="Arial" w:hAnsi="Arial"/>
                <w:sz w:val="10"/>
                <w:szCs w:val="10"/>
                <w:color w:val="auto"/>
                <w:w w:val="95"/>
              </w:rPr>
              <w:t>Other</w:t>
            </w:r>
          </w:p>
        </w:tc>
        <w:tc>
          <w:tcPr>
            <w:tcW w:w="2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line="92" w:lineRule="exact"/>
              <w:rPr>
                <w:sz w:val="20"/>
                <w:szCs w:val="20"/>
                <w:color w:val="auto"/>
              </w:rPr>
            </w:pPr>
            <w:r>
              <w:rPr>
                <w:rFonts w:ascii="Arial" w:cs="Arial" w:eastAsia="Arial" w:hAnsi="Arial"/>
                <w:sz w:val="10"/>
                <w:szCs w:val="10"/>
                <w:b w:val="1"/>
                <w:bCs w:val="1"/>
                <w:color w:val="0077C0"/>
              </w:rPr>
              <w:t>Year Ended Dec. 31, 2008</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w w:val="95"/>
              </w:rPr>
              <w:t>87.43</w:t>
            </w:r>
          </w:p>
        </w:tc>
        <w:tc>
          <w:tcPr>
            <w:tcW w:w="2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95.62</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85.30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88.43</w:t>
            </w: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5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91.71</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86.38</w:t>
            </w:r>
          </w:p>
        </w:tc>
        <w:tc>
          <w:tcPr>
            <w:tcW w:w="34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w:t>
            </w:r>
          </w:p>
        </w:tc>
        <w:tc>
          <w:tcPr>
            <w:tcW w:w="5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79.14</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95"/>
              </w:rPr>
              <w:t>85.14</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5"/>
              </w:rPr>
              <w:t>86.99</w:t>
            </w:r>
          </w:p>
        </w:tc>
        <w:tc>
          <w:tcPr>
            <w:tcW w:w="22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7"/>
              </w:rPr>
              <w:t>87.44</w:t>
            </w:r>
          </w:p>
        </w:tc>
        <w:tc>
          <w:tcPr>
            <w:tcW w:w="120" w:type="dxa"/>
            <w:vAlign w:val="bottom"/>
          </w:tcPr>
          <w:p>
            <w:pPr>
              <w:spacing w:after="0"/>
              <w:rPr>
                <w:sz w:val="8"/>
                <w:szCs w:val="8"/>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5"/>
              </w:rPr>
              <w:t>79.11</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95"/>
              </w:rPr>
              <w:t>69.65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80" w:type="dxa"/>
            <w:vAlign w:val="bottom"/>
            <w:gridSpan w:val="2"/>
          </w:tcPr>
          <w:p>
            <w:pPr>
              <w:spacing w:after="0" w:line="104" w:lineRule="exact"/>
              <w:rPr>
                <w:sz w:val="20"/>
                <w:szCs w:val="20"/>
                <w:color w:val="auto"/>
              </w:rPr>
            </w:pPr>
            <w:r>
              <w:rPr>
                <w:rFonts w:ascii="Arial" w:cs="Arial" w:eastAsia="Arial" w:hAnsi="Arial"/>
                <w:sz w:val="10"/>
                <w:szCs w:val="10"/>
                <w:color w:val="auto"/>
              </w:rPr>
              <w:t>Average sales prices Liquids, per barrel</w:t>
            </w:r>
          </w:p>
        </w:tc>
        <w:tc>
          <w:tcPr>
            <w:tcW w:w="1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Natural gas, per thousand cubic feet</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7.19</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9.17</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7.43</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7.90</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4.56</w:t>
            </w:r>
          </w:p>
        </w:tc>
        <w:tc>
          <w:tcPr>
            <w:tcW w:w="34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8.25</w:t>
            </w:r>
          </w:p>
        </w:tc>
        <w:tc>
          <w:tcPr>
            <w:tcW w:w="300" w:type="dxa"/>
            <w:vAlign w:val="bottom"/>
          </w:tcPr>
          <w:p>
            <w:pPr>
              <w:spacing w:after="0"/>
              <w:rPr>
                <w:sz w:val="9"/>
                <w:szCs w:val="9"/>
                <w:color w:val="auto"/>
              </w:rPr>
            </w:pP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6.00</w:t>
            </w:r>
          </w:p>
        </w:tc>
        <w:tc>
          <w:tcPr>
            <w:tcW w:w="3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5.14</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6.02</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1.56</w:t>
            </w:r>
          </w:p>
        </w:tc>
        <w:tc>
          <w:tcPr>
            <w:tcW w:w="300" w:type="dxa"/>
            <w:vAlign w:val="bottom"/>
          </w:tcPr>
          <w:p>
            <w:pPr>
              <w:spacing w:after="0"/>
              <w:rPr>
                <w:sz w:val="9"/>
                <w:szCs w:val="9"/>
                <w:color w:val="auto"/>
              </w:rPr>
            </w:pP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3.98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180" w:type="dxa"/>
            <w:vAlign w:val="bottom"/>
            <w:gridSpan w:val="2"/>
          </w:tcPr>
          <w:p>
            <w:pPr>
              <w:spacing w:after="0"/>
              <w:rPr>
                <w:sz w:val="20"/>
                <w:szCs w:val="20"/>
                <w:color w:val="auto"/>
              </w:rPr>
            </w:pPr>
            <w:r>
              <w:rPr>
                <w:rFonts w:ascii="Arial" w:cs="Arial" w:eastAsia="Arial" w:hAnsi="Arial"/>
                <w:sz w:val="10"/>
                <w:szCs w:val="10"/>
                <w:color w:val="auto"/>
              </w:rPr>
              <w:t>Average production costs, per barrel</w:t>
            </w:r>
          </w:p>
        </w:tc>
        <w:tc>
          <w:tcPr>
            <w:tcW w:w="100" w:type="dxa"/>
            <w:vAlign w:val="bottom"/>
          </w:tcPr>
          <w:p>
            <w:pPr>
              <w:spacing w:after="0"/>
              <w:rPr>
                <w:sz w:val="11"/>
                <w:szCs w:val="11"/>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b w:val="1"/>
                <w:bCs w:val="1"/>
                <w:color w:val="auto"/>
                <w:w w:val="95"/>
              </w:rPr>
              <w:t>17.67</w:t>
            </w:r>
          </w:p>
        </w:tc>
        <w:tc>
          <w:tcPr>
            <w:tcW w:w="260" w:type="dxa"/>
            <w:vAlign w:val="bottom"/>
          </w:tcPr>
          <w:p>
            <w:pPr>
              <w:spacing w:after="0"/>
              <w:rPr>
                <w:sz w:val="11"/>
                <w:szCs w:val="11"/>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b w:val="1"/>
                <w:bCs w:val="1"/>
                <w:color w:val="auto"/>
              </w:rPr>
              <w:t>16.22</w:t>
            </w:r>
          </w:p>
        </w:tc>
        <w:tc>
          <w:tcPr>
            <w:tcW w:w="300" w:type="dxa"/>
            <w:vAlign w:val="bottom"/>
          </w:tcPr>
          <w:p>
            <w:pPr>
              <w:spacing w:after="0"/>
              <w:rPr>
                <w:sz w:val="11"/>
                <w:szCs w:val="11"/>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b w:val="1"/>
                <w:bCs w:val="1"/>
                <w:color w:val="auto"/>
              </w:rPr>
              <w:t>14.31</w:t>
            </w:r>
          </w:p>
        </w:tc>
        <w:tc>
          <w:tcPr>
            <w:tcW w:w="4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rPr>
              <w:t>15.85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b w:val="1"/>
                <w:bCs w:val="1"/>
                <w:color w:val="auto"/>
              </w:rPr>
              <w:t>10.00</w:t>
            </w:r>
          </w:p>
        </w:tc>
        <w:tc>
          <w:tcPr>
            <w:tcW w:w="300" w:type="dxa"/>
            <w:vAlign w:val="bottom"/>
          </w:tcPr>
          <w:p>
            <w:pPr>
              <w:spacing w:after="0"/>
              <w:rPr>
                <w:sz w:val="11"/>
                <w:szCs w:val="11"/>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b w:val="1"/>
                <w:bCs w:val="1"/>
                <w:color w:val="auto"/>
              </w:rPr>
              <w:t>5.14</w:t>
            </w:r>
          </w:p>
        </w:tc>
        <w:tc>
          <w:tcPr>
            <w:tcW w:w="340" w:type="dxa"/>
            <w:vAlign w:val="bottom"/>
          </w:tcPr>
          <w:p>
            <w:pPr>
              <w:spacing w:after="0"/>
              <w:rPr>
                <w:sz w:val="11"/>
                <w:szCs w:val="11"/>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b w:val="1"/>
                <w:bCs w:val="1"/>
                <w:color w:val="auto"/>
              </w:rPr>
              <w:t>16.46</w:t>
            </w:r>
          </w:p>
        </w:tc>
        <w:tc>
          <w:tcPr>
            <w:tcW w:w="300" w:type="dxa"/>
            <w:vAlign w:val="bottom"/>
          </w:tcPr>
          <w:p>
            <w:pPr>
              <w:spacing w:after="0"/>
              <w:rPr>
                <w:sz w:val="11"/>
                <w:szCs w:val="11"/>
                <w:color w:val="auto"/>
              </w:rPr>
            </w:pPr>
          </w:p>
        </w:tc>
        <w:tc>
          <w:tcPr>
            <w:tcW w:w="400" w:type="dxa"/>
            <w:vAlign w:val="bottom"/>
          </w:tcPr>
          <w:p>
            <w:pPr>
              <w:jc w:val="right"/>
              <w:ind w:right="89"/>
              <w:spacing w:after="0"/>
              <w:rPr>
                <w:sz w:val="20"/>
                <w:szCs w:val="20"/>
                <w:color w:val="auto"/>
              </w:rPr>
            </w:pPr>
            <w:r>
              <w:rPr>
                <w:rFonts w:ascii="Arial" w:cs="Arial" w:eastAsia="Arial" w:hAnsi="Arial"/>
                <w:sz w:val="10"/>
                <w:szCs w:val="10"/>
                <w:b w:val="1"/>
                <w:bCs w:val="1"/>
                <w:color w:val="auto"/>
              </w:rPr>
              <w:t>7.36</w:t>
            </w:r>
          </w:p>
        </w:tc>
        <w:tc>
          <w:tcPr>
            <w:tcW w:w="3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rPr>
              <w:t>8.06</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7"/>
              </w:rPr>
              <w:t>10.49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b w:val="1"/>
                <w:bCs w:val="1"/>
                <w:color w:val="auto"/>
              </w:rPr>
              <w:t>5.24</w:t>
            </w:r>
          </w:p>
        </w:tc>
        <w:tc>
          <w:tcPr>
            <w:tcW w:w="300" w:type="dxa"/>
            <w:vAlign w:val="bottom"/>
          </w:tcPr>
          <w:p>
            <w:pPr>
              <w:spacing w:after="0"/>
              <w:rPr>
                <w:sz w:val="11"/>
                <w:szCs w:val="1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5.32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80" w:type="dxa"/>
            <w:vAlign w:val="bottom"/>
            <w:tcBorders>
              <w:top w:val="single" w:sz="8" w:color="0077C0"/>
            </w:tcBorders>
            <w:gridSpan w:val="2"/>
          </w:tcPr>
          <w:p>
            <w:pPr>
              <w:spacing w:after="0" w:line="103" w:lineRule="exact"/>
              <w:rPr>
                <w:sz w:val="20"/>
                <w:szCs w:val="20"/>
                <w:color w:val="auto"/>
              </w:rPr>
            </w:pPr>
            <w:r>
              <w:rPr>
                <w:rFonts w:ascii="Arial" w:cs="Arial" w:eastAsia="Arial" w:hAnsi="Arial"/>
                <w:sz w:val="10"/>
                <w:szCs w:val="10"/>
                <w:b w:val="1"/>
                <w:bCs w:val="1"/>
                <w:color w:val="0077C0"/>
              </w:rPr>
              <w:t>Year Ended Dec. 31, 2007</w:t>
            </w:r>
          </w:p>
        </w:tc>
        <w:tc>
          <w:tcPr>
            <w:tcW w:w="1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Average sales prices Liquids, per barrel</w:t>
            </w:r>
          </w:p>
        </w:tc>
        <w:tc>
          <w:tcPr>
            <w:tcW w:w="10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w w:val="95"/>
              </w:rPr>
              <w:t>62.61</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65.07</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62.35</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63.16</w:t>
            </w:r>
          </w:p>
        </w:tc>
        <w:tc>
          <w:tcPr>
            <w:tcW w:w="5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69.90</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64.20</w:t>
            </w:r>
          </w:p>
        </w:tc>
        <w:tc>
          <w:tcPr>
            <w:tcW w:w="34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61.05</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95"/>
              </w:rPr>
              <w:t>62.97</w:t>
            </w: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65.40</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w w:val="87"/>
              </w:rPr>
              <w:t>64.71</w:t>
            </w:r>
          </w:p>
        </w:tc>
        <w:tc>
          <w:tcPr>
            <w:tcW w:w="12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5"/>
              </w:rPr>
              <w:t>62.47</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w w:val="95"/>
              </w:rPr>
              <w:t>51.98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Natural gas, per thousand cubic feet</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5.77</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7.01</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5.65</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6.12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3.60</w:t>
            </w:r>
          </w:p>
        </w:tc>
        <w:tc>
          <w:tcPr>
            <w:tcW w:w="34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7.61</w:t>
            </w:r>
          </w:p>
        </w:tc>
        <w:tc>
          <w:tcPr>
            <w:tcW w:w="300" w:type="dxa"/>
            <w:vAlign w:val="bottom"/>
          </w:tcPr>
          <w:p>
            <w:pPr>
              <w:spacing w:after="0"/>
              <w:rPr>
                <w:sz w:val="9"/>
                <w:szCs w:val="9"/>
                <w:color w:val="auto"/>
              </w:rPr>
            </w:pP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4.13</w:t>
            </w:r>
          </w:p>
        </w:tc>
        <w:tc>
          <w:tcPr>
            <w:tcW w:w="3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4.02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4.79</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0.89</w:t>
            </w:r>
          </w:p>
        </w:tc>
        <w:tc>
          <w:tcPr>
            <w:tcW w:w="300" w:type="dxa"/>
            <w:vAlign w:val="bottom"/>
          </w:tcPr>
          <w:p>
            <w:pPr>
              <w:spacing w:after="0"/>
              <w:rPr>
                <w:sz w:val="9"/>
                <w:szCs w:val="9"/>
                <w:color w:val="auto"/>
              </w:rPr>
            </w:pP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0.44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180" w:type="dxa"/>
            <w:vAlign w:val="bottom"/>
            <w:gridSpan w:val="2"/>
          </w:tcPr>
          <w:p>
            <w:pPr>
              <w:spacing w:after="0"/>
              <w:rPr>
                <w:sz w:val="20"/>
                <w:szCs w:val="20"/>
                <w:color w:val="auto"/>
              </w:rPr>
            </w:pPr>
            <w:r>
              <w:rPr>
                <w:rFonts w:ascii="Arial" w:cs="Arial" w:eastAsia="Arial" w:hAnsi="Arial"/>
                <w:sz w:val="10"/>
                <w:szCs w:val="10"/>
                <w:color w:val="auto"/>
              </w:rPr>
              <w:t>Average production costs, per barrel</w:t>
            </w:r>
          </w:p>
        </w:tc>
        <w:tc>
          <w:tcPr>
            <w:tcW w:w="100" w:type="dxa"/>
            <w:vAlign w:val="bottom"/>
          </w:tcPr>
          <w:p>
            <w:pPr>
              <w:spacing w:after="0"/>
              <w:rPr>
                <w:sz w:val="11"/>
                <w:szCs w:val="11"/>
                <w:color w:val="auto"/>
              </w:rPr>
            </w:pPr>
          </w:p>
        </w:tc>
        <w:tc>
          <w:tcPr>
            <w:tcW w:w="520" w:type="dxa"/>
            <w:vAlign w:val="bottom"/>
          </w:tcPr>
          <w:p>
            <w:pPr>
              <w:jc w:val="right"/>
              <w:ind w:right="209"/>
              <w:spacing w:after="0"/>
              <w:rPr>
                <w:sz w:val="20"/>
                <w:szCs w:val="20"/>
                <w:color w:val="auto"/>
              </w:rPr>
            </w:pPr>
            <w:r>
              <w:rPr>
                <w:rFonts w:ascii="Arial" w:cs="Arial" w:eastAsia="Arial" w:hAnsi="Arial"/>
                <w:sz w:val="10"/>
                <w:szCs w:val="10"/>
                <w:color w:val="auto"/>
                <w:w w:val="95"/>
              </w:rPr>
              <w:t>13.23</w:t>
            </w:r>
          </w:p>
        </w:tc>
        <w:tc>
          <w:tcPr>
            <w:tcW w:w="260" w:type="dxa"/>
            <w:vAlign w:val="bottom"/>
          </w:tcPr>
          <w:p>
            <w:pPr>
              <w:spacing w:after="0"/>
              <w:rPr>
                <w:sz w:val="11"/>
                <w:szCs w:val="11"/>
                <w:color w:val="auto"/>
              </w:rPr>
            </w:pPr>
          </w:p>
        </w:tc>
        <w:tc>
          <w:tcPr>
            <w:tcW w:w="540" w:type="dxa"/>
            <w:vAlign w:val="bottom"/>
          </w:tcPr>
          <w:p>
            <w:pPr>
              <w:jc w:val="right"/>
              <w:ind w:right="189"/>
              <w:spacing w:after="0"/>
              <w:rPr>
                <w:sz w:val="20"/>
                <w:szCs w:val="20"/>
                <w:color w:val="auto"/>
              </w:rPr>
            </w:pPr>
            <w:r>
              <w:rPr>
                <w:rFonts w:ascii="Arial" w:cs="Arial" w:eastAsia="Arial" w:hAnsi="Arial"/>
                <w:sz w:val="10"/>
                <w:szCs w:val="10"/>
                <w:color w:val="auto"/>
              </w:rPr>
              <w:t>12.32</w:t>
            </w:r>
          </w:p>
        </w:tc>
        <w:tc>
          <w:tcPr>
            <w:tcW w:w="300" w:type="dxa"/>
            <w:vAlign w:val="bottom"/>
          </w:tcPr>
          <w:p>
            <w:pPr>
              <w:spacing w:after="0"/>
              <w:rPr>
                <w:sz w:val="11"/>
                <w:szCs w:val="11"/>
                <w:color w:val="auto"/>
              </w:rPr>
            </w:pPr>
          </w:p>
        </w:tc>
        <w:tc>
          <w:tcPr>
            <w:tcW w:w="420" w:type="dxa"/>
            <w:vAlign w:val="bottom"/>
          </w:tcPr>
          <w:p>
            <w:pPr>
              <w:jc w:val="right"/>
              <w:ind w:right="89"/>
              <w:spacing w:after="0"/>
              <w:rPr>
                <w:sz w:val="20"/>
                <w:szCs w:val="20"/>
                <w:color w:val="auto"/>
              </w:rPr>
            </w:pPr>
            <w:r>
              <w:rPr>
                <w:rFonts w:ascii="Arial" w:cs="Arial" w:eastAsia="Arial" w:hAnsi="Arial"/>
                <w:sz w:val="10"/>
                <w:szCs w:val="10"/>
                <w:color w:val="auto"/>
              </w:rPr>
              <w:t>12.62</w:t>
            </w:r>
          </w:p>
        </w:tc>
        <w:tc>
          <w:tcPr>
            <w:tcW w:w="4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12.72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7.26</w:t>
            </w:r>
          </w:p>
        </w:tc>
        <w:tc>
          <w:tcPr>
            <w:tcW w:w="300" w:type="dxa"/>
            <w:vAlign w:val="bottom"/>
          </w:tcPr>
          <w:p>
            <w:pPr>
              <w:spacing w:after="0"/>
              <w:rPr>
                <w:sz w:val="11"/>
                <w:szCs w:val="11"/>
                <w:color w:val="auto"/>
              </w:rPr>
            </w:pPr>
          </w:p>
        </w:tc>
        <w:tc>
          <w:tcPr>
            <w:tcW w:w="520" w:type="dxa"/>
            <w:vAlign w:val="bottom"/>
          </w:tcPr>
          <w:p>
            <w:pPr>
              <w:jc w:val="right"/>
              <w:ind w:right="189"/>
              <w:spacing w:after="0"/>
              <w:rPr>
                <w:sz w:val="20"/>
                <w:szCs w:val="20"/>
                <w:color w:val="auto"/>
              </w:rPr>
            </w:pPr>
            <w:r>
              <w:rPr>
                <w:rFonts w:ascii="Arial" w:cs="Arial" w:eastAsia="Arial" w:hAnsi="Arial"/>
                <w:sz w:val="10"/>
                <w:szCs w:val="10"/>
                <w:color w:val="auto"/>
              </w:rPr>
              <w:t>3.96</w:t>
            </w:r>
          </w:p>
        </w:tc>
        <w:tc>
          <w:tcPr>
            <w:tcW w:w="340" w:type="dxa"/>
            <w:vAlign w:val="bottom"/>
          </w:tcPr>
          <w:p>
            <w:pPr>
              <w:spacing w:after="0"/>
              <w:rPr>
                <w:sz w:val="11"/>
                <w:szCs w:val="11"/>
                <w:color w:val="auto"/>
              </w:rPr>
            </w:pPr>
          </w:p>
        </w:tc>
        <w:tc>
          <w:tcPr>
            <w:tcW w:w="500" w:type="dxa"/>
            <w:vAlign w:val="bottom"/>
          </w:tcPr>
          <w:p>
            <w:pPr>
              <w:jc w:val="right"/>
              <w:ind w:right="169"/>
              <w:spacing w:after="0"/>
              <w:rPr>
                <w:sz w:val="20"/>
                <w:szCs w:val="20"/>
                <w:color w:val="auto"/>
              </w:rPr>
            </w:pPr>
            <w:r>
              <w:rPr>
                <w:rFonts w:ascii="Arial" w:cs="Arial" w:eastAsia="Arial" w:hAnsi="Arial"/>
                <w:sz w:val="10"/>
                <w:szCs w:val="10"/>
                <w:color w:val="auto"/>
              </w:rPr>
              <w:t>14.28</w:t>
            </w:r>
          </w:p>
        </w:tc>
        <w:tc>
          <w:tcPr>
            <w:tcW w:w="300" w:type="dxa"/>
            <w:vAlign w:val="bottom"/>
          </w:tcPr>
          <w:p>
            <w:pPr>
              <w:spacing w:after="0"/>
              <w:rPr>
                <w:sz w:val="11"/>
                <w:szCs w:val="11"/>
                <w:color w:val="auto"/>
              </w:rPr>
            </w:pPr>
          </w:p>
        </w:tc>
        <w:tc>
          <w:tcPr>
            <w:tcW w:w="400" w:type="dxa"/>
            <w:vAlign w:val="bottom"/>
          </w:tcPr>
          <w:p>
            <w:pPr>
              <w:jc w:val="right"/>
              <w:ind w:right="89"/>
              <w:spacing w:after="0"/>
              <w:rPr>
                <w:sz w:val="20"/>
                <w:szCs w:val="20"/>
                <w:color w:val="auto"/>
              </w:rPr>
            </w:pPr>
            <w:r>
              <w:rPr>
                <w:rFonts w:ascii="Arial" w:cs="Arial" w:eastAsia="Arial" w:hAnsi="Arial"/>
                <w:sz w:val="10"/>
                <w:szCs w:val="10"/>
                <w:color w:val="auto"/>
              </w:rPr>
              <w:t>6.96</w:t>
            </w:r>
          </w:p>
        </w:tc>
        <w:tc>
          <w:tcPr>
            <w:tcW w:w="3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6.54</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8.58</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169"/>
              <w:spacing w:after="0"/>
              <w:rPr>
                <w:sz w:val="20"/>
                <w:szCs w:val="20"/>
                <w:color w:val="auto"/>
              </w:rPr>
            </w:pPr>
            <w:r>
              <w:rPr>
                <w:rFonts w:ascii="Arial" w:cs="Arial" w:eastAsia="Arial" w:hAnsi="Arial"/>
                <w:sz w:val="10"/>
                <w:szCs w:val="10"/>
                <w:color w:val="auto"/>
              </w:rPr>
              <w:t>3.98</w:t>
            </w:r>
          </w:p>
        </w:tc>
        <w:tc>
          <w:tcPr>
            <w:tcW w:w="300" w:type="dxa"/>
            <w:vAlign w:val="bottom"/>
          </w:tcPr>
          <w:p>
            <w:pPr>
              <w:spacing w:after="0"/>
              <w:rPr>
                <w:sz w:val="11"/>
                <w:szCs w:val="1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0"/>
                <w:szCs w:val="10"/>
                <w:color w:val="auto"/>
              </w:rPr>
              <w:t>3.56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80" w:type="dxa"/>
            <w:vAlign w:val="bottom"/>
            <w:tcBorders>
              <w:top w:val="single" w:sz="8" w:color="0077C0"/>
            </w:tcBorders>
            <w:gridSpan w:val="2"/>
          </w:tcPr>
          <w:p>
            <w:pPr>
              <w:spacing w:after="0" w:line="103" w:lineRule="exact"/>
              <w:rPr>
                <w:sz w:val="20"/>
                <w:szCs w:val="20"/>
                <w:color w:val="auto"/>
              </w:rPr>
            </w:pPr>
            <w:r>
              <w:rPr>
                <w:rFonts w:ascii="Arial" w:cs="Arial" w:eastAsia="Arial" w:hAnsi="Arial"/>
                <w:sz w:val="10"/>
                <w:szCs w:val="10"/>
                <w:b w:val="1"/>
                <w:bCs w:val="1"/>
                <w:color w:val="0077C0"/>
              </w:rPr>
              <w:t>Year Ended Dec. 31, 2006</w:t>
            </w:r>
          </w:p>
        </w:tc>
        <w:tc>
          <w:tcPr>
            <w:tcW w:w="1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Average sales prices Liquids, per barrel</w:t>
            </w:r>
          </w:p>
        </w:tc>
        <w:tc>
          <w:tcPr>
            <w:tcW w:w="10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w w:val="95"/>
              </w:rPr>
              <w:t>55.20</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60.35</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55.80</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56.66</w:t>
            </w:r>
          </w:p>
        </w:tc>
        <w:tc>
          <w:tcPr>
            <w:tcW w:w="5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61.53</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57.05</w:t>
            </w:r>
          </w:p>
        </w:tc>
        <w:tc>
          <w:tcPr>
            <w:tcW w:w="34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52.23</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95"/>
              </w:rPr>
              <w:t>57.31</w:t>
            </w: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57.92</w:t>
            </w:r>
          </w:p>
        </w:tc>
        <w:tc>
          <w:tcPr>
            <w:tcW w:w="22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w w:val="87"/>
              </w:rPr>
              <w:t>57.53</w:t>
            </w:r>
          </w:p>
        </w:tc>
        <w:tc>
          <w:tcPr>
            <w:tcW w:w="12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5"/>
              </w:rPr>
              <w:t>56.80</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w w:val="95"/>
              </w:rPr>
              <w:t>37.26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Natural gas, per thousand cubic feet</w:t>
            </w:r>
          </w:p>
        </w:tc>
        <w:tc>
          <w:tcPr>
            <w:tcW w:w="100" w:type="dxa"/>
            <w:vAlign w:val="bottom"/>
          </w:tcPr>
          <w:p>
            <w:pPr>
              <w:spacing w:after="0"/>
              <w:rPr>
                <w:sz w:val="9"/>
                <w:szCs w:val="9"/>
                <w:color w:val="auto"/>
              </w:rPr>
            </w:pPr>
          </w:p>
        </w:tc>
        <w:tc>
          <w:tcPr>
            <w:tcW w:w="5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6.08</w:t>
            </w:r>
          </w:p>
        </w:tc>
        <w:tc>
          <w:tcPr>
            <w:tcW w:w="260" w:type="dxa"/>
            <w:vAlign w:val="bottom"/>
          </w:tcPr>
          <w:p>
            <w:pPr>
              <w:spacing w:after="0"/>
              <w:rPr>
                <w:sz w:val="9"/>
                <w:szCs w:val="9"/>
                <w:color w:val="auto"/>
              </w:rPr>
            </w:pPr>
          </w:p>
        </w:tc>
        <w:tc>
          <w:tcPr>
            <w:tcW w:w="5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7.20</w:t>
            </w:r>
          </w:p>
        </w:tc>
        <w:tc>
          <w:tcPr>
            <w:tcW w:w="300" w:type="dxa"/>
            <w:vAlign w:val="bottom"/>
          </w:tcPr>
          <w:p>
            <w:pPr>
              <w:spacing w:after="0"/>
              <w:rPr>
                <w:sz w:val="9"/>
                <w:szCs w:val="9"/>
                <w:color w:val="auto"/>
              </w:rPr>
            </w:pP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5.73</w:t>
            </w:r>
          </w:p>
        </w:tc>
        <w:tc>
          <w:tcPr>
            <w:tcW w:w="40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6.29</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0.06</w:t>
            </w:r>
          </w:p>
        </w:tc>
        <w:tc>
          <w:tcPr>
            <w:tcW w:w="300" w:type="dxa"/>
            <w:vAlign w:val="bottom"/>
          </w:tcPr>
          <w:p>
            <w:pPr>
              <w:spacing w:after="0"/>
              <w:rPr>
                <w:sz w:val="9"/>
                <w:szCs w:val="9"/>
                <w:color w:val="auto"/>
              </w:rPr>
            </w:pPr>
          </w:p>
        </w:tc>
        <w:tc>
          <w:tcPr>
            <w:tcW w:w="5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3.44</w:t>
            </w:r>
          </w:p>
        </w:tc>
        <w:tc>
          <w:tcPr>
            <w:tcW w:w="340" w:type="dxa"/>
            <w:vAlign w:val="bottom"/>
          </w:tcPr>
          <w:p>
            <w:pPr>
              <w:spacing w:after="0"/>
              <w:rPr>
                <w:sz w:val="9"/>
                <w:szCs w:val="9"/>
                <w:color w:val="auto"/>
              </w:rPr>
            </w:pPr>
          </w:p>
        </w:tc>
        <w:tc>
          <w:tcPr>
            <w:tcW w:w="5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7.12</w:t>
            </w:r>
          </w:p>
        </w:tc>
        <w:tc>
          <w:tcPr>
            <w:tcW w:w="300" w:type="dxa"/>
            <w:vAlign w:val="bottom"/>
          </w:tcPr>
          <w:p>
            <w:pPr>
              <w:spacing w:after="0"/>
              <w:rPr>
                <w:sz w:val="9"/>
                <w:szCs w:val="9"/>
                <w:color w:val="auto"/>
              </w:rPr>
            </w:pP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4.03</w:t>
            </w:r>
          </w:p>
        </w:tc>
        <w:tc>
          <w:tcPr>
            <w:tcW w:w="3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3.88</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4.85</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0.77</w:t>
            </w:r>
          </w:p>
        </w:tc>
        <w:tc>
          <w:tcPr>
            <w:tcW w:w="300" w:type="dxa"/>
            <w:vAlign w:val="bottom"/>
          </w:tcPr>
          <w:p>
            <w:pPr>
              <w:spacing w:after="0"/>
              <w:rPr>
                <w:sz w:val="9"/>
                <w:szCs w:val="9"/>
                <w:color w:val="auto"/>
              </w:rPr>
            </w:pP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0.36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18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Average production costs, per barrel</w:t>
            </w:r>
          </w:p>
        </w:tc>
        <w:tc>
          <w:tcPr>
            <w:tcW w:w="100" w:type="dxa"/>
            <w:vAlign w:val="bottom"/>
            <w:tcBorders>
              <w:bottom w:val="single" w:sz="8" w:color="0077C0"/>
            </w:tcBorders>
          </w:tcPr>
          <w:p>
            <w:pPr>
              <w:spacing w:after="0"/>
              <w:rPr>
                <w:sz w:val="11"/>
                <w:szCs w:val="11"/>
                <w:color w:val="auto"/>
              </w:rPr>
            </w:pPr>
          </w:p>
        </w:tc>
        <w:tc>
          <w:tcPr>
            <w:tcW w:w="52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color w:val="auto"/>
                <w:w w:val="95"/>
              </w:rPr>
              <w:t>10.94</w:t>
            </w:r>
          </w:p>
        </w:tc>
        <w:tc>
          <w:tcPr>
            <w:tcW w:w="260" w:type="dxa"/>
            <w:vAlign w:val="bottom"/>
            <w:tcBorders>
              <w:bottom w:val="single" w:sz="8" w:color="0077C0"/>
            </w:tcBorders>
          </w:tcPr>
          <w:p>
            <w:pPr>
              <w:spacing w:after="0"/>
              <w:rPr>
                <w:sz w:val="11"/>
                <w:szCs w:val="11"/>
                <w:color w:val="auto"/>
              </w:rPr>
            </w:pPr>
          </w:p>
        </w:tc>
        <w:tc>
          <w:tcPr>
            <w:tcW w:w="5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9.59</w:t>
            </w:r>
          </w:p>
        </w:tc>
        <w:tc>
          <w:tcPr>
            <w:tcW w:w="30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9.26</w:t>
            </w:r>
          </w:p>
        </w:tc>
        <w:tc>
          <w:tcPr>
            <w:tcW w:w="400" w:type="dxa"/>
            <w:vAlign w:val="bottom"/>
            <w:tcBorders>
              <w:bottom w:val="single" w:sz="8" w:color="0077C0"/>
            </w:tcBorders>
          </w:tcPr>
          <w:p>
            <w:pPr>
              <w:spacing w:after="0"/>
              <w:rPr>
                <w:sz w:val="11"/>
                <w:szCs w:val="11"/>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9.85</w:t>
            </w:r>
          </w:p>
        </w:tc>
        <w:tc>
          <w:tcPr>
            <w:tcW w:w="100" w:type="dxa"/>
            <w:vAlign w:val="bottom"/>
            <w:tcBorders>
              <w:bottom w:val="single" w:sz="8" w:color="0077C0"/>
            </w:tcBorders>
          </w:tcPr>
          <w:p>
            <w:pPr>
              <w:spacing w:after="0"/>
              <w:rPr>
                <w:sz w:val="11"/>
                <w:szCs w:val="11"/>
                <w:color w:val="auto"/>
              </w:rPr>
            </w:pPr>
          </w:p>
        </w:tc>
        <w:tc>
          <w:tcPr>
            <w:tcW w:w="360" w:type="dxa"/>
            <w:vAlign w:val="bottom"/>
            <w:tcBorders>
              <w:bottom w:val="single" w:sz="8" w:color="0077C0"/>
            </w:tcBorders>
          </w:tcPr>
          <w:p>
            <w:pPr>
              <w:spacing w:after="0"/>
              <w:rPr>
                <w:sz w:val="11"/>
                <w:szCs w:val="11"/>
                <w:color w:val="auto"/>
              </w:rPr>
            </w:pPr>
          </w:p>
        </w:tc>
        <w:tc>
          <w:tcPr>
            <w:tcW w:w="8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5.13</w:t>
            </w:r>
          </w:p>
        </w:tc>
        <w:tc>
          <w:tcPr>
            <w:tcW w:w="300" w:type="dxa"/>
            <w:vAlign w:val="bottom"/>
            <w:tcBorders>
              <w:bottom w:val="single" w:sz="8" w:color="0077C0"/>
            </w:tcBorders>
          </w:tcPr>
          <w:p>
            <w:pPr>
              <w:spacing w:after="0"/>
              <w:rPr>
                <w:sz w:val="11"/>
                <w:szCs w:val="11"/>
                <w:color w:val="auto"/>
              </w:rPr>
            </w:pPr>
          </w:p>
        </w:tc>
        <w:tc>
          <w:tcPr>
            <w:tcW w:w="5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3.36</w:t>
            </w:r>
          </w:p>
        </w:tc>
        <w:tc>
          <w:tcPr>
            <w:tcW w:w="34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11.44</w:t>
            </w:r>
          </w:p>
        </w:tc>
        <w:tc>
          <w:tcPr>
            <w:tcW w:w="300" w:type="dxa"/>
            <w:vAlign w:val="bottom"/>
            <w:tcBorders>
              <w:bottom w:val="single" w:sz="8" w:color="0077C0"/>
            </w:tcBorders>
          </w:tcPr>
          <w:p>
            <w:pPr>
              <w:spacing w:after="0"/>
              <w:rPr>
                <w:sz w:val="11"/>
                <w:szCs w:val="11"/>
                <w:color w:val="auto"/>
              </w:rPr>
            </w:pPr>
          </w:p>
        </w:tc>
        <w:tc>
          <w:tcPr>
            <w:tcW w:w="40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5.23</w:t>
            </w:r>
          </w:p>
        </w:tc>
        <w:tc>
          <w:tcPr>
            <w:tcW w:w="38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5.17</w:t>
            </w:r>
          </w:p>
        </w:tc>
        <w:tc>
          <w:tcPr>
            <w:tcW w:w="220" w:type="dxa"/>
            <w:vAlign w:val="bottom"/>
            <w:tcBorders>
              <w:bottom w:val="single" w:sz="8" w:color="0077C0"/>
            </w:tcBorders>
          </w:tcPr>
          <w:p>
            <w:pPr>
              <w:spacing w:after="0"/>
              <w:rPr>
                <w:sz w:val="11"/>
                <w:szCs w:val="11"/>
                <w:color w:val="auto"/>
              </w:rPr>
            </w:pPr>
          </w:p>
        </w:tc>
        <w:tc>
          <w:tcPr>
            <w:tcW w:w="300" w:type="dxa"/>
            <w:vAlign w:val="bottom"/>
            <w:tcBorders>
              <w:bottom w:val="single" w:sz="8" w:color="0077C0"/>
            </w:tcBorders>
          </w:tcPr>
          <w:p>
            <w:pPr>
              <w:spacing w:after="0"/>
              <w:rPr>
                <w:sz w:val="11"/>
                <w:szCs w:val="11"/>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6.76</w:t>
            </w:r>
          </w:p>
        </w:tc>
        <w:tc>
          <w:tcPr>
            <w:tcW w:w="120" w:type="dxa"/>
            <w:vAlign w:val="bottom"/>
            <w:tcBorders>
              <w:bottom w:val="single" w:sz="8" w:color="0077C0"/>
            </w:tcBorders>
          </w:tcPr>
          <w:p>
            <w:pPr>
              <w:spacing w:after="0"/>
              <w:rPr>
                <w:sz w:val="11"/>
                <w:szCs w:val="11"/>
                <w:color w:val="auto"/>
              </w:rPr>
            </w:pPr>
          </w:p>
        </w:tc>
        <w:tc>
          <w:tcPr>
            <w:tcW w:w="340" w:type="dxa"/>
            <w:vAlign w:val="bottom"/>
            <w:tcBorders>
              <w:bottom w:val="single" w:sz="8" w:color="0077C0"/>
            </w:tcBorders>
          </w:tcPr>
          <w:p>
            <w:pPr>
              <w:spacing w:after="0"/>
              <w:rPr>
                <w:sz w:val="11"/>
                <w:szCs w:val="11"/>
                <w:color w:val="auto"/>
              </w:rPr>
            </w:pPr>
          </w:p>
        </w:tc>
        <w:tc>
          <w:tcPr>
            <w:tcW w:w="60" w:type="dxa"/>
            <w:vAlign w:val="bottom"/>
            <w:tcBorders>
              <w:bottom w:val="single" w:sz="8" w:color="0077C0"/>
            </w:tcBorders>
          </w:tcPr>
          <w:p>
            <w:pPr>
              <w:spacing w:after="0"/>
              <w:rPr>
                <w:sz w:val="11"/>
                <w:szCs w:val="11"/>
                <w:color w:val="auto"/>
              </w:rPr>
            </w:pPr>
          </w:p>
        </w:tc>
        <w:tc>
          <w:tcPr>
            <w:tcW w:w="4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3.31</w:t>
            </w:r>
          </w:p>
        </w:tc>
        <w:tc>
          <w:tcPr>
            <w:tcW w:w="300" w:type="dxa"/>
            <w:vAlign w:val="bottom"/>
            <w:tcBorders>
              <w:bottom w:val="single" w:sz="8" w:color="0077C0"/>
            </w:tcBorders>
          </w:tcPr>
          <w:p>
            <w:pPr>
              <w:spacing w:after="0"/>
              <w:rPr>
                <w:sz w:val="11"/>
                <w:szCs w:val="11"/>
                <w:color w:val="auto"/>
              </w:rPr>
            </w:pPr>
          </w:p>
        </w:tc>
        <w:tc>
          <w:tcPr>
            <w:tcW w:w="2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2.51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3" w:hanging="223"/>
        <w:spacing w:after="0"/>
        <w:tabs>
          <w:tab w:leader="none" w:pos="223" w:val="left"/>
        </w:tabs>
        <w:numPr>
          <w:ilvl w:val="0"/>
          <w:numId w:val="59"/>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2Natural gas converted to oil-equivalent gas (OEG) barrels at a rate of 6 MCF = 1 OEG barrel.</w:t>
      </w:r>
    </w:p>
    <w:p>
      <w:pPr>
        <w:sectPr>
          <w:pgSz w:w="11900" w:h="16838" w:orient="portrait"/>
          <w:cols w:equalWidth="0" w:num="1">
            <w:col w:w="11483"/>
          </w:cols>
          <w:pgMar w:left="217" w:top="338" w:right="199" w:bottom="1440" w:gutter="0" w:footer="0" w:header="0"/>
        </w:sectPr>
      </w:pPr>
    </w:p>
    <w:p>
      <w:pPr>
        <w:spacing w:after="0" w:line="13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Table V – Reserve Quantity Information</w:t>
      </w:r>
    </w:p>
    <w:p>
      <w:pPr>
        <w:spacing w:after="0" w:line="281" w:lineRule="exact"/>
        <w:rPr>
          <w:sz w:val="20"/>
          <w:szCs w:val="20"/>
          <w:color w:val="auto"/>
        </w:rPr>
      </w:pPr>
    </w:p>
    <w:p>
      <w:pPr>
        <w:ind w:left="3" w:right="60"/>
        <w:spacing w:after="0" w:line="273" w:lineRule="auto"/>
        <w:rPr>
          <w:sz w:val="20"/>
          <w:szCs w:val="20"/>
          <w:color w:val="auto"/>
        </w:rPr>
      </w:pPr>
      <w:r>
        <w:rPr>
          <w:rFonts w:ascii="Arial" w:cs="Arial" w:eastAsia="Arial" w:hAnsi="Arial"/>
          <w:sz w:val="12"/>
          <w:szCs w:val="12"/>
          <w:i w:val="1"/>
          <w:iCs w:val="1"/>
          <w:color w:val="E51837"/>
        </w:rPr>
        <w:t xml:space="preserve">Reserves Governance </w:t>
      </w:r>
      <w:r>
        <w:rPr>
          <w:rFonts w:ascii="Arial" w:cs="Arial" w:eastAsia="Arial" w:hAnsi="Arial"/>
          <w:sz w:val="12"/>
          <w:szCs w:val="12"/>
          <w:color w:val="000000"/>
        </w:rPr>
        <w:t>The company has adopted a comprehensive reserves and resource classification</w:t>
      </w:r>
      <w:r>
        <w:rPr>
          <w:rFonts w:ascii="Arial" w:cs="Arial" w:eastAsia="Arial" w:hAnsi="Arial"/>
          <w:sz w:val="12"/>
          <w:szCs w:val="12"/>
          <w:i w:val="1"/>
          <w:iCs w:val="1"/>
          <w:color w:val="E51837"/>
        </w:rPr>
        <w:t xml:space="preserve"> </w:t>
      </w:r>
      <w:r>
        <w:rPr>
          <w:rFonts w:ascii="Arial" w:cs="Arial" w:eastAsia="Arial" w:hAnsi="Arial"/>
          <w:sz w:val="12"/>
          <w:szCs w:val="12"/>
          <w:color w:val="000000"/>
        </w:rPr>
        <w:t>system modeled after a system developed and approved by the Society of Petroleum Engineers, the World Petroleum Congress and the American Association of Petroleum Geologists. The system classifies recoverable hydrocarbons into six categories based on their status at the time of reporting – three deemed commercial and three noncommercial. Within the commercial classification are proved reserves and two categories of unproved: probable and possible. The noncommercial categories are also referred to as contingent resources. For reserves estimates to be classified as proved, they must meet all SEC and company standards.</w:t>
      </w:r>
    </w:p>
    <w:p>
      <w:pPr>
        <w:spacing w:after="0" w:line="99" w:lineRule="exact"/>
        <w:rPr>
          <w:sz w:val="20"/>
          <w:szCs w:val="20"/>
          <w:color w:val="auto"/>
        </w:rPr>
      </w:pPr>
    </w:p>
    <w:p>
      <w:pPr>
        <w:ind w:left="3" w:right="60" w:firstLine="160"/>
        <w:spacing w:after="0" w:line="271" w:lineRule="auto"/>
        <w:rPr>
          <w:sz w:val="20"/>
          <w:szCs w:val="20"/>
          <w:color w:val="auto"/>
        </w:rPr>
      </w:pPr>
      <w:r>
        <w:rPr>
          <w:rFonts w:ascii="Arial" w:cs="Arial" w:eastAsia="Arial" w:hAnsi="Arial"/>
          <w:sz w:val="12"/>
          <w:szCs w:val="12"/>
          <w:color w:val="auto"/>
        </w:rPr>
        <w:t>Proved reserves are the estimated quantities that geologic and engineering data demonstrate with reasonable certainty to be recoverable in future years from known reservoirs under existing economic and operating conditions. Net proved reserves exclude royalties and interests owned by others and reflect contractual arrangements and royalty obligations in effect at the time of the estimate.</w:t>
      </w:r>
    </w:p>
    <w:p>
      <w:pPr>
        <w:ind w:left="3" w:firstLine="160"/>
        <w:spacing w:after="0" w:line="343" w:lineRule="auto"/>
        <w:rPr>
          <w:sz w:val="20"/>
          <w:szCs w:val="20"/>
          <w:color w:val="auto"/>
        </w:rPr>
      </w:pPr>
      <w:r>
        <w:rPr>
          <w:rFonts w:ascii="Arial" w:cs="Arial" w:eastAsia="Arial" w:hAnsi="Arial"/>
          <w:sz w:val="11"/>
          <w:szCs w:val="11"/>
          <w:color w:val="auto"/>
        </w:rPr>
        <w:t>Proved reserves are classified as either developed or undeveloped. Proved developed reserves are the quantities expected to be recovered through existing wells with existing equipment and operating methods.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right="340" w:firstLine="160"/>
        <w:spacing w:after="0" w:line="267" w:lineRule="auto"/>
        <w:rPr>
          <w:sz w:val="20"/>
          <w:szCs w:val="20"/>
          <w:color w:val="auto"/>
        </w:rPr>
      </w:pPr>
      <w:r>
        <w:rPr>
          <w:rFonts w:ascii="Arial" w:cs="Arial" w:eastAsia="Arial" w:hAnsi="Arial"/>
          <w:sz w:val="13"/>
          <w:szCs w:val="13"/>
          <w:color w:val="auto"/>
        </w:rPr>
        <w:t>Due to the inherent uncertainties and the limited nature of reservoir data, estimates of reserves are subject to change as additional information becomes available.</w:t>
      </w:r>
    </w:p>
    <w:p>
      <w:pPr>
        <w:spacing w:after="0" w:line="100" w:lineRule="exact"/>
        <w:rPr>
          <w:sz w:val="20"/>
          <w:szCs w:val="20"/>
          <w:color w:val="auto"/>
        </w:rPr>
      </w:pPr>
    </w:p>
    <w:p>
      <w:pPr>
        <w:ind w:right="140" w:firstLine="160"/>
        <w:spacing w:after="0" w:line="293" w:lineRule="auto"/>
        <w:rPr>
          <w:sz w:val="20"/>
          <w:szCs w:val="20"/>
          <w:color w:val="auto"/>
        </w:rPr>
      </w:pPr>
      <w:r>
        <w:rPr>
          <w:rFonts w:ascii="Arial" w:cs="Arial" w:eastAsia="Arial" w:hAnsi="Arial"/>
          <w:sz w:val="11"/>
          <w:szCs w:val="11"/>
          <w:color w:val="auto"/>
        </w:rPr>
        <w:t>Proved reserves are estimated by company asset teams composed of earth scientists and engineers. As part of the internal control process related to reserves estimation, the company maintains a Reserves Advisory Committee (RAC) that is chaired by the corporate reserves manager, who is a member of a corporate department that reports directly to the executive vice president responsible for the company’s worldwide exploration and production activities. All of the RAC members are knowledgeable in SEC guidelines for proved reserves classification. The RAC coordinates its activities through two operating company-level reserves managers. These two reserves managers are not members of the RAC so as to preserve the corporate-level independence.</w:t>
      </w:r>
    </w:p>
    <w:p>
      <w:pPr>
        <w:spacing w:after="0" w:line="3" w:lineRule="exact"/>
        <w:rPr>
          <w:sz w:val="20"/>
          <w:szCs w:val="20"/>
          <w:color w:val="auto"/>
        </w:rPr>
      </w:pPr>
    </w:p>
    <w:p>
      <w:pPr>
        <w:ind w:right="40" w:firstLine="158"/>
        <w:spacing w:after="0" w:line="274" w:lineRule="auto"/>
        <w:rPr>
          <w:sz w:val="20"/>
          <w:szCs w:val="20"/>
          <w:color w:val="auto"/>
        </w:rPr>
      </w:pPr>
      <w:r>
        <w:rPr>
          <w:rFonts w:ascii="Arial" w:cs="Arial" w:eastAsia="Arial" w:hAnsi="Arial"/>
          <w:sz w:val="12"/>
          <w:szCs w:val="12"/>
          <w:color w:val="auto"/>
        </w:rPr>
        <w:t xml:space="preserve">The RAC has the following primary responsibilities: provide independent reviews of the business units’ recommended reserve changes; confirm that proved reserves are recognized in accordance with SEC guidelines; determine that reserve volumes are calculated using consistent and appropriate standards, procedures and technology; and maintain the </w:t>
      </w:r>
      <w:r>
        <w:rPr>
          <w:rFonts w:ascii="Arial" w:cs="Arial" w:eastAsia="Arial" w:hAnsi="Arial"/>
          <w:sz w:val="12"/>
          <w:szCs w:val="12"/>
          <w:i w:val="1"/>
          <w:iCs w:val="1"/>
          <w:color w:val="auto"/>
        </w:rPr>
        <w:t>Corporate Reserves Manual,</w:t>
      </w:r>
      <w:r>
        <w:rPr>
          <w:rFonts w:ascii="Arial" w:cs="Arial" w:eastAsia="Arial" w:hAnsi="Arial"/>
          <w:sz w:val="12"/>
          <w:szCs w:val="12"/>
          <w:color w:val="auto"/>
        </w:rPr>
        <w:t xml:space="preserve"> which provides standardized procedures used corporatewide for classifying and reporting hydrocarbon reserves.</w:t>
      </w:r>
    </w:p>
    <w:p>
      <w:pPr>
        <w:spacing w:after="0" w:line="200" w:lineRule="exact"/>
        <w:rPr>
          <w:sz w:val="20"/>
          <w:szCs w:val="20"/>
          <w:color w:val="auto"/>
        </w:rPr>
      </w:pPr>
    </w:p>
    <w:p>
      <w:pPr>
        <w:sectPr>
          <w:pgSz w:w="11900" w:h="16838" w:orient="portrait"/>
          <w:cols w:equalWidth="0" w:num="2">
            <w:col w:w="5483" w:space="480"/>
            <w:col w:w="5520"/>
          </w:cols>
          <w:pgMar w:left="217" w:top="338" w:right="199" w:bottom="1440" w:gutter="0" w:footer="0" w:header="0"/>
          <w:type w:val="continuous"/>
        </w:sectPr>
      </w:pPr>
    </w:p>
    <w:p>
      <w:pPr>
        <w:spacing w:after="0" w:line="64" w:lineRule="exact"/>
        <w:rPr>
          <w:sz w:val="20"/>
          <w:szCs w:val="20"/>
          <w:color w:val="auto"/>
        </w:rPr>
      </w:pPr>
    </w:p>
    <w:p>
      <w:pPr>
        <w:jc w:val="center"/>
        <w:ind w:right="-2"/>
        <w:spacing w:after="0"/>
        <w:rPr>
          <w:sz w:val="20"/>
          <w:szCs w:val="20"/>
          <w:color w:val="auto"/>
        </w:rPr>
      </w:pPr>
      <w:r>
        <w:rPr>
          <w:rFonts w:ascii="Arial" w:cs="Arial" w:eastAsia="Arial" w:hAnsi="Arial"/>
          <w:sz w:val="10"/>
          <w:szCs w:val="10"/>
          <w:color w:val="auto"/>
        </w:rPr>
        <w:t>FS-67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type w:val="continuous"/>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5990" cy="4819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5990" cy="48196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Supplemental Information on Oil and Gas Producing Activities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ectPr>
          <w:pgSz w:w="11900" w:h="16838" w:orient="portrait"/>
          <w:cols w:equalWidth="0" w:num="1">
            <w:col w:w="11420"/>
          </w:cols>
          <w:pgMar w:left="220" w:top="338" w:right="259" w:bottom="1440" w:gutter="0" w:footer="0" w:header="0"/>
        </w:sectPr>
      </w:pPr>
    </w:p>
    <w:p>
      <w:pPr>
        <w:spacing w:after="0" w:line="385" w:lineRule="exact"/>
        <w:rPr>
          <w:sz w:val="20"/>
          <w:szCs w:val="20"/>
          <w:color w:val="auto"/>
        </w:rPr>
      </w:pPr>
    </w:p>
    <w:p>
      <w:pPr>
        <w:ind w:right="60" w:firstLine="160"/>
        <w:spacing w:after="0" w:line="305" w:lineRule="auto"/>
        <w:rPr>
          <w:sz w:val="20"/>
          <w:szCs w:val="20"/>
          <w:color w:val="auto"/>
        </w:rPr>
      </w:pPr>
      <w:r>
        <w:rPr>
          <w:rFonts w:ascii="Arial" w:cs="Arial" w:eastAsia="Arial" w:hAnsi="Arial"/>
          <w:sz w:val="11"/>
          <w:szCs w:val="11"/>
          <w:color w:val="auto"/>
        </w:rPr>
        <w:t>During the year, the RAC is represented in meetings with each of the company’s upstream business units to review and discuss reserve changes recommended by the various asset teams. Major changes are also reviewed with the company’s Strategy and Planning Committee and the Executive Committee, whose members include the Chief Executive Officer and the Chief Financial Officer. The company’s annual reserve activity is also reviewed with the Board of Directors. If major changes to reserves were to occur between the annual reviews, those matters would also be discussed with the Board.</w:t>
      </w:r>
    </w:p>
    <w:p>
      <w:pPr>
        <w:spacing w:after="0" w:line="83" w:lineRule="exact"/>
        <w:rPr>
          <w:sz w:val="20"/>
          <w:szCs w:val="20"/>
          <w:color w:val="auto"/>
        </w:rPr>
      </w:pPr>
    </w:p>
    <w:p>
      <w:pPr>
        <w:ind w:right="40" w:firstLine="160"/>
        <w:spacing w:after="0" w:line="251" w:lineRule="auto"/>
        <w:rPr>
          <w:sz w:val="20"/>
          <w:szCs w:val="20"/>
          <w:color w:val="auto"/>
        </w:rPr>
      </w:pPr>
      <w:r>
        <w:rPr>
          <w:rFonts w:ascii="Arial" w:cs="Arial" w:eastAsia="Arial" w:hAnsi="Arial"/>
          <w:sz w:val="13"/>
          <w:szCs w:val="13"/>
          <w:color w:val="auto"/>
        </w:rPr>
        <w:t xml:space="preserve">RAC subteams also conduct in-depth reviews during the year of many of the fields that have the largest proved reserves quantities. These reviews include an examination of the proved-reserve records and documentation of their alignment with the </w:t>
      </w:r>
      <w:r>
        <w:rPr>
          <w:rFonts w:ascii="Arial" w:cs="Arial" w:eastAsia="Arial" w:hAnsi="Arial"/>
          <w:sz w:val="13"/>
          <w:szCs w:val="13"/>
          <w:i w:val="1"/>
          <w:iCs w:val="1"/>
          <w:color w:val="auto"/>
        </w:rPr>
        <w:t>Corporate Reserves Manual.</w:t>
      </w:r>
    </w:p>
    <w:p>
      <w:pPr>
        <w:spacing w:after="0" w:line="1" w:lineRule="exact"/>
        <w:rPr>
          <w:sz w:val="20"/>
          <w:szCs w:val="20"/>
          <w:color w:val="auto"/>
        </w:rPr>
      </w:pPr>
    </w:p>
    <w:p>
      <w:pPr>
        <w:ind w:right="240" w:firstLine="160"/>
        <w:spacing w:after="0" w:line="267" w:lineRule="auto"/>
        <w:rPr>
          <w:sz w:val="20"/>
          <w:szCs w:val="20"/>
          <w:color w:val="auto"/>
        </w:rPr>
      </w:pPr>
      <w:r>
        <w:rPr>
          <w:rFonts w:ascii="Arial" w:cs="Arial" w:eastAsia="Arial" w:hAnsi="Arial"/>
          <w:sz w:val="12"/>
          <w:szCs w:val="12"/>
          <w:i w:val="1"/>
          <w:iCs w:val="1"/>
          <w:color w:val="E51837"/>
        </w:rPr>
        <w:t xml:space="preserve">Modernization of Oil and Gas Reporting </w:t>
      </w:r>
      <w:r>
        <w:rPr>
          <w:rFonts w:ascii="Arial" w:cs="Arial" w:eastAsia="Arial" w:hAnsi="Arial"/>
          <w:sz w:val="12"/>
          <w:szCs w:val="12"/>
          <w:color w:val="000000"/>
        </w:rPr>
        <w:t>In December 2008, the SEC issued its final rule,</w:t>
      </w:r>
      <w:r>
        <w:rPr>
          <w:rFonts w:ascii="Arial" w:cs="Arial" w:eastAsia="Arial" w:hAnsi="Arial"/>
          <w:sz w:val="12"/>
          <w:szCs w:val="12"/>
          <w:i w:val="1"/>
          <w:iCs w:val="1"/>
          <w:color w:val="E51837"/>
        </w:rPr>
        <w:t xml:space="preserve"> </w:t>
      </w:r>
      <w:r>
        <w:rPr>
          <w:rFonts w:ascii="Arial" w:cs="Arial" w:eastAsia="Arial" w:hAnsi="Arial"/>
          <w:sz w:val="12"/>
          <w:szCs w:val="12"/>
          <w:color w:val="000000"/>
        </w:rPr>
        <w:t>Modernization of Oil and Gas Reporting (Release Nos. 33-8995; 34-59192; FR-78). The disclosure requirements under the final rule will become effective for the company in its Form 10-K filing for the year ending December 31, 2009. The final rule changes a number of oil and gas reserve estimation and disclosure requirements under SEC Regulations S-K and S-X.</w:t>
      </w:r>
    </w:p>
    <w:p>
      <w:pPr>
        <w:spacing w:after="0" w:line="1" w:lineRule="exact"/>
        <w:rPr>
          <w:sz w:val="20"/>
          <w:szCs w:val="20"/>
          <w:color w:val="auto"/>
        </w:rPr>
      </w:pPr>
    </w:p>
    <w:p>
      <w:pPr>
        <w:ind w:firstLine="153"/>
        <w:spacing w:after="0" w:line="267" w:lineRule="auto"/>
        <w:rPr>
          <w:sz w:val="20"/>
          <w:szCs w:val="20"/>
          <w:color w:val="auto"/>
        </w:rPr>
      </w:pPr>
      <w:r>
        <w:rPr>
          <w:rFonts w:ascii="Arial" w:cs="Arial" w:eastAsia="Arial" w:hAnsi="Arial"/>
          <w:sz w:val="12"/>
          <w:szCs w:val="12"/>
          <w:color w:val="auto"/>
        </w:rPr>
        <w:t>Among the principal changes in the final rule are requirements to use a price based on a 12-month average for reserve estimation and disclosure instead of a single end-of-year price; expanding the definition of oil and gas producing activities to include nontraditional sources such as bitumen extracted from oil sands; permitting the use of new reliable technologies to establish reasonable certainty of proved reserves; allowing optional disclosure of probable and possible reserves; modifying the definition of geographic area for disclosure of reserve estimates and production; amending disclosures of proved reserve quantities to include separate disclosures of synthetic oil and gas; expanding proved, undeveloped reserve disclosures (PUDs), including discussion of PUDs five years old or more; and disclosure of the qualifications of the chief technical person who oversees the company’s overall reserves estimation process.</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Reserve Quantities </w:t>
      </w:r>
      <w:r>
        <w:rPr>
          <w:rFonts w:ascii="Arial" w:cs="Arial" w:eastAsia="Arial" w:hAnsi="Arial"/>
          <w:sz w:val="12"/>
          <w:szCs w:val="12"/>
          <w:color w:val="000000"/>
        </w:rPr>
        <w:t>At December 31, 2008, oil-equivalent reserves for the company’s consolidated</w:t>
      </w:r>
      <w:r>
        <w:rPr>
          <w:rFonts w:ascii="Arial" w:cs="Arial" w:eastAsia="Arial" w:hAnsi="Arial"/>
          <w:sz w:val="12"/>
          <w:szCs w:val="12"/>
          <w:i w:val="1"/>
          <w:iCs w:val="1"/>
          <w:color w:val="E51837"/>
        </w:rPr>
        <w:t xml:space="preserve"> </w:t>
      </w:r>
      <w:r>
        <w:rPr>
          <w:rFonts w:ascii="Arial" w:cs="Arial" w:eastAsia="Arial" w:hAnsi="Arial"/>
          <w:sz w:val="12"/>
          <w:szCs w:val="12"/>
          <w:color w:val="000000"/>
        </w:rPr>
        <w:t>operations were 7.9 billion barrels. (Refer to the term “Reserves” on page E-147 for the definition of oil-equivalent reserves.) Approximately 25 percent of the total reserves were in the United States. For the company’s interests in equity affiliates, oil-equivalent reserves were 3.3 billion barrels, 82 percent of which were associated with the company’s 50 percent ownership in TCO.</w:t>
      </w:r>
    </w:p>
    <w:p>
      <w:pPr>
        <w:spacing w:after="0" w:line="1" w:lineRule="exact"/>
        <w:rPr>
          <w:sz w:val="20"/>
          <w:szCs w:val="20"/>
          <w:color w:val="auto"/>
        </w:rPr>
      </w:pPr>
    </w:p>
    <w:p>
      <w:pPr>
        <w:ind w:right="100" w:firstLine="153"/>
        <w:spacing w:after="0" w:line="250" w:lineRule="auto"/>
        <w:rPr>
          <w:sz w:val="20"/>
          <w:szCs w:val="20"/>
          <w:color w:val="auto"/>
        </w:rPr>
      </w:pPr>
      <w:r>
        <w:rPr>
          <w:rFonts w:ascii="Arial" w:cs="Arial" w:eastAsia="Arial" w:hAnsi="Arial"/>
          <w:sz w:val="13"/>
          <w:szCs w:val="13"/>
          <w:color w:val="auto"/>
        </w:rPr>
        <w:t>Aside from the Tengiz Field in the TCO affiliate, no single property accounted for more than 5 percent of the company’s total oil-equivalent proved reserves. About 20 other individual properties in the company’s portfolio of assets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each contained between 1 percent and 5 percent of the company’s oil-equivalent proved reserves, which in the aggregate accounted for approximately 40 percent of the company’s total proved reserves. These properties were geographically dispersed, located in the United States, South America, West Africa, the Middle East and the Asia-Pacific region.</w:t>
      </w:r>
    </w:p>
    <w:p>
      <w:pPr>
        <w:spacing w:after="0" w:line="110" w:lineRule="exact"/>
        <w:rPr>
          <w:sz w:val="20"/>
          <w:szCs w:val="20"/>
          <w:color w:val="auto"/>
        </w:rPr>
      </w:pPr>
    </w:p>
    <w:p>
      <w:pPr>
        <w:ind w:right="160" w:firstLine="160"/>
        <w:spacing w:after="0" w:line="251" w:lineRule="auto"/>
        <w:rPr>
          <w:sz w:val="20"/>
          <w:szCs w:val="20"/>
          <w:color w:val="auto"/>
        </w:rPr>
      </w:pPr>
      <w:r>
        <w:rPr>
          <w:rFonts w:ascii="Arial" w:cs="Arial" w:eastAsia="Arial" w:hAnsi="Arial"/>
          <w:sz w:val="13"/>
          <w:szCs w:val="13"/>
          <w:color w:val="auto"/>
        </w:rPr>
        <w:t>In the United States, total oil-equivalent reserves at year-end 2008 were 2.0 billion barrels. Of this amount, 43 percent, 22 percent and 35 percent were located in California, the Gulf of Mexico and other U.S. areas, respectively.</w:t>
      </w:r>
    </w:p>
    <w:p>
      <w:pPr>
        <w:spacing w:after="0" w:line="1" w:lineRule="exact"/>
        <w:rPr>
          <w:sz w:val="20"/>
          <w:szCs w:val="20"/>
          <w:color w:val="auto"/>
        </w:rPr>
      </w:pPr>
    </w:p>
    <w:p>
      <w:pPr>
        <w:ind w:right="100" w:firstLine="160"/>
        <w:spacing w:after="0" w:line="246" w:lineRule="auto"/>
        <w:rPr>
          <w:sz w:val="20"/>
          <w:szCs w:val="20"/>
          <w:color w:val="auto"/>
        </w:rPr>
      </w:pPr>
      <w:r>
        <w:rPr>
          <w:rFonts w:ascii="Arial" w:cs="Arial" w:eastAsia="Arial" w:hAnsi="Arial"/>
          <w:sz w:val="13"/>
          <w:szCs w:val="13"/>
          <w:color w:val="auto"/>
        </w:rPr>
        <w:t>In California, liquids reserves represented 94 percent of the total, with most classified as heavy oil. Because of heavy oil’s high viscosity and the need to employ enhanced recovery methods, the producing operations are capital intensive in nature. Most of the company’s heavy-oil fields in California employ a continuous steamflooding process.</w:t>
      </w:r>
    </w:p>
    <w:p>
      <w:pPr>
        <w:spacing w:after="0" w:line="2"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color w:val="auto"/>
        </w:rPr>
        <w:t>In the Gulf of Mexico region, liquids represented approximately 66 percent of total oil-equivalent reserves. Production operations are mostly offshore and, as a result, are also capital intensive. Costs include investments in wells, production platforms and other facilities, such as gathering lines and storage facilities.</w:t>
      </w:r>
    </w:p>
    <w:p>
      <w:pPr>
        <w:spacing w:after="0" w:line="2" w:lineRule="exact"/>
        <w:rPr>
          <w:sz w:val="20"/>
          <w:szCs w:val="20"/>
          <w:color w:val="auto"/>
        </w:rPr>
      </w:pPr>
    </w:p>
    <w:p>
      <w:pPr>
        <w:ind w:right="160" w:firstLine="160"/>
        <w:spacing w:after="0" w:line="246" w:lineRule="auto"/>
        <w:rPr>
          <w:sz w:val="20"/>
          <w:szCs w:val="20"/>
          <w:color w:val="auto"/>
        </w:rPr>
      </w:pPr>
      <w:r>
        <w:rPr>
          <w:rFonts w:ascii="Arial" w:cs="Arial" w:eastAsia="Arial" w:hAnsi="Arial"/>
          <w:sz w:val="13"/>
          <w:szCs w:val="13"/>
          <w:color w:val="auto"/>
        </w:rPr>
        <w:t>In other U.S. areas, the reserves were split about equally between liquids and natural gas. For production of crude oil, some fields utilize enhanced recovery methods, including water-flood and CO</w:t>
      </w:r>
      <w:r>
        <w:rPr>
          <w:rFonts w:ascii="Arial" w:cs="Arial" w:eastAsia="Arial" w:hAnsi="Arial"/>
          <w:sz w:val="10"/>
          <w:szCs w:val="10"/>
          <w:color w:val="auto"/>
        </w:rPr>
        <w:t>2</w:t>
      </w:r>
      <w:r>
        <w:rPr>
          <w:rFonts w:ascii="Arial" w:cs="Arial" w:eastAsia="Arial" w:hAnsi="Arial"/>
          <w:sz w:val="13"/>
          <w:szCs w:val="13"/>
          <w:color w:val="auto"/>
        </w:rPr>
        <w:t xml:space="preserve"> injection.</w:t>
      </w:r>
    </w:p>
    <w:p>
      <w:pPr>
        <w:spacing w:after="0" w:line="2" w:lineRule="exact"/>
        <w:rPr>
          <w:sz w:val="20"/>
          <w:szCs w:val="20"/>
          <w:color w:val="auto"/>
        </w:rPr>
      </w:pPr>
    </w:p>
    <w:p>
      <w:pPr>
        <w:ind w:right="60" w:firstLine="158"/>
        <w:spacing w:after="0" w:line="291" w:lineRule="auto"/>
        <w:rPr>
          <w:sz w:val="20"/>
          <w:szCs w:val="20"/>
          <w:color w:val="auto"/>
        </w:rPr>
      </w:pPr>
      <w:r>
        <w:rPr>
          <w:rFonts w:ascii="Arial" w:cs="Arial" w:eastAsia="Arial" w:hAnsi="Arial"/>
          <w:sz w:val="11"/>
          <w:szCs w:val="11"/>
          <w:color w:val="auto"/>
        </w:rPr>
        <w:t>The pattern of net reserve changes shown in the following tables, for the three years ending December 31, 2008, is not necessarily indicative of future trends. Apart from acquisitions, the company’s ability to add proved reserves is affected by, among other things, events and circumstances that are outside the company’s control, such as delays in government permitting, partner approvals of development plans, declines in oil and gas prices, OPEC constraints, geopolitical uncertainties and civil unrest.</w:t>
      </w:r>
    </w:p>
    <w:p>
      <w:pPr>
        <w:spacing w:after="0" w:line="2" w:lineRule="exact"/>
        <w:rPr>
          <w:sz w:val="20"/>
          <w:szCs w:val="20"/>
          <w:color w:val="auto"/>
        </w:rPr>
      </w:pPr>
    </w:p>
    <w:p>
      <w:pPr>
        <w:ind w:firstLine="158"/>
        <w:spacing w:after="0" w:line="246" w:lineRule="auto"/>
        <w:rPr>
          <w:sz w:val="20"/>
          <w:szCs w:val="20"/>
          <w:color w:val="auto"/>
        </w:rPr>
      </w:pPr>
      <w:r>
        <w:rPr>
          <w:rFonts w:ascii="Arial" w:cs="Arial" w:eastAsia="Arial" w:hAnsi="Arial"/>
          <w:sz w:val="13"/>
          <w:szCs w:val="13"/>
          <w:color w:val="auto"/>
        </w:rPr>
        <w:t>The upward revision in Thailand reflected additional drilling and development activity during the year. These upward revisions were partially offset by reductions in reservoir performance in Nigeria and the United Kingdom, which decreased reserves by 43 million barrels and by 32 million barrels, respectively. Most of the upward revision for affiliated companies was related to a 60 million-barrel increase in TCO as a result of improved reservoir performance.</w:t>
      </w:r>
    </w:p>
    <w:p>
      <w:pPr>
        <w:spacing w:after="0" w:line="3" w:lineRule="exact"/>
        <w:rPr>
          <w:sz w:val="20"/>
          <w:szCs w:val="20"/>
          <w:color w:val="auto"/>
        </w:rPr>
      </w:pPr>
    </w:p>
    <w:p>
      <w:pPr>
        <w:ind w:right="20" w:firstLine="160"/>
        <w:spacing w:after="0" w:line="274" w:lineRule="auto"/>
        <w:rPr>
          <w:sz w:val="20"/>
          <w:szCs w:val="20"/>
          <w:color w:val="auto"/>
        </w:rPr>
      </w:pPr>
      <w:r>
        <w:rPr>
          <w:rFonts w:ascii="Arial" w:cs="Arial" w:eastAsia="Arial" w:hAnsi="Arial"/>
          <w:sz w:val="12"/>
          <w:szCs w:val="12"/>
          <w:color w:val="auto"/>
        </w:rPr>
        <w:t>In 2007, net revisions decreased reserves by 146 million barrels for worldwide consolidated companies and increased reserves by 103 million barrels for equity affiliates. For consolidated companies, the largest downward net revisions were 89 million barrels in Africa and 66 million barrels in Indonesia. The company’s estimated net proved oil and natural gas reserves and changes thereto for the years 2006, 2007 and 2008 are shown in the tables on pages FS-69 and FS-71.</w:t>
      </w:r>
    </w:p>
    <w:p>
      <w:pPr>
        <w:spacing w:after="0" w:line="200" w:lineRule="exact"/>
        <w:rPr>
          <w:sz w:val="20"/>
          <w:szCs w:val="20"/>
          <w:color w:val="auto"/>
        </w:rPr>
      </w:pPr>
    </w:p>
    <w:p>
      <w:pPr>
        <w:sectPr>
          <w:pgSz w:w="11900" w:h="16838" w:orient="portrait"/>
          <w:cols w:equalWidth="0" w:num="2">
            <w:col w:w="5500" w:space="460"/>
            <w:col w:w="5460"/>
          </w:cols>
          <w:pgMar w:left="220" w:top="338" w:right="259" w:bottom="1440" w:gutter="0" w:footer="0" w:header="0"/>
          <w:type w:val="continuous"/>
        </w:sectPr>
      </w:pP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type w:val="continuous"/>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6286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Proved Reserves of Crude Oil, Condensate and Natural Gas Liquids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0"/>
                <w:szCs w:val="10"/>
                <w:color w:val="auto"/>
              </w:rPr>
              <w:t>Consolidated Companies</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8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1100" w:type="dxa"/>
            <w:vAlign w:val="bottom"/>
            <w:tcBorders>
              <w:top w:val="single" w:sz="8" w:color="0077C0"/>
            </w:tcBorders>
            <w:gridSpan w:val="3"/>
          </w:tcPr>
          <w:p>
            <w:pPr>
              <w:jc w:val="right"/>
              <w:ind w:right="460"/>
              <w:spacing w:after="0" w:line="95" w:lineRule="exact"/>
              <w:rPr>
                <w:sz w:val="20"/>
                <w:szCs w:val="20"/>
                <w:color w:val="auto"/>
              </w:rPr>
            </w:pPr>
            <w:r>
              <w:rPr>
                <w:rFonts w:ascii="Arial" w:cs="Arial" w:eastAsia="Arial" w:hAnsi="Arial"/>
                <w:sz w:val="10"/>
                <w:szCs w:val="10"/>
                <w:color w:val="auto"/>
              </w:rPr>
              <w:t>United States</w:t>
            </w:r>
          </w:p>
        </w:tc>
        <w:tc>
          <w:tcPr>
            <w:tcW w:w="640" w:type="dxa"/>
            <w:vAlign w:val="bottom"/>
            <w:tcBorders>
              <w:top w:val="single" w:sz="8" w:color="0077C0"/>
            </w:tcBorders>
          </w:tcPr>
          <w:p>
            <w:pPr>
              <w:spacing w:after="0"/>
              <w:rPr>
                <w:sz w:val="8"/>
                <w:szCs w:val="8"/>
                <w:color w:val="auto"/>
              </w:rPr>
            </w:pPr>
          </w:p>
        </w:tc>
        <w:tc>
          <w:tcPr>
            <w:tcW w:w="780" w:type="dxa"/>
            <w:vAlign w:val="bottom"/>
            <w:tcBorders>
              <w:top w:val="single" w:sz="8" w:color="0077C0"/>
            </w:tcBorders>
          </w:tcPr>
          <w:p>
            <w:pPr>
              <w:spacing w:after="0"/>
              <w:rPr>
                <w:sz w:val="8"/>
                <w:szCs w:val="8"/>
                <w:color w:val="auto"/>
              </w:rPr>
            </w:pPr>
          </w:p>
        </w:tc>
        <w:tc>
          <w:tcPr>
            <w:tcW w:w="92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920" w:type="dxa"/>
            <w:vAlign w:val="bottom"/>
            <w:tcBorders>
              <w:top w:val="single" w:sz="8" w:color="0077C0"/>
            </w:tcBorders>
            <w:gridSpan w:val="2"/>
          </w:tcPr>
          <w:p>
            <w:pPr>
              <w:jc w:val="right"/>
              <w:ind w:right="300"/>
              <w:spacing w:after="0" w:line="95" w:lineRule="exact"/>
              <w:rPr>
                <w:sz w:val="20"/>
                <w:szCs w:val="20"/>
                <w:color w:val="auto"/>
              </w:rPr>
            </w:pPr>
            <w:r>
              <w:rPr>
                <w:rFonts w:ascii="Arial" w:cs="Arial" w:eastAsia="Arial" w:hAnsi="Arial"/>
                <w:sz w:val="10"/>
                <w:szCs w:val="10"/>
                <w:color w:val="auto"/>
              </w:rPr>
              <w:t>International</w:t>
            </w:r>
          </w:p>
        </w:tc>
        <w:tc>
          <w:tcPr>
            <w:tcW w:w="480" w:type="dxa"/>
            <w:vAlign w:val="bottom"/>
            <w:tcBorders>
              <w:top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86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780" w:type="dxa"/>
            <w:vAlign w:val="bottom"/>
            <w:shd w:val="clear" w:color="auto" w:fill="0077C0"/>
          </w:tcPr>
          <w:p>
            <w:pPr>
              <w:spacing w:after="0" w:line="20" w:lineRule="exact"/>
              <w:rPr>
                <w:sz w:val="1"/>
                <w:szCs w:val="1"/>
                <w:color w:val="auto"/>
              </w:rPr>
            </w:pPr>
          </w:p>
        </w:tc>
        <w:tc>
          <w:tcPr>
            <w:tcW w:w="92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jc w:val="right"/>
              <w:ind w:right="269"/>
              <w:spacing w:after="0" w:line="95" w:lineRule="exact"/>
              <w:rPr>
                <w:sz w:val="20"/>
                <w:szCs w:val="20"/>
                <w:color w:val="auto"/>
              </w:rPr>
            </w:pPr>
            <w:r>
              <w:rPr>
                <w:rFonts w:ascii="Arial" w:cs="Arial" w:eastAsia="Arial" w:hAnsi="Arial"/>
                <w:sz w:val="10"/>
                <w:szCs w:val="10"/>
                <w:color w:val="auto"/>
              </w:rPr>
              <w:t>Gulf of</w:t>
            </w:r>
          </w:p>
        </w:tc>
        <w:tc>
          <w:tcPr>
            <w:tcW w:w="660" w:type="dxa"/>
            <w:vAlign w:val="bottom"/>
          </w:tcPr>
          <w:p>
            <w:pPr>
              <w:spacing w:after="0"/>
              <w:rPr>
                <w:sz w:val="8"/>
                <w:szCs w:val="8"/>
                <w:color w:val="auto"/>
              </w:rPr>
            </w:pPr>
          </w:p>
        </w:tc>
        <w:tc>
          <w:tcPr>
            <w:tcW w:w="1100" w:type="dxa"/>
            <w:vAlign w:val="bottom"/>
            <w:gridSpan w:val="3"/>
          </w:tcPr>
          <w:p>
            <w:pPr>
              <w:jc w:val="right"/>
              <w:ind w:right="460"/>
              <w:spacing w:after="0" w:line="95" w:lineRule="exact"/>
              <w:rPr>
                <w:sz w:val="20"/>
                <w:szCs w:val="20"/>
                <w:color w:val="auto"/>
              </w:rPr>
            </w:pPr>
            <w:r>
              <w:rPr>
                <w:rFonts w:ascii="Arial" w:cs="Arial" w:eastAsia="Arial" w:hAnsi="Arial"/>
                <w:sz w:val="10"/>
                <w:szCs w:val="10"/>
                <w:color w:val="auto"/>
              </w:rPr>
              <w:t>Total</w:t>
            </w:r>
          </w:p>
        </w:tc>
        <w:tc>
          <w:tcPr>
            <w:tcW w:w="640" w:type="dxa"/>
            <w:vAlign w:val="bottom"/>
          </w:tcPr>
          <w:p>
            <w:pPr>
              <w:spacing w:after="0"/>
              <w:rPr>
                <w:sz w:val="8"/>
                <w:szCs w:val="8"/>
                <w:color w:val="auto"/>
              </w:rPr>
            </w:pPr>
          </w:p>
        </w:tc>
        <w:tc>
          <w:tcPr>
            <w:tcW w:w="780" w:type="dxa"/>
            <w:vAlign w:val="bottom"/>
          </w:tcPr>
          <w:p>
            <w:pPr>
              <w:jc w:val="right"/>
              <w:ind w:right="209"/>
              <w:spacing w:after="0" w:line="95" w:lineRule="exact"/>
              <w:rPr>
                <w:sz w:val="20"/>
                <w:szCs w:val="20"/>
                <w:color w:val="auto"/>
              </w:rPr>
            </w:pPr>
            <w:r>
              <w:rPr>
                <w:rFonts w:ascii="Arial" w:cs="Arial" w:eastAsia="Arial" w:hAnsi="Arial"/>
                <w:sz w:val="10"/>
                <w:szCs w:val="10"/>
                <w:color w:val="auto"/>
              </w:rPr>
              <w:t>Asia-</w:t>
            </w: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Total</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Millions of barrels</w:t>
            </w:r>
          </w:p>
        </w:tc>
        <w:tc>
          <w:tcPr>
            <w:tcW w:w="620" w:type="dxa"/>
            <w:vAlign w:val="bottom"/>
          </w:tcPr>
          <w:p>
            <w:pPr>
              <w:jc w:val="right"/>
              <w:ind w:right="209"/>
              <w:spacing w:after="0" w:line="95" w:lineRule="exact"/>
              <w:rPr>
                <w:sz w:val="20"/>
                <w:szCs w:val="20"/>
                <w:color w:val="auto"/>
              </w:rPr>
            </w:pPr>
            <w:r>
              <w:rPr>
                <w:rFonts w:ascii="Arial" w:cs="Arial" w:eastAsia="Arial" w:hAnsi="Arial"/>
                <w:sz w:val="10"/>
                <w:szCs w:val="10"/>
                <w:color w:val="auto"/>
              </w:rPr>
              <w:t>Calif.</w:t>
            </w:r>
          </w:p>
        </w:tc>
        <w:tc>
          <w:tcPr>
            <w:tcW w:w="860" w:type="dxa"/>
            <w:vAlign w:val="bottom"/>
          </w:tcPr>
          <w:p>
            <w:pPr>
              <w:jc w:val="right"/>
              <w:ind w:right="269"/>
              <w:spacing w:after="0" w:line="95" w:lineRule="exact"/>
              <w:rPr>
                <w:sz w:val="20"/>
                <w:szCs w:val="20"/>
                <w:color w:val="auto"/>
              </w:rPr>
            </w:pPr>
            <w:r>
              <w:rPr>
                <w:rFonts w:ascii="Arial" w:cs="Arial" w:eastAsia="Arial" w:hAnsi="Arial"/>
                <w:sz w:val="10"/>
                <w:szCs w:val="10"/>
                <w:color w:val="auto"/>
              </w:rPr>
              <w:t>Mexico</w:t>
            </w:r>
          </w:p>
        </w:tc>
        <w:tc>
          <w:tcPr>
            <w:tcW w:w="660" w:type="dxa"/>
            <w:vAlign w:val="bottom"/>
          </w:tcPr>
          <w:p>
            <w:pPr>
              <w:jc w:val="right"/>
              <w:ind w:right="129"/>
              <w:spacing w:after="0" w:line="95" w:lineRule="exact"/>
              <w:rPr>
                <w:sz w:val="20"/>
                <w:szCs w:val="20"/>
                <w:color w:val="auto"/>
              </w:rPr>
            </w:pPr>
            <w:r>
              <w:rPr>
                <w:rFonts w:ascii="Arial" w:cs="Arial" w:eastAsia="Arial" w:hAnsi="Arial"/>
                <w:sz w:val="10"/>
                <w:szCs w:val="10"/>
                <w:color w:val="auto"/>
              </w:rPr>
              <w:t>Other</w:t>
            </w:r>
          </w:p>
        </w:tc>
        <w:tc>
          <w:tcPr>
            <w:tcW w:w="1100" w:type="dxa"/>
            <w:vAlign w:val="bottom"/>
            <w:gridSpan w:val="3"/>
          </w:tcPr>
          <w:p>
            <w:pPr>
              <w:jc w:val="right"/>
              <w:ind w:right="460"/>
              <w:spacing w:after="0" w:line="95" w:lineRule="exact"/>
              <w:rPr>
                <w:sz w:val="20"/>
                <w:szCs w:val="20"/>
                <w:color w:val="auto"/>
              </w:rPr>
            </w:pPr>
            <w:r>
              <w:rPr>
                <w:rFonts w:ascii="Arial" w:cs="Arial" w:eastAsia="Arial" w:hAnsi="Arial"/>
                <w:sz w:val="10"/>
                <w:szCs w:val="10"/>
                <w:color w:val="auto"/>
              </w:rPr>
              <w:t>U.S.</w:t>
            </w:r>
          </w:p>
        </w:tc>
        <w:tc>
          <w:tcPr>
            <w:tcW w:w="640" w:type="dxa"/>
            <w:vAlign w:val="bottom"/>
          </w:tcPr>
          <w:p>
            <w:pPr>
              <w:jc w:val="right"/>
              <w:ind w:right="229"/>
              <w:spacing w:after="0" w:line="95" w:lineRule="exact"/>
              <w:rPr>
                <w:sz w:val="20"/>
                <w:szCs w:val="20"/>
                <w:color w:val="auto"/>
              </w:rPr>
            </w:pPr>
            <w:r>
              <w:rPr>
                <w:rFonts w:ascii="Arial" w:cs="Arial" w:eastAsia="Arial" w:hAnsi="Arial"/>
                <w:sz w:val="10"/>
                <w:szCs w:val="10"/>
                <w:color w:val="auto"/>
              </w:rPr>
              <w:t>Africa</w:t>
            </w:r>
          </w:p>
        </w:tc>
        <w:tc>
          <w:tcPr>
            <w:tcW w:w="780" w:type="dxa"/>
            <w:vAlign w:val="bottom"/>
          </w:tcPr>
          <w:p>
            <w:pPr>
              <w:jc w:val="right"/>
              <w:ind w:right="209"/>
              <w:spacing w:after="0" w:line="95" w:lineRule="exact"/>
              <w:rPr>
                <w:sz w:val="20"/>
                <w:szCs w:val="20"/>
                <w:color w:val="auto"/>
              </w:rPr>
            </w:pPr>
            <w:r>
              <w:rPr>
                <w:rFonts w:ascii="Arial" w:cs="Arial" w:eastAsia="Arial" w:hAnsi="Arial"/>
                <w:sz w:val="10"/>
                <w:szCs w:val="10"/>
                <w:color w:val="auto"/>
              </w:rPr>
              <w:t>Pacific</w:t>
            </w:r>
          </w:p>
        </w:tc>
        <w:tc>
          <w:tcPr>
            <w:tcW w:w="920" w:type="dxa"/>
            <w:vAlign w:val="bottom"/>
          </w:tcPr>
          <w:p>
            <w:pPr>
              <w:jc w:val="right"/>
              <w:ind w:right="269"/>
              <w:spacing w:after="0" w:line="95" w:lineRule="exact"/>
              <w:rPr>
                <w:sz w:val="20"/>
                <w:szCs w:val="20"/>
                <w:color w:val="auto"/>
              </w:rPr>
            </w:pPr>
            <w:r>
              <w:rPr>
                <w:rFonts w:ascii="Arial" w:cs="Arial" w:eastAsia="Arial" w:hAnsi="Arial"/>
                <w:sz w:val="10"/>
                <w:szCs w:val="10"/>
                <w:color w:val="auto"/>
              </w:rPr>
              <w:t>Indonesia</w:t>
            </w:r>
          </w:p>
        </w:tc>
        <w:tc>
          <w:tcPr>
            <w:tcW w:w="660" w:type="dxa"/>
            <w:vAlign w:val="bottom"/>
          </w:tcPr>
          <w:p>
            <w:pPr>
              <w:jc w:val="right"/>
              <w:ind w:right="109"/>
              <w:spacing w:after="0" w:line="95" w:lineRule="exact"/>
              <w:rPr>
                <w:sz w:val="20"/>
                <w:szCs w:val="20"/>
                <w:color w:val="auto"/>
              </w:rPr>
            </w:pPr>
            <w:r>
              <w:rPr>
                <w:rFonts w:ascii="Arial" w:cs="Arial" w:eastAsia="Arial" w:hAnsi="Arial"/>
                <w:sz w:val="10"/>
                <w:szCs w:val="10"/>
                <w:color w:val="auto"/>
              </w:rPr>
              <w:t>Other</w:t>
            </w:r>
          </w:p>
        </w:tc>
        <w:tc>
          <w:tcPr>
            <w:tcW w:w="92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Int’l.</w:t>
            </w:r>
          </w:p>
        </w:tc>
        <w:tc>
          <w:tcPr>
            <w:tcW w:w="920" w:type="dxa"/>
            <w:vAlign w:val="bottom"/>
            <w:gridSpan w:val="3"/>
          </w:tcPr>
          <w:p>
            <w:pPr>
              <w:jc w:val="right"/>
              <w:ind w:right="440"/>
              <w:spacing w:after="0" w:line="95" w:lineRule="exact"/>
              <w:rPr>
                <w:sz w:val="20"/>
                <w:szCs w:val="20"/>
                <w:color w:val="auto"/>
              </w:rPr>
            </w:pPr>
            <w:r>
              <w:rPr>
                <w:rFonts w:ascii="Arial" w:cs="Arial" w:eastAsia="Arial" w:hAnsi="Arial"/>
                <w:sz w:val="10"/>
                <w:szCs w:val="10"/>
                <w:color w:val="auto"/>
              </w:rPr>
              <w:t>Total</w:t>
            </w:r>
          </w:p>
        </w:tc>
        <w:tc>
          <w:tcPr>
            <w:tcW w:w="620" w:type="dxa"/>
            <w:vAlign w:val="bottom"/>
            <w:tcBorders>
              <w:top w:val="single" w:sz="8" w:color="0077C0"/>
            </w:tcBorders>
          </w:tcPr>
          <w:p>
            <w:pPr>
              <w:jc w:val="right"/>
              <w:ind w:right="229"/>
              <w:spacing w:after="0" w:line="95" w:lineRule="exact"/>
              <w:rPr>
                <w:sz w:val="20"/>
                <w:szCs w:val="20"/>
                <w:color w:val="auto"/>
              </w:rPr>
            </w:pPr>
            <w:r>
              <w:rPr>
                <w:rFonts w:ascii="Arial" w:cs="Arial" w:eastAsia="Arial" w:hAnsi="Arial"/>
                <w:sz w:val="10"/>
                <w:szCs w:val="10"/>
                <w:color w:val="auto"/>
              </w:rPr>
              <w:t>TCO</w:t>
            </w:r>
          </w:p>
        </w:tc>
        <w:tc>
          <w:tcPr>
            <w:tcW w:w="48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Other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Jan. 1, 2006</w:t>
            </w:r>
            <w:r>
              <w:rPr>
                <w:rFonts w:ascii="Arial" w:cs="Arial" w:eastAsia="Arial" w:hAnsi="Arial"/>
                <w:sz w:val="8"/>
                <w:szCs w:val="8"/>
                <w:b w:val="1"/>
                <w:bCs w:val="1"/>
                <w:color w:val="0077C0"/>
              </w:rPr>
              <w:t>1</w:t>
            </w:r>
          </w:p>
        </w:tc>
        <w:tc>
          <w:tcPr>
            <w:tcW w:w="62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965</w:t>
            </w:r>
          </w:p>
        </w:tc>
        <w:tc>
          <w:tcPr>
            <w:tcW w:w="86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333</w:t>
            </w:r>
          </w:p>
        </w:tc>
        <w:tc>
          <w:tcPr>
            <w:tcW w:w="66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533</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1,831</w:t>
            </w:r>
          </w:p>
        </w:tc>
        <w:tc>
          <w:tcPr>
            <w:tcW w:w="120" w:type="dxa"/>
            <w:vAlign w:val="bottom"/>
            <w:tcBorders>
              <w:top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1,814</w:t>
            </w:r>
          </w:p>
        </w:tc>
        <w:tc>
          <w:tcPr>
            <w:tcW w:w="78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829</w:t>
            </w:r>
          </w:p>
        </w:tc>
        <w:tc>
          <w:tcPr>
            <w:tcW w:w="92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579</w:t>
            </w:r>
          </w:p>
        </w:tc>
        <w:tc>
          <w:tcPr>
            <w:tcW w:w="6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573</w:t>
            </w:r>
          </w:p>
        </w:tc>
        <w:tc>
          <w:tcPr>
            <w:tcW w:w="92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3,795</w:t>
            </w:r>
          </w:p>
        </w:tc>
        <w:tc>
          <w:tcPr>
            <w:tcW w:w="58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5,626</w:t>
            </w:r>
          </w:p>
        </w:tc>
        <w:tc>
          <w:tcPr>
            <w:tcW w:w="340" w:type="dxa"/>
            <w:vAlign w:val="bottom"/>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1,939</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435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7</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7</w:t>
            </w:r>
          </w:p>
        </w:tc>
        <w:tc>
          <w:tcPr>
            <w:tcW w:w="1100" w:type="dxa"/>
            <w:vAlign w:val="bottom"/>
            <w:gridSpan w:val="3"/>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(49)</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72</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61</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(45)</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39</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39</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60</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49</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3</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52</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13</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6</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11</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31</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83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25</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8</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33</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30</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36</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74</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107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r>
              <w:rPr>
                <w:rFonts w:ascii="Arial" w:cs="Arial" w:eastAsia="Arial" w:hAnsi="Arial"/>
                <w:sz w:val="8"/>
                <w:szCs w:val="8"/>
                <w:color w:val="auto"/>
              </w:rPr>
              <w:t>2</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2</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15</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17</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1100" w:type="dxa"/>
            <w:vAlign w:val="bottom"/>
            <w:gridSpan w:val="3"/>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(15)</w:t>
            </w:r>
          </w:p>
        </w:tc>
        <w:tc>
          <w:tcPr>
            <w:tcW w:w="9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(15)</w:t>
            </w:r>
          </w:p>
        </w:tc>
        <w:tc>
          <w:tcPr>
            <w:tcW w:w="5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(15)</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(76)</w:t>
            </w:r>
          </w:p>
        </w:tc>
        <w:tc>
          <w:tcPr>
            <w:tcW w:w="860" w:type="dxa"/>
            <w:vAlign w:val="bottom"/>
          </w:tcPr>
          <w:p>
            <w:pPr>
              <w:jc w:val="right"/>
              <w:ind w:right="229"/>
              <w:spacing w:after="0"/>
              <w:rPr>
                <w:sz w:val="20"/>
                <w:szCs w:val="20"/>
                <w:color w:val="auto"/>
              </w:rPr>
            </w:pPr>
            <w:r>
              <w:rPr>
                <w:rFonts w:ascii="Arial" w:cs="Arial" w:eastAsia="Arial" w:hAnsi="Arial"/>
                <w:sz w:val="10"/>
                <w:szCs w:val="10"/>
                <w:color w:val="auto"/>
              </w:rPr>
              <w:t>(42)</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(51)</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(169)</w:t>
            </w:r>
          </w:p>
        </w:tc>
        <w:tc>
          <w:tcPr>
            <w:tcW w:w="34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(125)</w:t>
            </w:r>
          </w:p>
        </w:tc>
        <w:tc>
          <w:tcPr>
            <w:tcW w:w="780" w:type="dxa"/>
            <w:vAlign w:val="bottom"/>
          </w:tcPr>
          <w:p>
            <w:pPr>
              <w:jc w:val="right"/>
              <w:ind w:right="169"/>
              <w:spacing w:after="0"/>
              <w:rPr>
                <w:sz w:val="20"/>
                <w:szCs w:val="20"/>
                <w:color w:val="auto"/>
              </w:rPr>
            </w:pPr>
            <w:r>
              <w:rPr>
                <w:rFonts w:ascii="Arial" w:cs="Arial" w:eastAsia="Arial" w:hAnsi="Arial"/>
                <w:sz w:val="10"/>
                <w:szCs w:val="10"/>
                <w:color w:val="auto"/>
              </w:rPr>
              <w:t>(123)</w:t>
            </w:r>
          </w:p>
        </w:tc>
        <w:tc>
          <w:tcPr>
            <w:tcW w:w="920" w:type="dxa"/>
            <w:vAlign w:val="bottom"/>
          </w:tcPr>
          <w:p>
            <w:pPr>
              <w:jc w:val="right"/>
              <w:ind w:right="229"/>
              <w:spacing w:after="0"/>
              <w:rPr>
                <w:sz w:val="20"/>
                <w:szCs w:val="20"/>
                <w:color w:val="auto"/>
              </w:rPr>
            </w:pPr>
            <w:r>
              <w:rPr>
                <w:rFonts w:ascii="Arial" w:cs="Arial" w:eastAsia="Arial" w:hAnsi="Arial"/>
                <w:sz w:val="10"/>
                <w:szCs w:val="10"/>
                <w:color w:val="auto"/>
              </w:rPr>
              <w:t>(72)</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(78)</w:t>
            </w:r>
          </w:p>
        </w:tc>
        <w:tc>
          <w:tcPr>
            <w:tcW w:w="920" w:type="dxa"/>
            <w:vAlign w:val="bottom"/>
            <w:gridSpan w:val="2"/>
          </w:tcPr>
          <w:p>
            <w:pPr>
              <w:jc w:val="right"/>
              <w:ind w:right="260"/>
              <w:spacing w:after="0"/>
              <w:rPr>
                <w:sz w:val="20"/>
                <w:szCs w:val="20"/>
                <w:color w:val="auto"/>
              </w:rPr>
            </w:pPr>
            <w:r>
              <w:rPr>
                <w:rFonts w:ascii="Arial" w:cs="Arial" w:eastAsia="Arial" w:hAnsi="Arial"/>
                <w:sz w:val="10"/>
                <w:szCs w:val="10"/>
                <w:color w:val="auto"/>
              </w:rPr>
              <w:t>(398)</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(567)</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(49)</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 31, 2006</w:t>
            </w:r>
            <w:r>
              <w:rPr>
                <w:rFonts w:ascii="Arial" w:cs="Arial" w:eastAsia="Arial" w:hAnsi="Arial"/>
                <w:sz w:val="8"/>
                <w:szCs w:val="8"/>
                <w:b w:val="1"/>
                <w:bCs w:val="1"/>
                <w:color w:val="0077C0"/>
              </w:rPr>
              <w:t>1</w:t>
            </w:r>
          </w:p>
        </w:tc>
        <w:tc>
          <w:tcPr>
            <w:tcW w:w="62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926</w:t>
            </w:r>
          </w:p>
        </w:tc>
        <w:tc>
          <w:tcPr>
            <w:tcW w:w="86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325</w:t>
            </w:r>
          </w:p>
        </w:tc>
        <w:tc>
          <w:tcPr>
            <w:tcW w:w="66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500</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1,751</w:t>
            </w: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1,698</w:t>
            </w:r>
          </w:p>
        </w:tc>
        <w:tc>
          <w:tcPr>
            <w:tcW w:w="78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785</w:t>
            </w:r>
          </w:p>
        </w:tc>
        <w:tc>
          <w:tcPr>
            <w:tcW w:w="92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576</w:t>
            </w:r>
          </w:p>
        </w:tc>
        <w:tc>
          <w:tcPr>
            <w:tcW w:w="6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484</w:t>
            </w:r>
          </w:p>
        </w:tc>
        <w:tc>
          <w:tcPr>
            <w:tcW w:w="92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3,543</w:t>
            </w:r>
          </w:p>
        </w:tc>
        <w:tc>
          <w:tcPr>
            <w:tcW w:w="58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5,294</w:t>
            </w:r>
          </w:p>
        </w:tc>
        <w:tc>
          <w:tcPr>
            <w:tcW w:w="34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1,950</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562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86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(5)</w:t>
            </w:r>
          </w:p>
        </w:tc>
        <w:tc>
          <w:tcPr>
            <w:tcW w:w="34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(89)</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7</w:t>
            </w:r>
          </w:p>
        </w:tc>
        <w:tc>
          <w:tcPr>
            <w:tcW w:w="9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(66)</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w:t>
            </w:r>
          </w:p>
        </w:tc>
        <w:tc>
          <w:tcPr>
            <w:tcW w:w="92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(141)</w:t>
            </w:r>
          </w:p>
        </w:tc>
        <w:tc>
          <w:tcPr>
            <w:tcW w:w="5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(146)</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92</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3</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9</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7</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1</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11</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25</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10</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6</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17</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r>
              <w:rPr>
                <w:rFonts w:ascii="Arial" w:cs="Arial" w:eastAsia="Arial" w:hAnsi="Arial"/>
                <w:sz w:val="8"/>
                <w:szCs w:val="8"/>
                <w:color w:val="auto"/>
              </w:rPr>
              <w:t>2</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9</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316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(8)</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(9)</w:t>
            </w: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(9)</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(75)</w:t>
            </w:r>
          </w:p>
        </w:tc>
        <w:tc>
          <w:tcPr>
            <w:tcW w:w="860" w:type="dxa"/>
            <w:vAlign w:val="bottom"/>
          </w:tcPr>
          <w:p>
            <w:pPr>
              <w:jc w:val="right"/>
              <w:ind w:right="229"/>
              <w:spacing w:after="0"/>
              <w:rPr>
                <w:sz w:val="20"/>
                <w:szCs w:val="20"/>
                <w:color w:val="auto"/>
              </w:rPr>
            </w:pPr>
            <w:r>
              <w:rPr>
                <w:rFonts w:ascii="Arial" w:cs="Arial" w:eastAsia="Arial" w:hAnsi="Arial"/>
                <w:sz w:val="10"/>
                <w:szCs w:val="10"/>
                <w:color w:val="auto"/>
              </w:rPr>
              <w:t>(43)</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(50)</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(168)</w:t>
            </w:r>
          </w:p>
        </w:tc>
        <w:tc>
          <w:tcPr>
            <w:tcW w:w="34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(122)</w:t>
            </w:r>
          </w:p>
        </w:tc>
        <w:tc>
          <w:tcPr>
            <w:tcW w:w="780" w:type="dxa"/>
            <w:vAlign w:val="bottom"/>
          </w:tcPr>
          <w:p>
            <w:pPr>
              <w:jc w:val="right"/>
              <w:ind w:right="169"/>
              <w:spacing w:after="0"/>
              <w:rPr>
                <w:sz w:val="20"/>
                <w:szCs w:val="20"/>
                <w:color w:val="auto"/>
              </w:rPr>
            </w:pPr>
            <w:r>
              <w:rPr>
                <w:rFonts w:ascii="Arial" w:cs="Arial" w:eastAsia="Arial" w:hAnsi="Arial"/>
                <w:sz w:val="10"/>
                <w:szCs w:val="10"/>
                <w:color w:val="auto"/>
              </w:rPr>
              <w:t>(128)</w:t>
            </w:r>
          </w:p>
        </w:tc>
        <w:tc>
          <w:tcPr>
            <w:tcW w:w="920" w:type="dxa"/>
            <w:vAlign w:val="bottom"/>
          </w:tcPr>
          <w:p>
            <w:pPr>
              <w:jc w:val="right"/>
              <w:ind w:right="229"/>
              <w:spacing w:after="0"/>
              <w:rPr>
                <w:sz w:val="20"/>
                <w:szCs w:val="20"/>
                <w:color w:val="auto"/>
              </w:rPr>
            </w:pPr>
            <w:r>
              <w:rPr>
                <w:rFonts w:ascii="Arial" w:cs="Arial" w:eastAsia="Arial" w:hAnsi="Arial"/>
                <w:sz w:val="10"/>
                <w:szCs w:val="10"/>
                <w:color w:val="auto"/>
              </w:rPr>
              <w:t>(72)</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(74)</w:t>
            </w:r>
          </w:p>
        </w:tc>
        <w:tc>
          <w:tcPr>
            <w:tcW w:w="920" w:type="dxa"/>
            <w:vAlign w:val="bottom"/>
            <w:gridSpan w:val="2"/>
          </w:tcPr>
          <w:p>
            <w:pPr>
              <w:jc w:val="right"/>
              <w:ind w:right="260"/>
              <w:spacing w:after="0"/>
              <w:rPr>
                <w:sz w:val="20"/>
                <w:szCs w:val="20"/>
                <w:color w:val="auto"/>
              </w:rPr>
            </w:pPr>
            <w:r>
              <w:rPr>
                <w:rFonts w:ascii="Arial" w:cs="Arial" w:eastAsia="Arial" w:hAnsi="Arial"/>
                <w:sz w:val="10"/>
                <w:szCs w:val="10"/>
                <w:color w:val="auto"/>
              </w:rPr>
              <w:t>(396)</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(564)</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(53)</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 31, 2007</w:t>
            </w:r>
            <w:r>
              <w:rPr>
                <w:rFonts w:ascii="Arial" w:cs="Arial" w:eastAsia="Arial" w:hAnsi="Arial"/>
                <w:sz w:val="8"/>
                <w:szCs w:val="8"/>
                <w:b w:val="1"/>
                <w:bCs w:val="1"/>
                <w:color w:val="0077C0"/>
              </w:rPr>
              <w:t>1</w:t>
            </w:r>
          </w:p>
        </w:tc>
        <w:tc>
          <w:tcPr>
            <w:tcW w:w="62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860</w:t>
            </w:r>
          </w:p>
        </w:tc>
        <w:tc>
          <w:tcPr>
            <w:tcW w:w="86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307</w:t>
            </w:r>
          </w:p>
        </w:tc>
        <w:tc>
          <w:tcPr>
            <w:tcW w:w="66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457</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1,624</w:t>
            </w: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1,500</w:t>
            </w:r>
          </w:p>
        </w:tc>
        <w:tc>
          <w:tcPr>
            <w:tcW w:w="78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668</w:t>
            </w:r>
          </w:p>
        </w:tc>
        <w:tc>
          <w:tcPr>
            <w:tcW w:w="92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439</w:t>
            </w:r>
          </w:p>
        </w:tc>
        <w:tc>
          <w:tcPr>
            <w:tcW w:w="6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434</w:t>
            </w:r>
          </w:p>
        </w:tc>
        <w:tc>
          <w:tcPr>
            <w:tcW w:w="92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3,041</w:t>
            </w:r>
          </w:p>
        </w:tc>
        <w:tc>
          <w:tcPr>
            <w:tcW w:w="58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4,665</w:t>
            </w:r>
          </w:p>
        </w:tc>
        <w:tc>
          <w:tcPr>
            <w:tcW w:w="34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1,989</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433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10</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4</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(30)</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(16)</w:t>
            </w: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384</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191</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(25)</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552</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536</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249</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4</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17</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1</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22</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13</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3</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17</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8</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16</w:t>
            </w:r>
          </w:p>
        </w:tc>
        <w:tc>
          <w:tcPr>
            <w:tcW w:w="30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33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(6)</w:t>
            </w:r>
          </w:p>
        </w:tc>
        <w:tc>
          <w:tcPr>
            <w:tcW w:w="66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(7)</w:t>
            </w: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(7)</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(73)</w:t>
            </w:r>
          </w:p>
        </w:tc>
        <w:tc>
          <w:tcPr>
            <w:tcW w:w="860" w:type="dxa"/>
            <w:vAlign w:val="bottom"/>
          </w:tcPr>
          <w:p>
            <w:pPr>
              <w:jc w:val="right"/>
              <w:ind w:right="229"/>
              <w:spacing w:after="0"/>
              <w:rPr>
                <w:sz w:val="20"/>
                <w:szCs w:val="20"/>
                <w:color w:val="auto"/>
              </w:rPr>
            </w:pPr>
            <w:r>
              <w:rPr>
                <w:rFonts w:ascii="Arial" w:cs="Arial" w:eastAsia="Arial" w:hAnsi="Arial"/>
                <w:sz w:val="10"/>
                <w:szCs w:val="10"/>
                <w:color w:val="auto"/>
              </w:rPr>
              <w:t>(32)</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(49)</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(154)</w:t>
            </w:r>
          </w:p>
        </w:tc>
        <w:tc>
          <w:tcPr>
            <w:tcW w:w="34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(121)</w:t>
            </w:r>
          </w:p>
        </w:tc>
        <w:tc>
          <w:tcPr>
            <w:tcW w:w="780" w:type="dxa"/>
            <w:vAlign w:val="bottom"/>
          </w:tcPr>
          <w:p>
            <w:pPr>
              <w:jc w:val="right"/>
              <w:ind w:right="169"/>
              <w:spacing w:after="0"/>
              <w:rPr>
                <w:sz w:val="20"/>
                <w:szCs w:val="20"/>
                <w:color w:val="auto"/>
              </w:rPr>
            </w:pPr>
            <w:r>
              <w:rPr>
                <w:rFonts w:ascii="Arial" w:cs="Arial" w:eastAsia="Arial" w:hAnsi="Arial"/>
                <w:sz w:val="10"/>
                <w:szCs w:val="10"/>
                <w:color w:val="auto"/>
              </w:rPr>
              <w:t>(110)</w:t>
            </w:r>
          </w:p>
        </w:tc>
        <w:tc>
          <w:tcPr>
            <w:tcW w:w="920" w:type="dxa"/>
            <w:vAlign w:val="bottom"/>
          </w:tcPr>
          <w:p>
            <w:pPr>
              <w:jc w:val="right"/>
              <w:ind w:right="229"/>
              <w:spacing w:after="0"/>
              <w:rPr>
                <w:sz w:val="20"/>
                <w:szCs w:val="20"/>
                <w:color w:val="auto"/>
              </w:rPr>
            </w:pPr>
            <w:r>
              <w:rPr>
                <w:rFonts w:ascii="Arial" w:cs="Arial" w:eastAsia="Arial" w:hAnsi="Arial"/>
                <w:sz w:val="10"/>
                <w:szCs w:val="10"/>
                <w:color w:val="auto"/>
              </w:rPr>
              <w:t>(66)</w:t>
            </w:r>
          </w:p>
        </w:tc>
        <w:tc>
          <w:tcPr>
            <w:tcW w:w="660" w:type="dxa"/>
            <w:vAlign w:val="bottom"/>
          </w:tcPr>
          <w:p>
            <w:pPr>
              <w:jc w:val="right"/>
              <w:ind w:right="89"/>
              <w:spacing w:after="0"/>
              <w:rPr>
                <w:sz w:val="20"/>
                <w:szCs w:val="20"/>
                <w:color w:val="auto"/>
              </w:rPr>
            </w:pPr>
            <w:r>
              <w:rPr>
                <w:rFonts w:ascii="Arial" w:cs="Arial" w:eastAsia="Arial" w:hAnsi="Arial"/>
                <w:sz w:val="10"/>
                <w:szCs w:val="10"/>
                <w:color w:val="auto"/>
              </w:rPr>
              <w:t>(69)</w:t>
            </w:r>
          </w:p>
        </w:tc>
        <w:tc>
          <w:tcPr>
            <w:tcW w:w="920" w:type="dxa"/>
            <w:vAlign w:val="bottom"/>
            <w:gridSpan w:val="2"/>
          </w:tcPr>
          <w:p>
            <w:pPr>
              <w:jc w:val="right"/>
              <w:ind w:right="260"/>
              <w:spacing w:after="0"/>
              <w:rPr>
                <w:sz w:val="20"/>
                <w:szCs w:val="20"/>
                <w:color w:val="auto"/>
              </w:rPr>
            </w:pPr>
            <w:r>
              <w:rPr>
                <w:rFonts w:ascii="Arial" w:cs="Arial" w:eastAsia="Arial" w:hAnsi="Arial"/>
                <w:sz w:val="10"/>
                <w:szCs w:val="10"/>
                <w:color w:val="auto"/>
              </w:rPr>
              <w:t>(366)</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(520)</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(62)</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21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Reserves at Dec. 31, 2008</w:t>
            </w:r>
            <w:r>
              <w:rPr>
                <w:rFonts w:ascii="Arial" w:cs="Arial" w:eastAsia="Arial" w:hAnsi="Arial"/>
                <w:sz w:val="8"/>
                <w:szCs w:val="8"/>
                <w:b w:val="1"/>
                <w:bCs w:val="1"/>
                <w:color w:val="0077C0"/>
              </w:rPr>
              <w:t>1,4</w:t>
            </w:r>
          </w:p>
        </w:tc>
        <w:tc>
          <w:tcPr>
            <w:tcW w:w="62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802</w:t>
            </w:r>
          </w:p>
        </w:tc>
        <w:tc>
          <w:tcPr>
            <w:tcW w:w="860" w:type="dxa"/>
            <w:vAlign w:val="bottom"/>
            <w:tcBorders>
              <w:top w:val="single" w:sz="8" w:color="0077C0"/>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286</w:t>
            </w:r>
          </w:p>
        </w:tc>
        <w:tc>
          <w:tcPr>
            <w:tcW w:w="66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382</w:t>
            </w: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1,470</w:t>
            </w:r>
          </w:p>
        </w:tc>
        <w:tc>
          <w:tcPr>
            <w:tcW w:w="12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1,385</w:t>
            </w:r>
          </w:p>
        </w:tc>
        <w:tc>
          <w:tcPr>
            <w:tcW w:w="78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962</w:t>
            </w:r>
          </w:p>
        </w:tc>
        <w:tc>
          <w:tcPr>
            <w:tcW w:w="920" w:type="dxa"/>
            <w:vAlign w:val="bottom"/>
            <w:tcBorders>
              <w:top w:val="single" w:sz="8" w:color="0077C0"/>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567</w:t>
            </w:r>
          </w:p>
        </w:tc>
        <w:tc>
          <w:tcPr>
            <w:tcW w:w="66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351</w:t>
            </w:r>
          </w:p>
        </w:tc>
        <w:tc>
          <w:tcPr>
            <w:tcW w:w="920" w:type="dxa"/>
            <w:vAlign w:val="bottom"/>
            <w:tcBorders>
              <w:top w:val="single" w:sz="8" w:color="0077C0"/>
              <w:bottom w:val="single" w:sz="8" w:color="0077C0"/>
            </w:tcBorders>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rPr>
              <w:t>3,265</w:t>
            </w:r>
          </w:p>
        </w:tc>
        <w:tc>
          <w:tcPr>
            <w:tcW w:w="580" w:type="dxa"/>
            <w:vAlign w:val="bottom"/>
            <w:tcBorders>
              <w:top w:val="single" w:sz="8" w:color="0077C0"/>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rPr>
              <w:t>4,735</w:t>
            </w:r>
          </w:p>
        </w:tc>
        <w:tc>
          <w:tcPr>
            <w:tcW w:w="34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2,176</w:t>
            </w:r>
          </w:p>
        </w:tc>
        <w:tc>
          <w:tcPr>
            <w:tcW w:w="4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439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80" w:type="dxa"/>
            <w:vAlign w:val="bottom"/>
            <w:gridSpan w:val="2"/>
          </w:tcPr>
          <w:p>
            <w:pPr>
              <w:spacing w:after="0"/>
              <w:rPr>
                <w:sz w:val="20"/>
                <w:szCs w:val="20"/>
                <w:color w:val="auto"/>
              </w:rPr>
            </w:pPr>
            <w:r>
              <w:rPr>
                <w:rFonts w:ascii="Arial" w:cs="Arial" w:eastAsia="Arial" w:hAnsi="Arial"/>
                <w:sz w:val="10"/>
                <w:szCs w:val="10"/>
                <w:b w:val="1"/>
                <w:bCs w:val="1"/>
                <w:color w:val="0077C0"/>
              </w:rPr>
              <w:t>Developed Reserves</w:t>
            </w:r>
            <w:r>
              <w:rPr>
                <w:rFonts w:ascii="Arial" w:cs="Arial" w:eastAsia="Arial" w:hAnsi="Arial"/>
                <w:sz w:val="8"/>
                <w:szCs w:val="8"/>
                <w:b w:val="1"/>
                <w:bCs w:val="1"/>
                <w:color w:val="0077C0"/>
              </w:rPr>
              <w:t>5</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ind w:left="80"/>
              <w:spacing w:after="0" w:line="92" w:lineRule="exact"/>
              <w:rPr>
                <w:sz w:val="20"/>
                <w:szCs w:val="20"/>
                <w:color w:val="auto"/>
              </w:rPr>
            </w:pPr>
            <w:r>
              <w:rPr>
                <w:rFonts w:ascii="Arial" w:cs="Arial" w:eastAsia="Arial" w:hAnsi="Arial"/>
                <w:sz w:val="10"/>
                <w:szCs w:val="10"/>
                <w:color w:val="auto"/>
              </w:rPr>
              <w:t>At Jan. 1, 2006</w:t>
            </w:r>
          </w:p>
        </w:tc>
        <w:tc>
          <w:tcPr>
            <w:tcW w:w="62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809</w:t>
            </w:r>
          </w:p>
        </w:tc>
        <w:tc>
          <w:tcPr>
            <w:tcW w:w="86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177</w:t>
            </w:r>
          </w:p>
        </w:tc>
        <w:tc>
          <w:tcPr>
            <w:tcW w:w="66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474</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1,460</w:t>
            </w: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945</w:t>
            </w:r>
          </w:p>
        </w:tc>
        <w:tc>
          <w:tcPr>
            <w:tcW w:w="78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534</w:t>
            </w:r>
          </w:p>
        </w:tc>
        <w:tc>
          <w:tcPr>
            <w:tcW w:w="92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439</w:t>
            </w:r>
          </w:p>
        </w:tc>
        <w:tc>
          <w:tcPr>
            <w:tcW w:w="66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416</w:t>
            </w:r>
          </w:p>
        </w:tc>
        <w:tc>
          <w:tcPr>
            <w:tcW w:w="92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2,334</w:t>
            </w:r>
          </w:p>
        </w:tc>
        <w:tc>
          <w:tcPr>
            <w:tcW w:w="58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3,794</w:t>
            </w:r>
          </w:p>
        </w:tc>
        <w:tc>
          <w:tcPr>
            <w:tcW w:w="34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1,611</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196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At Dec. 31, 2006</w:t>
            </w:r>
          </w:p>
        </w:tc>
        <w:tc>
          <w:tcPr>
            <w:tcW w:w="62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749</w:t>
            </w:r>
          </w:p>
        </w:tc>
        <w:tc>
          <w:tcPr>
            <w:tcW w:w="8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163</w:t>
            </w:r>
          </w:p>
        </w:tc>
        <w:tc>
          <w:tcPr>
            <w:tcW w:w="6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443</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1,355</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893</w:t>
            </w:r>
          </w:p>
        </w:tc>
        <w:tc>
          <w:tcPr>
            <w:tcW w:w="78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530</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426</w:t>
            </w:r>
          </w:p>
        </w:tc>
        <w:tc>
          <w:tcPr>
            <w:tcW w:w="66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349</w:t>
            </w:r>
          </w:p>
        </w:tc>
        <w:tc>
          <w:tcPr>
            <w:tcW w:w="92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2,198</w:t>
            </w:r>
          </w:p>
        </w:tc>
        <w:tc>
          <w:tcPr>
            <w:tcW w:w="5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3,553</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1,003</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60" w:type="dxa"/>
            <w:vAlign w:val="bottom"/>
          </w:tcPr>
          <w:p>
            <w:pPr>
              <w:ind w:left="80"/>
              <w:spacing w:after="0" w:line="104" w:lineRule="exact"/>
              <w:rPr>
                <w:sz w:val="20"/>
                <w:szCs w:val="20"/>
                <w:color w:val="auto"/>
              </w:rPr>
            </w:pPr>
            <w:r>
              <w:rPr>
                <w:rFonts w:ascii="Arial" w:cs="Arial" w:eastAsia="Arial" w:hAnsi="Arial"/>
                <w:sz w:val="10"/>
                <w:szCs w:val="10"/>
                <w:color w:val="auto"/>
              </w:rPr>
              <w:t>At Dec. 31, 2007</w:t>
            </w:r>
          </w:p>
        </w:tc>
        <w:tc>
          <w:tcPr>
            <w:tcW w:w="62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701</w:t>
            </w:r>
          </w:p>
        </w:tc>
        <w:tc>
          <w:tcPr>
            <w:tcW w:w="860" w:type="dxa"/>
            <w:vAlign w:val="bottom"/>
          </w:tcPr>
          <w:p>
            <w:pPr>
              <w:jc w:val="right"/>
              <w:ind w:right="269"/>
              <w:spacing w:after="0" w:line="104" w:lineRule="exact"/>
              <w:rPr>
                <w:sz w:val="20"/>
                <w:szCs w:val="20"/>
                <w:color w:val="auto"/>
              </w:rPr>
            </w:pPr>
            <w:r>
              <w:rPr>
                <w:rFonts w:ascii="Arial" w:cs="Arial" w:eastAsia="Arial" w:hAnsi="Arial"/>
                <w:sz w:val="10"/>
                <w:szCs w:val="10"/>
                <w:color w:val="auto"/>
              </w:rPr>
              <w:t>136</w:t>
            </w:r>
          </w:p>
        </w:tc>
        <w:tc>
          <w:tcPr>
            <w:tcW w:w="6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401</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1,238</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229"/>
              <w:spacing w:after="0" w:line="104" w:lineRule="exact"/>
              <w:rPr>
                <w:sz w:val="20"/>
                <w:szCs w:val="20"/>
                <w:color w:val="auto"/>
              </w:rPr>
            </w:pPr>
            <w:r>
              <w:rPr>
                <w:rFonts w:ascii="Arial" w:cs="Arial" w:eastAsia="Arial" w:hAnsi="Arial"/>
                <w:sz w:val="10"/>
                <w:szCs w:val="10"/>
                <w:color w:val="auto"/>
              </w:rPr>
              <w:t>758</w:t>
            </w:r>
          </w:p>
        </w:tc>
        <w:tc>
          <w:tcPr>
            <w:tcW w:w="78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422</w:t>
            </w:r>
          </w:p>
        </w:tc>
        <w:tc>
          <w:tcPr>
            <w:tcW w:w="920" w:type="dxa"/>
            <w:vAlign w:val="bottom"/>
          </w:tcPr>
          <w:p>
            <w:pPr>
              <w:jc w:val="right"/>
              <w:ind w:right="269"/>
              <w:spacing w:after="0" w:line="104" w:lineRule="exact"/>
              <w:rPr>
                <w:sz w:val="20"/>
                <w:szCs w:val="20"/>
                <w:color w:val="auto"/>
              </w:rPr>
            </w:pPr>
            <w:r>
              <w:rPr>
                <w:rFonts w:ascii="Arial" w:cs="Arial" w:eastAsia="Arial" w:hAnsi="Arial"/>
                <w:sz w:val="10"/>
                <w:szCs w:val="10"/>
                <w:color w:val="auto"/>
              </w:rPr>
              <w:t>363</w:t>
            </w:r>
          </w:p>
        </w:tc>
        <w:tc>
          <w:tcPr>
            <w:tcW w:w="66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305</w:t>
            </w:r>
          </w:p>
        </w:tc>
        <w:tc>
          <w:tcPr>
            <w:tcW w:w="920" w:type="dxa"/>
            <w:vAlign w:val="bottom"/>
            <w:gridSpan w:val="2"/>
          </w:tcPr>
          <w:p>
            <w:pPr>
              <w:jc w:val="right"/>
              <w:ind w:right="300"/>
              <w:spacing w:after="0" w:line="104" w:lineRule="exact"/>
              <w:rPr>
                <w:sz w:val="20"/>
                <w:szCs w:val="20"/>
                <w:color w:val="auto"/>
              </w:rPr>
            </w:pPr>
            <w:r>
              <w:rPr>
                <w:rFonts w:ascii="Arial" w:cs="Arial" w:eastAsia="Arial" w:hAnsi="Arial"/>
                <w:sz w:val="10"/>
                <w:szCs w:val="10"/>
                <w:color w:val="auto"/>
              </w:rPr>
              <w:t>1,848</w:t>
            </w:r>
          </w:p>
        </w:tc>
        <w:tc>
          <w:tcPr>
            <w:tcW w:w="580" w:type="dxa"/>
            <w:vAlign w:val="bottom"/>
            <w:gridSpan w:val="2"/>
          </w:tcPr>
          <w:p>
            <w:pPr>
              <w:jc w:val="right"/>
              <w:ind w:right="100"/>
              <w:spacing w:after="0" w:line="104" w:lineRule="exact"/>
              <w:rPr>
                <w:sz w:val="20"/>
                <w:szCs w:val="20"/>
                <w:color w:val="auto"/>
              </w:rPr>
            </w:pPr>
            <w:r>
              <w:rPr>
                <w:rFonts w:ascii="Arial" w:cs="Arial" w:eastAsia="Arial" w:hAnsi="Arial"/>
                <w:sz w:val="10"/>
                <w:szCs w:val="10"/>
                <w:color w:val="auto"/>
              </w:rPr>
              <w:t>3,086</w:t>
            </w:r>
          </w:p>
        </w:tc>
        <w:tc>
          <w:tcPr>
            <w:tcW w:w="340" w:type="dxa"/>
            <w:vAlign w:val="bottom"/>
          </w:tcPr>
          <w:p>
            <w:pPr>
              <w:spacing w:after="0"/>
              <w:rPr>
                <w:sz w:val="9"/>
                <w:szCs w:val="9"/>
                <w:color w:val="auto"/>
              </w:rPr>
            </w:pPr>
          </w:p>
        </w:tc>
        <w:tc>
          <w:tcPr>
            <w:tcW w:w="620" w:type="dxa"/>
            <w:vAlign w:val="bottom"/>
          </w:tcPr>
          <w:p>
            <w:pPr>
              <w:jc w:val="right"/>
              <w:ind w:right="229"/>
              <w:spacing w:after="0" w:line="104" w:lineRule="exact"/>
              <w:rPr>
                <w:sz w:val="20"/>
                <w:szCs w:val="20"/>
                <w:color w:val="auto"/>
              </w:rPr>
            </w:pPr>
            <w:r>
              <w:rPr>
                <w:rFonts w:ascii="Arial" w:cs="Arial" w:eastAsia="Arial" w:hAnsi="Arial"/>
                <w:sz w:val="10"/>
                <w:szCs w:val="10"/>
                <w:color w:val="auto"/>
              </w:rPr>
              <w:t>1,273</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263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At Dec. 31, 2008</w:t>
            </w:r>
          </w:p>
        </w:tc>
        <w:tc>
          <w:tcPr>
            <w:tcW w:w="62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b w:val="1"/>
                <w:bCs w:val="1"/>
                <w:color w:val="auto"/>
              </w:rPr>
              <w:t>679</w:t>
            </w:r>
          </w:p>
        </w:tc>
        <w:tc>
          <w:tcPr>
            <w:tcW w:w="86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140</w:t>
            </w:r>
          </w:p>
        </w:tc>
        <w:tc>
          <w:tcPr>
            <w:tcW w:w="6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339</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1,158</w:t>
            </w:r>
          </w:p>
        </w:tc>
        <w:tc>
          <w:tcPr>
            <w:tcW w:w="120" w:type="dxa"/>
            <w:vAlign w:val="bottom"/>
            <w:tcBorders>
              <w:bottom w:val="single" w:sz="8" w:color="0077C0"/>
            </w:tcBorders>
          </w:tcPr>
          <w:p>
            <w:pPr>
              <w:spacing w:after="0"/>
              <w:rPr>
                <w:sz w:val="11"/>
                <w:szCs w:val="11"/>
                <w:color w:val="auto"/>
              </w:rPr>
            </w:pPr>
          </w:p>
        </w:tc>
        <w:tc>
          <w:tcPr>
            <w:tcW w:w="340" w:type="dxa"/>
            <w:vAlign w:val="bottom"/>
            <w:tcBorders>
              <w:bottom w:val="single" w:sz="8" w:color="0077C0"/>
            </w:tcBorders>
          </w:tcPr>
          <w:p>
            <w:pPr>
              <w:spacing w:after="0"/>
              <w:rPr>
                <w:sz w:val="11"/>
                <w:szCs w:val="11"/>
                <w:color w:val="auto"/>
              </w:rPr>
            </w:pPr>
          </w:p>
        </w:tc>
        <w:tc>
          <w:tcPr>
            <w:tcW w:w="640" w:type="dxa"/>
            <w:vAlign w:val="bottom"/>
            <w:tcBorders>
              <w:bottom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789</w:t>
            </w:r>
          </w:p>
        </w:tc>
        <w:tc>
          <w:tcPr>
            <w:tcW w:w="78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b w:val="1"/>
                <w:bCs w:val="1"/>
                <w:color w:val="auto"/>
              </w:rPr>
              <w:t>666</w:t>
            </w:r>
          </w:p>
        </w:tc>
        <w:tc>
          <w:tcPr>
            <w:tcW w:w="920" w:type="dxa"/>
            <w:vAlign w:val="bottom"/>
            <w:tcBorders>
              <w:bottom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474</w:t>
            </w:r>
          </w:p>
        </w:tc>
        <w:tc>
          <w:tcPr>
            <w:tcW w:w="66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249</w:t>
            </w:r>
          </w:p>
        </w:tc>
        <w:tc>
          <w:tcPr>
            <w:tcW w:w="920" w:type="dxa"/>
            <w:vAlign w:val="bottom"/>
            <w:tcBorders>
              <w:bottom w:val="single" w:sz="8" w:color="0077C0"/>
            </w:tcBorders>
            <w:gridSpan w:val="2"/>
          </w:tcPr>
          <w:p>
            <w:pPr>
              <w:jc w:val="right"/>
              <w:ind w:right="300"/>
              <w:spacing w:after="0"/>
              <w:rPr>
                <w:sz w:val="20"/>
                <w:szCs w:val="20"/>
                <w:color w:val="auto"/>
              </w:rPr>
            </w:pPr>
            <w:r>
              <w:rPr>
                <w:rFonts w:ascii="Arial" w:cs="Arial" w:eastAsia="Arial" w:hAnsi="Arial"/>
                <w:sz w:val="10"/>
                <w:szCs w:val="10"/>
                <w:b w:val="1"/>
                <w:bCs w:val="1"/>
                <w:color w:val="auto"/>
              </w:rPr>
              <w:t>2,178</w:t>
            </w:r>
          </w:p>
        </w:tc>
        <w:tc>
          <w:tcPr>
            <w:tcW w:w="58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0"/>
                <w:szCs w:val="10"/>
                <w:b w:val="1"/>
                <w:bCs w:val="1"/>
                <w:color w:val="auto"/>
              </w:rPr>
              <w:t>3,336</w:t>
            </w:r>
          </w:p>
        </w:tc>
        <w:tc>
          <w:tcPr>
            <w:tcW w:w="34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1,369</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20" w:right="460" w:hanging="151"/>
        <w:spacing w:after="0" w:line="235" w:lineRule="auto"/>
        <w:tabs>
          <w:tab w:leader="none" w:pos="220" w:val="left"/>
        </w:tabs>
        <w:numPr>
          <w:ilvl w:val="0"/>
          <w:numId w:val="60"/>
        </w:numPr>
        <w:rPr>
          <w:rFonts w:ascii="Arial" w:cs="Arial" w:eastAsia="Arial" w:hAnsi="Arial"/>
          <w:sz w:val="9"/>
          <w:szCs w:val="9"/>
          <w:color w:val="auto"/>
        </w:rPr>
      </w:pPr>
      <w:r>
        <w:rPr>
          <w:rFonts w:ascii="Arial" w:cs="Arial" w:eastAsia="Arial" w:hAnsi="Arial"/>
          <w:sz w:val="10"/>
          <w:szCs w:val="10"/>
          <w:color w:val="auto"/>
        </w:rPr>
        <w:t>Included are year-end reserve quantities related to production-sharing contracts (PSC) (refer to page E-146 for the definition of a PSC). PSC-related reserve quantities are 32 percent, 26 percent and 30 percent for consolidated companies for 2008, 2007 and 2006, respectively.</w:t>
      </w:r>
    </w:p>
    <w:p>
      <w:pPr>
        <w:spacing w:after="0" w:line="1" w:lineRule="exact"/>
        <w:rPr>
          <w:sz w:val="20"/>
          <w:szCs w:val="20"/>
          <w:color w:val="auto"/>
        </w:rPr>
      </w:pPr>
    </w:p>
    <w:p>
      <w:pPr>
        <w:ind w:left="220" w:hanging="151"/>
        <w:spacing w:after="0"/>
        <w:tabs>
          <w:tab w:leader="none" w:pos="220" w:val="left"/>
        </w:tabs>
        <w:numPr>
          <w:ilvl w:val="0"/>
          <w:numId w:val="61"/>
        </w:numPr>
        <w:rPr>
          <w:rFonts w:ascii="Arial" w:cs="Arial" w:eastAsia="Arial" w:hAnsi="Arial"/>
          <w:sz w:val="9"/>
          <w:szCs w:val="9"/>
          <w:color w:val="auto"/>
        </w:rPr>
      </w:pPr>
      <w:r>
        <w:rPr>
          <w:rFonts w:ascii="Arial" w:cs="Arial" w:eastAsia="Arial" w:hAnsi="Arial"/>
          <w:sz w:val="10"/>
          <w:szCs w:val="10"/>
          <w:color w:val="auto"/>
        </w:rPr>
        <w:t>Includes reserves acquired through nonmonetary transactions.</w:t>
      </w:r>
    </w:p>
    <w:p>
      <w:pPr>
        <w:ind w:left="220" w:hanging="151"/>
        <w:spacing w:after="0"/>
        <w:tabs>
          <w:tab w:leader="none" w:pos="220" w:val="left"/>
        </w:tabs>
        <w:numPr>
          <w:ilvl w:val="0"/>
          <w:numId w:val="62"/>
        </w:numPr>
        <w:rPr>
          <w:rFonts w:ascii="Arial" w:cs="Arial" w:eastAsia="Arial" w:hAnsi="Arial"/>
          <w:sz w:val="9"/>
          <w:szCs w:val="9"/>
          <w:color w:val="auto"/>
        </w:rPr>
      </w:pPr>
      <w:r>
        <w:rPr>
          <w:rFonts w:ascii="Arial" w:cs="Arial" w:eastAsia="Arial" w:hAnsi="Arial"/>
          <w:sz w:val="10"/>
          <w:szCs w:val="10"/>
          <w:color w:val="auto"/>
        </w:rPr>
        <w:t>Includes reserves disposed of through nonmonetary transactions.</w:t>
      </w:r>
    </w:p>
    <w:p>
      <w:pPr>
        <w:ind w:left="220" w:right="220" w:hanging="151"/>
        <w:spacing w:after="0" w:line="230" w:lineRule="auto"/>
        <w:tabs>
          <w:tab w:leader="none" w:pos="220" w:val="left"/>
        </w:tabs>
        <w:numPr>
          <w:ilvl w:val="0"/>
          <w:numId w:val="63"/>
        </w:numPr>
        <w:rPr>
          <w:rFonts w:ascii="Arial" w:cs="Arial" w:eastAsia="Arial" w:hAnsi="Arial"/>
          <w:sz w:val="9"/>
          <w:szCs w:val="9"/>
          <w:color w:val="auto"/>
        </w:rPr>
      </w:pPr>
      <w:r>
        <w:rPr>
          <w:rFonts w:ascii="Arial" w:cs="Arial" w:eastAsia="Arial" w:hAnsi="Arial"/>
          <w:sz w:val="10"/>
          <w:szCs w:val="10"/>
          <w:color w:val="auto"/>
        </w:rPr>
        <w:t>Net reserve changes (excluding production) in 2008 consist of 770 million barrels of developed reserves and (180) million barrels of undeveloped reserves for consolidated companies and 180 million barrels of developed reserves and 97 million barrels of undeveloped reserves for affiliated companies.</w:t>
      </w:r>
    </w:p>
    <w:p>
      <w:pPr>
        <w:spacing w:after="0" w:line="1" w:lineRule="exact"/>
        <w:rPr>
          <w:sz w:val="20"/>
          <w:szCs w:val="20"/>
          <w:color w:val="auto"/>
        </w:rPr>
      </w:pPr>
    </w:p>
    <w:p>
      <w:pPr>
        <w:ind w:left="220" w:hanging="151"/>
        <w:spacing w:after="0"/>
        <w:tabs>
          <w:tab w:leader="none" w:pos="220" w:val="left"/>
        </w:tabs>
        <w:numPr>
          <w:ilvl w:val="0"/>
          <w:numId w:val="64"/>
        </w:numPr>
        <w:rPr>
          <w:rFonts w:ascii="Arial" w:cs="Arial" w:eastAsia="Arial" w:hAnsi="Arial"/>
          <w:sz w:val="9"/>
          <w:szCs w:val="9"/>
          <w:color w:val="auto"/>
        </w:rPr>
      </w:pPr>
      <w:r>
        <w:rPr>
          <w:rFonts w:ascii="Arial" w:cs="Arial" w:eastAsia="Arial" w:hAnsi="Arial"/>
          <w:sz w:val="10"/>
          <w:szCs w:val="10"/>
          <w:color w:val="auto"/>
        </w:rPr>
        <w:t>During 2008, the percentages of undeveloped reserves at December 31, 2007, transferred to developed reserves were 18 percent and 2 percent for consolidated companies and affiliated companies,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color w:val="auto"/>
        </w:rPr>
        <w:t>Information on Canadian Oil Sands Net Proved Reserves Not Included Above:</w:t>
      </w:r>
    </w:p>
    <w:p>
      <w:pPr>
        <w:spacing w:after="0" w:line="90" w:lineRule="exact"/>
        <w:rPr>
          <w:sz w:val="20"/>
          <w:szCs w:val="20"/>
          <w:color w:val="auto"/>
        </w:rPr>
      </w:pPr>
    </w:p>
    <w:p>
      <w:pPr>
        <w:spacing w:after="0" w:line="228" w:lineRule="auto"/>
        <w:rPr>
          <w:sz w:val="20"/>
          <w:szCs w:val="20"/>
          <w:color w:val="auto"/>
        </w:rPr>
      </w:pPr>
      <w:r>
        <w:rPr>
          <w:rFonts w:ascii="Arial" w:cs="Arial" w:eastAsia="Arial" w:hAnsi="Arial"/>
          <w:sz w:val="10"/>
          <w:szCs w:val="10"/>
          <w:color w:val="auto"/>
        </w:rPr>
        <w:t xml:space="preserve">In addition to conventional liquids and natural gas proved reserves, Chevron has a 20 percent nonoperated working interest in the Athabasca oil-sands project in Canada. As of year-end 2008, SEC regulations defined oil-sands reserves as mining-related and not a part of conventional oil and gas reserves. Net proved oil-sands reserves were 436 million and 443 million as of December 31, 2007 and 2006, respectively. The oil-sands quantities were not classified as proved reserves at the end of 2008 because under the provisions of SEC Industry Guide 7, </w:t>
      </w:r>
      <w:r>
        <w:rPr>
          <w:rFonts w:ascii="Arial" w:cs="Arial" w:eastAsia="Arial" w:hAnsi="Arial"/>
          <w:sz w:val="10"/>
          <w:szCs w:val="10"/>
          <w:i w:val="1"/>
          <w:iCs w:val="1"/>
          <w:color w:val="auto"/>
        </w:rPr>
        <w:t>Description of Property by Issuers Engaged or to Be Engaged in Significant Mining Operations,</w:t>
      </w:r>
      <w:r>
        <w:rPr>
          <w:rFonts w:ascii="Arial" w:cs="Arial" w:eastAsia="Arial" w:hAnsi="Arial"/>
          <w:sz w:val="10"/>
          <w:szCs w:val="10"/>
          <w:color w:val="auto"/>
        </w:rPr>
        <w:t xml:space="preserve"> a mineral deposit must be economically producible at the time of the reserve determination in order to be classified as proved. Due to the decline in crude-oil prices at the end of 2008, the operating costs of the Athabasca project exceeded the revenues from crude-oil sales at that time. The inability to classify the oil-sands volumes as proved at the end of 2008 did not affect the daily operations of the Athabasca project nor the activities under way to expand those operations. During 2008, bitumen production for the project averaged 126,000 barrels per day (27,000 net). The expansion project is designed to increase production capacity to 255,000 barrels per day in late 2010. The oil-sands proved reserves for 2007 and 2006 are not included in the standardized measure of discounted future net cash flows for conventional oil and gas reserves on page FS-73.</w:t>
      </w:r>
    </w:p>
    <w:p>
      <w:pPr>
        <w:sectPr>
          <w:pgSz w:w="11900" w:h="16838" w:orient="portrait"/>
          <w:cols w:equalWidth="0" w:num="1">
            <w:col w:w="11420"/>
          </w:cols>
          <w:pgMar w:left="220" w:top="339" w:right="259" w:bottom="1440" w:gutter="0" w:footer="0" w:header="0"/>
        </w:sectPr>
      </w:pPr>
    </w:p>
    <w:p>
      <w:pPr>
        <w:spacing w:after="0" w:line="261" w:lineRule="exact"/>
        <w:rPr>
          <w:sz w:val="20"/>
          <w:szCs w:val="20"/>
          <w:color w:val="auto"/>
        </w:rPr>
      </w:pPr>
    </w:p>
    <w:p>
      <w:pPr>
        <w:ind w:right="240" w:firstLine="160"/>
        <w:spacing w:after="0" w:line="267" w:lineRule="auto"/>
        <w:rPr>
          <w:sz w:val="20"/>
          <w:szCs w:val="20"/>
          <w:color w:val="auto"/>
        </w:rPr>
      </w:pPr>
      <w:r>
        <w:rPr>
          <w:rFonts w:ascii="Arial" w:cs="Arial" w:eastAsia="Arial" w:hAnsi="Arial"/>
          <w:sz w:val="13"/>
          <w:szCs w:val="13"/>
          <w:color w:val="auto"/>
        </w:rPr>
        <w:t>Noteworthy amounts in the categories of liquids proved-reserve changes for 2006 through 2008 are discussed below:</w:t>
      </w:r>
    </w:p>
    <w:p>
      <w:pPr>
        <w:spacing w:after="0" w:line="100" w:lineRule="exact"/>
        <w:rPr>
          <w:sz w:val="20"/>
          <w:szCs w:val="20"/>
          <w:color w:val="auto"/>
        </w:rPr>
      </w:pPr>
    </w:p>
    <w:p>
      <w:pPr>
        <w:jc w:val="both"/>
        <w:ind w:firstLine="160"/>
        <w:spacing w:after="0" w:line="325" w:lineRule="auto"/>
        <w:rPr>
          <w:sz w:val="20"/>
          <w:szCs w:val="20"/>
          <w:color w:val="auto"/>
        </w:rPr>
      </w:pPr>
      <w:r>
        <w:rPr>
          <w:rFonts w:ascii="Arial" w:cs="Arial" w:eastAsia="Arial" w:hAnsi="Arial"/>
          <w:sz w:val="11"/>
          <w:szCs w:val="11"/>
          <w:i w:val="1"/>
          <w:iCs w:val="1"/>
          <w:color w:val="E51837"/>
        </w:rPr>
        <w:t xml:space="preserve">Revisions </w:t>
      </w:r>
      <w:r>
        <w:rPr>
          <w:rFonts w:ascii="Arial" w:cs="Arial" w:eastAsia="Arial" w:hAnsi="Arial"/>
          <w:sz w:val="11"/>
          <w:szCs w:val="11"/>
          <w:color w:val="000000"/>
        </w:rPr>
        <w:t>In 2006, net revisions increased reserves by 39 million and 84 million barrels for worldwide</w:t>
      </w:r>
      <w:r>
        <w:rPr>
          <w:rFonts w:ascii="Arial" w:cs="Arial" w:eastAsia="Arial" w:hAnsi="Arial"/>
          <w:sz w:val="11"/>
          <w:szCs w:val="11"/>
          <w:i w:val="1"/>
          <w:iCs w:val="1"/>
          <w:color w:val="E51837"/>
        </w:rPr>
        <w:t xml:space="preserve"> </w:t>
      </w:r>
      <w:r>
        <w:rPr>
          <w:rFonts w:ascii="Arial" w:cs="Arial" w:eastAsia="Arial" w:hAnsi="Arial"/>
          <w:sz w:val="11"/>
          <w:szCs w:val="11"/>
          <w:color w:val="000000"/>
        </w:rPr>
        <w:t>consolidated companies and equity affiliates, respectively. International consolidated companies accounted for the net increase of 39 million barrels. The largest upward net revisions were 61 mil-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00"/>
        <w:spacing w:after="0" w:line="267" w:lineRule="auto"/>
        <w:rPr>
          <w:sz w:val="20"/>
          <w:szCs w:val="20"/>
          <w:color w:val="auto"/>
        </w:rPr>
      </w:pPr>
      <w:r>
        <w:rPr>
          <w:rFonts w:ascii="Arial" w:cs="Arial" w:eastAsia="Arial" w:hAnsi="Arial"/>
          <w:sz w:val="13"/>
          <w:szCs w:val="13"/>
          <w:color w:val="auto"/>
        </w:rPr>
        <w:t>lion barrels in Indonesia and 27 million barrels in Thailand. In Indonesia, the increase was the result of infill drilling and improved steamflood and waterflood performance.</w:t>
      </w:r>
    </w:p>
    <w:p>
      <w:pPr>
        <w:spacing w:after="0" w:line="100" w:lineRule="exact"/>
        <w:rPr>
          <w:sz w:val="20"/>
          <w:szCs w:val="20"/>
          <w:color w:val="auto"/>
        </w:rPr>
      </w:pPr>
    </w:p>
    <w:p>
      <w:pPr>
        <w:ind w:firstLine="160"/>
        <w:spacing w:after="0" w:line="256" w:lineRule="auto"/>
        <w:rPr>
          <w:sz w:val="20"/>
          <w:szCs w:val="20"/>
          <w:color w:val="auto"/>
        </w:rPr>
      </w:pPr>
      <w:r>
        <w:rPr>
          <w:rFonts w:ascii="Arial" w:cs="Arial" w:eastAsia="Arial" w:hAnsi="Arial"/>
          <w:sz w:val="13"/>
          <w:szCs w:val="13"/>
          <w:color w:val="auto"/>
        </w:rPr>
        <w:t>In Africa, the decrease was mainly based on field performance data for fields in Nigeria and the effect of higher year-end prices in Angola and Republic of the Congo. In Indonesia, the decline also reflected the impact of higher</w:t>
      </w:r>
    </w:p>
    <w:p>
      <w:pPr>
        <w:spacing w:after="0" w:line="235" w:lineRule="exact"/>
        <w:rPr>
          <w:sz w:val="20"/>
          <w:szCs w:val="20"/>
          <w:color w:val="auto"/>
        </w:rPr>
      </w:pPr>
    </w:p>
    <w:p>
      <w:pPr>
        <w:sectPr>
          <w:pgSz w:w="11900" w:h="16838" w:orient="portrait"/>
          <w:cols w:equalWidth="0" w:num="2">
            <w:col w:w="5480" w:space="480"/>
            <w:col w:w="5460"/>
          </w:cols>
          <w:pgMar w:left="220" w:top="339" w:right="259" w:bottom="1440" w:gutter="0" w:footer="0" w:header="0"/>
          <w:type w:val="continuous"/>
        </w:sectPr>
      </w:pP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9" w:right="259" w:bottom="1440" w:gutter="0" w:footer="0" w:header="0"/>
          <w:type w:val="continuous"/>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5990" cy="4819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5990" cy="48196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Supplemental Information on Oil and Gas Producing Activities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ectPr>
          <w:pgSz w:w="11900" w:h="16838" w:orient="portrait"/>
          <w:cols w:equalWidth="0" w:num="1">
            <w:col w:w="11440"/>
          </w:cols>
          <w:pgMar w:left="220" w:top="338" w:right="239" w:bottom="1440" w:gutter="0" w:footer="0" w:header="0"/>
        </w:sectPr>
      </w:pPr>
    </w:p>
    <w:p>
      <w:pPr>
        <w:spacing w:after="0" w:line="385" w:lineRule="exact"/>
        <w:rPr>
          <w:sz w:val="20"/>
          <w:szCs w:val="20"/>
          <w:color w:val="auto"/>
        </w:rPr>
      </w:pPr>
    </w:p>
    <w:p>
      <w:pPr>
        <w:spacing w:after="0" w:line="314" w:lineRule="auto"/>
        <w:rPr>
          <w:sz w:val="20"/>
          <w:szCs w:val="20"/>
          <w:color w:val="auto"/>
        </w:rPr>
      </w:pPr>
      <w:r>
        <w:rPr>
          <w:rFonts w:ascii="Arial" w:cs="Arial" w:eastAsia="Arial" w:hAnsi="Arial"/>
          <w:sz w:val="11"/>
          <w:szCs w:val="11"/>
          <w:color w:val="auto"/>
        </w:rPr>
        <w:t>year-end prices. Higher prices also resulted in downward revisions in Karachaganak and Azerbaijan. For equity affiliates, most of the upward revision was related to a 92 million-barrel increase for TCO’s Tengiz Field and an 11 million-barrel increase for Petroboscan in Venezuela, both as a result of improved reservoir performance. At TCO, the upward revision was tempered by the negative impact of higher year-end prices.</w:t>
      </w:r>
    </w:p>
    <w:p>
      <w:pPr>
        <w:spacing w:after="0" w:line="78" w:lineRule="exact"/>
        <w:rPr>
          <w:sz w:val="20"/>
          <w:szCs w:val="20"/>
          <w:color w:val="auto"/>
        </w:rPr>
      </w:pPr>
    </w:p>
    <w:p>
      <w:pPr>
        <w:ind w:right="40" w:firstLine="160"/>
        <w:spacing w:after="0" w:line="293" w:lineRule="auto"/>
        <w:rPr>
          <w:sz w:val="20"/>
          <w:szCs w:val="20"/>
          <w:color w:val="auto"/>
        </w:rPr>
      </w:pPr>
      <w:r>
        <w:rPr>
          <w:rFonts w:ascii="Arial" w:cs="Arial" w:eastAsia="Arial" w:hAnsi="Arial"/>
          <w:sz w:val="11"/>
          <w:szCs w:val="11"/>
          <w:color w:val="auto"/>
        </w:rPr>
        <w:t>In 2008, net revisions increased reserves by 536 million barrels for worldwide consolidated companies and increased reserves by 267 million barrels for equity affiliates. For consolidated companies, international areas added 552 million barrels. The largest increase was in the Asia-Pacific region, which added 384 million barrels. The majority of the increase was in the Partitioned Neutral Zone as a result of a concession extension. Upward revisions were also recorded in Kazakhstan and Azerbaijan and were mainly associated with the effect of lower year-end prices on the calculation of reserves associated with production-sharing and variable-royalty contracts. In Indonesia, reserves increased 191 million barrels due mainly to the impact of lower year-end prices on the reserve calculations for production-sharing contracts, as well as a result of development drilling and improved waterflood and steamflood performance. For affiliate companies, the 249 million-barrel increase for TCO was due to the effect of lower year-end prices on the royalty determination and facility optimization at the Tengiz and Korolev fields.</w:t>
      </w:r>
    </w:p>
    <w:p>
      <w:pPr>
        <w:spacing w:after="0" w:line="1" w:lineRule="exact"/>
        <w:rPr>
          <w:sz w:val="20"/>
          <w:szCs w:val="20"/>
          <w:color w:val="auto"/>
        </w:rPr>
      </w:pPr>
    </w:p>
    <w:p>
      <w:pPr>
        <w:ind w:right="160" w:firstLine="160"/>
        <w:spacing w:after="0" w:line="267" w:lineRule="auto"/>
        <w:rPr>
          <w:sz w:val="20"/>
          <w:szCs w:val="20"/>
          <w:color w:val="auto"/>
        </w:rPr>
      </w:pPr>
      <w:r>
        <w:rPr>
          <w:rFonts w:ascii="Arial" w:cs="Arial" w:eastAsia="Arial" w:hAnsi="Arial"/>
          <w:sz w:val="12"/>
          <w:szCs w:val="12"/>
          <w:i w:val="1"/>
          <w:iCs w:val="1"/>
          <w:color w:val="E51837"/>
        </w:rPr>
        <w:t xml:space="preserve">Improved Recovery </w:t>
      </w:r>
      <w:r>
        <w:rPr>
          <w:rFonts w:ascii="Arial" w:cs="Arial" w:eastAsia="Arial" w:hAnsi="Arial"/>
          <w:sz w:val="12"/>
          <w:szCs w:val="12"/>
          <w:color w:val="000000"/>
        </w:rPr>
        <w:t>In 2006, improved recovery increased liquids volumes worldwide by 83 million</w:t>
      </w:r>
      <w:r>
        <w:rPr>
          <w:rFonts w:ascii="Arial" w:cs="Arial" w:eastAsia="Arial" w:hAnsi="Arial"/>
          <w:sz w:val="12"/>
          <w:szCs w:val="12"/>
          <w:i w:val="1"/>
          <w:iCs w:val="1"/>
          <w:color w:val="E51837"/>
        </w:rPr>
        <w:t xml:space="preserve"> </w:t>
      </w:r>
      <w:r>
        <w:rPr>
          <w:rFonts w:ascii="Arial" w:cs="Arial" w:eastAsia="Arial" w:hAnsi="Arial"/>
          <w:sz w:val="12"/>
          <w:szCs w:val="12"/>
          <w:color w:val="000000"/>
        </w:rPr>
        <w:t>barrels for consolidated companies. Reserves in the United States increased 52 million barrels, with California representing 49 million barrels of the total increase due to steamflood expansion and revised modeling activities. Internationally, improved recovery increased reserves by 31 million barrels, with no single country accounting for an increase of more than 10 million barrels.</w:t>
      </w:r>
    </w:p>
    <w:p>
      <w:pPr>
        <w:spacing w:after="0" w:line="1" w:lineRule="exact"/>
        <w:rPr>
          <w:sz w:val="20"/>
          <w:szCs w:val="20"/>
          <w:color w:val="auto"/>
        </w:rPr>
      </w:pPr>
    </w:p>
    <w:p>
      <w:pPr>
        <w:ind w:right="200" w:firstLine="160"/>
        <w:spacing w:after="0" w:line="246" w:lineRule="auto"/>
        <w:rPr>
          <w:sz w:val="20"/>
          <w:szCs w:val="20"/>
          <w:color w:val="auto"/>
        </w:rPr>
      </w:pPr>
      <w:r>
        <w:rPr>
          <w:rFonts w:ascii="Arial" w:cs="Arial" w:eastAsia="Arial" w:hAnsi="Arial"/>
          <w:sz w:val="13"/>
          <w:szCs w:val="13"/>
          <w:color w:val="auto"/>
        </w:rPr>
        <w:t>In 2007, improved recovery increased liquids volumes by 20 million barrels worldwide. No addition was individually significant.</w:t>
      </w:r>
    </w:p>
    <w:p>
      <w:pPr>
        <w:spacing w:after="0" w:line="1" w:lineRule="exact"/>
        <w:rPr>
          <w:sz w:val="20"/>
          <w:szCs w:val="20"/>
          <w:color w:val="auto"/>
        </w:rPr>
      </w:pPr>
    </w:p>
    <w:p>
      <w:pPr>
        <w:ind w:right="140" w:firstLine="160"/>
        <w:spacing w:after="0" w:line="250" w:lineRule="auto"/>
        <w:rPr>
          <w:sz w:val="20"/>
          <w:szCs w:val="20"/>
          <w:color w:val="auto"/>
        </w:rPr>
      </w:pPr>
      <w:r>
        <w:rPr>
          <w:rFonts w:ascii="Arial" w:cs="Arial" w:eastAsia="Arial" w:hAnsi="Arial"/>
          <w:sz w:val="13"/>
          <w:szCs w:val="13"/>
          <w:color w:val="auto"/>
        </w:rPr>
        <w:t>In 2008, improved recovery increased worldwide liquids volumes by 37 million barrels. International consolidated companies accounted for 22 million barrels and the United States accounted for 5 million barrels. The largest addition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180"/>
        <w:spacing w:after="0" w:line="267" w:lineRule="auto"/>
        <w:rPr>
          <w:sz w:val="20"/>
          <w:szCs w:val="20"/>
          <w:color w:val="auto"/>
        </w:rPr>
      </w:pPr>
      <w:r>
        <w:rPr>
          <w:rFonts w:ascii="Arial" w:cs="Arial" w:eastAsia="Arial" w:hAnsi="Arial"/>
          <w:sz w:val="13"/>
          <w:szCs w:val="13"/>
          <w:color w:val="auto"/>
        </w:rPr>
        <w:t>was related to gas reinjection in Kazakhstan. Affiliated companies increased reserves 10 million barrels due to improved secondary recovery at Boscan.</w:t>
      </w:r>
    </w:p>
    <w:p>
      <w:pPr>
        <w:spacing w:after="0" w:line="100" w:lineRule="exact"/>
        <w:rPr>
          <w:sz w:val="20"/>
          <w:szCs w:val="20"/>
          <w:color w:val="auto"/>
        </w:rPr>
      </w:pPr>
    </w:p>
    <w:p>
      <w:pPr>
        <w:ind w:firstLine="160"/>
        <w:spacing w:after="0" w:line="297" w:lineRule="auto"/>
        <w:rPr>
          <w:sz w:val="20"/>
          <w:szCs w:val="20"/>
          <w:color w:val="auto"/>
        </w:rPr>
      </w:pPr>
      <w:r>
        <w:rPr>
          <w:rFonts w:ascii="Arial" w:cs="Arial" w:eastAsia="Arial" w:hAnsi="Arial"/>
          <w:sz w:val="11"/>
          <w:szCs w:val="11"/>
          <w:i w:val="1"/>
          <w:iCs w:val="1"/>
          <w:color w:val="E51837"/>
        </w:rPr>
        <w:t xml:space="preserve">Extensions and Discoveries </w:t>
      </w:r>
      <w:r>
        <w:rPr>
          <w:rFonts w:ascii="Arial" w:cs="Arial" w:eastAsia="Arial" w:hAnsi="Arial"/>
          <w:sz w:val="11"/>
          <w:szCs w:val="11"/>
          <w:color w:val="000000"/>
        </w:rPr>
        <w:t>In 2006, extensions and discoveries increased liquids volumes worldwide</w:t>
      </w:r>
      <w:r>
        <w:rPr>
          <w:rFonts w:ascii="Arial" w:cs="Arial" w:eastAsia="Arial" w:hAnsi="Arial"/>
          <w:sz w:val="11"/>
          <w:szCs w:val="11"/>
          <w:i w:val="1"/>
          <w:iCs w:val="1"/>
          <w:color w:val="E51837"/>
        </w:rPr>
        <w:t xml:space="preserve"> </w:t>
      </w:r>
      <w:r>
        <w:rPr>
          <w:rFonts w:ascii="Arial" w:cs="Arial" w:eastAsia="Arial" w:hAnsi="Arial"/>
          <w:sz w:val="11"/>
          <w:szCs w:val="11"/>
          <w:color w:val="000000"/>
        </w:rPr>
        <w:t>by 107 million barrels for consolidated companies. Reserves in Nigeria increased by 27 million barrels due in part to the initial booking of reserves for the Aparo Field. Additional drilling activities contributed</w:t>
      </w:r>
    </w:p>
    <w:p>
      <w:pPr>
        <w:ind w:right="80"/>
        <w:spacing w:after="0" w:line="246" w:lineRule="auto"/>
        <w:rPr>
          <w:sz w:val="20"/>
          <w:szCs w:val="20"/>
          <w:color w:val="auto"/>
        </w:rPr>
      </w:pPr>
      <w:r>
        <w:rPr>
          <w:rFonts w:ascii="Arial" w:cs="Arial" w:eastAsia="Arial" w:hAnsi="Arial"/>
          <w:sz w:val="13"/>
          <w:szCs w:val="13"/>
          <w:color w:val="auto"/>
        </w:rPr>
        <w:t>19 million barrels in the United Kingdom and 14 million barrels in Argentina. In the United States, the Gulf of Mexico added 25 million barrels, mainly the result of the initial booking of the Great White Field in the deepwater Perdido Fold Belt area.</w:t>
      </w:r>
    </w:p>
    <w:p>
      <w:pPr>
        <w:spacing w:after="0" w:line="2" w:lineRule="exact"/>
        <w:rPr>
          <w:sz w:val="20"/>
          <w:szCs w:val="20"/>
          <w:color w:val="auto"/>
        </w:rPr>
      </w:pPr>
    </w:p>
    <w:p>
      <w:pPr>
        <w:ind w:right="100" w:firstLine="160"/>
        <w:spacing w:after="0" w:line="246" w:lineRule="auto"/>
        <w:rPr>
          <w:sz w:val="20"/>
          <w:szCs w:val="20"/>
          <w:color w:val="auto"/>
        </w:rPr>
      </w:pPr>
      <w:r>
        <w:rPr>
          <w:rFonts w:ascii="Arial" w:cs="Arial" w:eastAsia="Arial" w:hAnsi="Arial"/>
          <w:sz w:val="13"/>
          <w:szCs w:val="13"/>
          <w:color w:val="auto"/>
        </w:rPr>
        <w:t>In 2007, extensions and discoveries increased liquids volumes by 60 million barrels worldwide. The largest additions were 25 million barrels in the U.S. Gulf of Mexico, mainly for the deepwater Tahiti and Mad Dog fields.</w:t>
      </w:r>
    </w:p>
    <w:p>
      <w:pPr>
        <w:spacing w:after="0" w:line="2" w:lineRule="exact"/>
        <w:rPr>
          <w:sz w:val="20"/>
          <w:szCs w:val="20"/>
          <w:color w:val="auto"/>
        </w:rPr>
      </w:pPr>
    </w:p>
    <w:p>
      <w:pPr>
        <w:ind w:right="160" w:firstLine="160"/>
        <w:spacing w:after="0" w:line="246" w:lineRule="auto"/>
        <w:rPr>
          <w:sz w:val="20"/>
          <w:szCs w:val="20"/>
          <w:color w:val="auto"/>
        </w:rPr>
      </w:pPr>
      <w:r>
        <w:rPr>
          <w:rFonts w:ascii="Arial" w:cs="Arial" w:eastAsia="Arial" w:hAnsi="Arial"/>
          <w:sz w:val="13"/>
          <w:szCs w:val="13"/>
          <w:color w:val="auto"/>
        </w:rPr>
        <w:t>In 2008, extensions and discoveries increased consolidated company reserves 33 million barrels worldwide. The United States increased reserves 17 million barrels, primarily in the Gulf of Mexico. International companies increased reserves 16 million barrels with no one country resulting in additions greater than 5 million barrels.</w:t>
      </w:r>
    </w:p>
    <w:p>
      <w:pPr>
        <w:spacing w:after="0" w:line="2" w:lineRule="exact"/>
        <w:rPr>
          <w:sz w:val="20"/>
          <w:szCs w:val="20"/>
          <w:color w:val="auto"/>
        </w:rPr>
      </w:pPr>
    </w:p>
    <w:p>
      <w:pPr>
        <w:ind w:right="100" w:firstLine="160"/>
        <w:spacing w:after="0" w:line="246" w:lineRule="auto"/>
        <w:rPr>
          <w:sz w:val="20"/>
          <w:szCs w:val="20"/>
          <w:color w:val="auto"/>
        </w:rPr>
      </w:pPr>
      <w:r>
        <w:rPr>
          <w:rFonts w:ascii="Arial" w:cs="Arial" w:eastAsia="Arial" w:hAnsi="Arial"/>
          <w:sz w:val="13"/>
          <w:szCs w:val="13"/>
          <w:i w:val="1"/>
          <w:iCs w:val="1"/>
          <w:color w:val="E51837"/>
        </w:rPr>
        <w:t xml:space="preserve">Purchases </w:t>
      </w:r>
      <w:r>
        <w:rPr>
          <w:rFonts w:ascii="Arial" w:cs="Arial" w:eastAsia="Arial" w:hAnsi="Arial"/>
          <w:sz w:val="13"/>
          <w:szCs w:val="13"/>
          <w:color w:val="000000"/>
        </w:rPr>
        <w:t>In 2006, acquisitions increased liquids volumes worldwide by 21 million barrels for</w:t>
      </w:r>
      <w:r>
        <w:rPr>
          <w:rFonts w:ascii="Arial" w:cs="Arial" w:eastAsia="Arial" w:hAnsi="Arial"/>
          <w:sz w:val="13"/>
          <w:szCs w:val="13"/>
          <w:i w:val="1"/>
          <w:iCs w:val="1"/>
          <w:color w:val="E51837"/>
        </w:rPr>
        <w:t xml:space="preserve"> </w:t>
      </w:r>
      <w:r>
        <w:rPr>
          <w:rFonts w:ascii="Arial" w:cs="Arial" w:eastAsia="Arial" w:hAnsi="Arial"/>
          <w:sz w:val="13"/>
          <w:szCs w:val="13"/>
          <w:color w:val="000000"/>
        </w:rPr>
        <w:t>consolidated companies and 119 million barrels for equity affiliates. For consolidated companies, the amount was mainly the result of new agreements in Nigeria, which added 13 million barrels of reserves. The other-equity-affiliates quantity reflects the result of the conversion of Boscan and LL-652 operations to joint stock companies in Venezuela.</w:t>
      </w:r>
    </w:p>
    <w:p>
      <w:pPr>
        <w:spacing w:after="0" w:line="3" w:lineRule="exact"/>
        <w:rPr>
          <w:sz w:val="20"/>
          <w:szCs w:val="20"/>
          <w:color w:val="auto"/>
        </w:rPr>
      </w:pPr>
    </w:p>
    <w:p>
      <w:pPr>
        <w:ind w:right="380" w:firstLine="160"/>
        <w:spacing w:after="0" w:line="246" w:lineRule="auto"/>
        <w:rPr>
          <w:sz w:val="20"/>
          <w:szCs w:val="20"/>
          <w:color w:val="auto"/>
        </w:rPr>
      </w:pPr>
      <w:r>
        <w:rPr>
          <w:rFonts w:ascii="Arial" w:cs="Arial" w:eastAsia="Arial" w:hAnsi="Arial"/>
          <w:sz w:val="13"/>
          <w:szCs w:val="13"/>
          <w:color w:val="auto"/>
        </w:rPr>
        <w:t>In 2007, acquisitions of 316 million barrels for equity affiliates related to the formation of a new Hamaca equity affiliate in Venezuela.</w:t>
      </w:r>
    </w:p>
    <w:p>
      <w:pPr>
        <w:spacing w:after="0" w:line="1" w:lineRule="exact"/>
        <w:rPr>
          <w:sz w:val="20"/>
          <w:szCs w:val="20"/>
          <w:color w:val="auto"/>
        </w:rPr>
      </w:pPr>
    </w:p>
    <w:p>
      <w:pPr>
        <w:ind w:right="300" w:firstLine="160"/>
        <w:spacing w:after="0" w:line="246" w:lineRule="auto"/>
        <w:rPr>
          <w:sz w:val="20"/>
          <w:szCs w:val="20"/>
          <w:color w:val="auto"/>
        </w:rPr>
      </w:pPr>
      <w:r>
        <w:rPr>
          <w:rFonts w:ascii="Arial" w:cs="Arial" w:eastAsia="Arial" w:hAnsi="Arial"/>
          <w:sz w:val="13"/>
          <w:szCs w:val="13"/>
          <w:i w:val="1"/>
          <w:iCs w:val="1"/>
          <w:color w:val="E51837"/>
        </w:rPr>
        <w:t xml:space="preserve">Sales </w:t>
      </w:r>
      <w:r>
        <w:rPr>
          <w:rFonts w:ascii="Arial" w:cs="Arial" w:eastAsia="Arial" w:hAnsi="Arial"/>
          <w:sz w:val="13"/>
          <w:szCs w:val="13"/>
          <w:color w:val="000000"/>
        </w:rPr>
        <w:t>In 2006, sales decreased reserves by 15 million barrels due to the conversion of the LL-652</w:t>
      </w:r>
      <w:r>
        <w:rPr>
          <w:rFonts w:ascii="Arial" w:cs="Arial" w:eastAsia="Arial" w:hAnsi="Arial"/>
          <w:sz w:val="13"/>
          <w:szCs w:val="13"/>
          <w:i w:val="1"/>
          <w:iCs w:val="1"/>
          <w:color w:val="E51837"/>
        </w:rPr>
        <w:t xml:space="preserve"> </w:t>
      </w:r>
      <w:r>
        <w:rPr>
          <w:rFonts w:ascii="Arial" w:cs="Arial" w:eastAsia="Arial" w:hAnsi="Arial"/>
          <w:sz w:val="13"/>
          <w:szCs w:val="13"/>
          <w:color w:val="000000"/>
        </w:rPr>
        <w:t>risked service agreement to a joint stock company in Venezuela.</w:t>
      </w:r>
    </w:p>
    <w:p>
      <w:pPr>
        <w:spacing w:after="0" w:line="1" w:lineRule="exact"/>
        <w:rPr>
          <w:sz w:val="20"/>
          <w:szCs w:val="20"/>
          <w:color w:val="auto"/>
        </w:rPr>
      </w:pPr>
    </w:p>
    <w:p>
      <w:pPr>
        <w:ind w:right="140" w:firstLine="160"/>
        <w:spacing w:after="0" w:line="253" w:lineRule="auto"/>
        <w:rPr>
          <w:sz w:val="20"/>
          <w:szCs w:val="20"/>
          <w:color w:val="auto"/>
        </w:rPr>
      </w:pPr>
      <w:r>
        <w:rPr>
          <w:rFonts w:ascii="Arial" w:cs="Arial" w:eastAsia="Arial" w:hAnsi="Arial"/>
          <w:sz w:val="13"/>
          <w:szCs w:val="13"/>
          <w:color w:val="auto"/>
        </w:rPr>
        <w:t>In 2007, affiliated company sales of 432 million barrels related to the dissolution of a Hamaca equity affiliate in Venezuela.</w:t>
      </w:r>
    </w:p>
    <w:p>
      <w:pPr>
        <w:spacing w:after="0" w:line="200" w:lineRule="exact"/>
        <w:rPr>
          <w:sz w:val="20"/>
          <w:szCs w:val="20"/>
          <w:color w:val="auto"/>
        </w:rPr>
      </w:pPr>
    </w:p>
    <w:p>
      <w:pPr>
        <w:sectPr>
          <w:pgSz w:w="11900" w:h="16838" w:orient="portrait"/>
          <w:cols w:equalWidth="0" w:num="2">
            <w:col w:w="5500" w:space="460"/>
            <w:col w:w="5480"/>
          </w:cols>
          <w:pgMar w:left="220" w:top="338" w:right="239" w:bottom="1440" w:gutter="0" w:footer="0" w:header="0"/>
          <w:type w:val="continuous"/>
        </w:sectPr>
      </w:pP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type w:val="continuous"/>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6286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Net Proved Reserves of Natural Gas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0"/>
                <w:szCs w:val="10"/>
                <w:color w:val="auto"/>
              </w:rPr>
              <w:t>Consolidated Companies</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84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1100" w:type="dxa"/>
            <w:vAlign w:val="bottom"/>
            <w:tcBorders>
              <w:top w:val="single" w:sz="8" w:color="0077C0"/>
            </w:tcBorders>
            <w:gridSpan w:val="3"/>
          </w:tcPr>
          <w:p>
            <w:pPr>
              <w:jc w:val="right"/>
              <w:ind w:right="460"/>
              <w:spacing w:after="0" w:line="95" w:lineRule="exact"/>
              <w:rPr>
                <w:sz w:val="20"/>
                <w:szCs w:val="20"/>
                <w:color w:val="auto"/>
              </w:rPr>
            </w:pPr>
            <w:r>
              <w:rPr>
                <w:rFonts w:ascii="Arial" w:cs="Arial" w:eastAsia="Arial" w:hAnsi="Arial"/>
                <w:sz w:val="10"/>
                <w:szCs w:val="10"/>
                <w:color w:val="auto"/>
              </w:rPr>
              <w:t>United States</w:t>
            </w:r>
          </w:p>
        </w:tc>
        <w:tc>
          <w:tcPr>
            <w:tcW w:w="600" w:type="dxa"/>
            <w:vAlign w:val="bottom"/>
            <w:tcBorders>
              <w:top w:val="single" w:sz="8" w:color="0077C0"/>
            </w:tcBorders>
          </w:tcPr>
          <w:p>
            <w:pPr>
              <w:spacing w:after="0"/>
              <w:rPr>
                <w:sz w:val="8"/>
                <w:szCs w:val="8"/>
                <w:color w:val="auto"/>
              </w:rPr>
            </w:pPr>
          </w:p>
        </w:tc>
        <w:tc>
          <w:tcPr>
            <w:tcW w:w="74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940" w:type="dxa"/>
            <w:vAlign w:val="bottom"/>
            <w:tcBorders>
              <w:top w:val="single" w:sz="8" w:color="0077C0"/>
            </w:tcBorders>
            <w:gridSpan w:val="2"/>
          </w:tcPr>
          <w:p>
            <w:pPr>
              <w:jc w:val="right"/>
              <w:ind w:right="300"/>
              <w:spacing w:after="0" w:line="95" w:lineRule="exact"/>
              <w:rPr>
                <w:sz w:val="20"/>
                <w:szCs w:val="20"/>
                <w:color w:val="auto"/>
              </w:rPr>
            </w:pPr>
            <w:r>
              <w:rPr>
                <w:rFonts w:ascii="Arial" w:cs="Arial" w:eastAsia="Arial" w:hAnsi="Arial"/>
                <w:sz w:val="10"/>
                <w:szCs w:val="10"/>
                <w:color w:val="auto"/>
              </w:rPr>
              <w:t>International</w:t>
            </w:r>
          </w:p>
        </w:tc>
        <w:tc>
          <w:tcPr>
            <w:tcW w:w="540" w:type="dxa"/>
            <w:vAlign w:val="bottom"/>
            <w:tcBorders>
              <w:top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Affiliated Companies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840" w:type="dxa"/>
            <w:vAlign w:val="bottom"/>
            <w:shd w:val="clear" w:color="auto" w:fill="0077C0"/>
          </w:tcPr>
          <w:p>
            <w:pPr>
              <w:spacing w:after="0" w:line="20" w:lineRule="exact"/>
              <w:rPr>
                <w:sz w:val="1"/>
                <w:szCs w:val="1"/>
                <w:color w:val="auto"/>
              </w:rPr>
            </w:pPr>
          </w:p>
        </w:tc>
        <w:tc>
          <w:tcPr>
            <w:tcW w:w="68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880" w:type="dxa"/>
            <w:vAlign w:val="bottom"/>
            <w:shd w:val="clear" w:color="auto" w:fill="0077C0"/>
          </w:tcPr>
          <w:p>
            <w:pPr>
              <w:spacing w:after="0" w:line="20" w:lineRule="exact"/>
              <w:rPr>
                <w:sz w:val="1"/>
                <w:szCs w:val="1"/>
                <w:color w:val="auto"/>
              </w:rPr>
            </w:pPr>
          </w:p>
        </w:tc>
        <w:tc>
          <w:tcPr>
            <w:tcW w:w="68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jc w:val="right"/>
              <w:ind w:right="249"/>
              <w:spacing w:after="0" w:line="95" w:lineRule="exact"/>
              <w:rPr>
                <w:sz w:val="20"/>
                <w:szCs w:val="20"/>
                <w:color w:val="auto"/>
              </w:rPr>
            </w:pPr>
            <w:r>
              <w:rPr>
                <w:rFonts w:ascii="Arial" w:cs="Arial" w:eastAsia="Arial" w:hAnsi="Arial"/>
                <w:sz w:val="10"/>
                <w:szCs w:val="10"/>
                <w:color w:val="auto"/>
              </w:rPr>
              <w:t>Gulf of</w:t>
            </w:r>
          </w:p>
        </w:tc>
        <w:tc>
          <w:tcPr>
            <w:tcW w:w="680" w:type="dxa"/>
            <w:vAlign w:val="bottom"/>
          </w:tcPr>
          <w:p>
            <w:pPr>
              <w:spacing w:after="0"/>
              <w:rPr>
                <w:sz w:val="8"/>
                <w:szCs w:val="8"/>
                <w:color w:val="auto"/>
              </w:rPr>
            </w:pPr>
          </w:p>
        </w:tc>
        <w:tc>
          <w:tcPr>
            <w:tcW w:w="1100" w:type="dxa"/>
            <w:vAlign w:val="bottom"/>
            <w:gridSpan w:val="3"/>
          </w:tcPr>
          <w:p>
            <w:pPr>
              <w:jc w:val="right"/>
              <w:ind w:right="460"/>
              <w:spacing w:after="0" w:line="95" w:lineRule="exact"/>
              <w:rPr>
                <w:sz w:val="20"/>
                <w:szCs w:val="20"/>
                <w:color w:val="auto"/>
              </w:rPr>
            </w:pPr>
            <w:r>
              <w:rPr>
                <w:rFonts w:ascii="Arial" w:cs="Arial" w:eastAsia="Arial" w:hAnsi="Arial"/>
                <w:sz w:val="10"/>
                <w:szCs w:val="10"/>
                <w:color w:val="auto"/>
              </w:rPr>
              <w:t>Total</w:t>
            </w:r>
          </w:p>
        </w:tc>
        <w:tc>
          <w:tcPr>
            <w:tcW w:w="600" w:type="dxa"/>
            <w:vAlign w:val="bottom"/>
          </w:tcPr>
          <w:p>
            <w:pPr>
              <w:spacing w:after="0"/>
              <w:rPr>
                <w:sz w:val="8"/>
                <w:szCs w:val="8"/>
                <w:color w:val="auto"/>
              </w:rPr>
            </w:pPr>
          </w:p>
        </w:tc>
        <w:tc>
          <w:tcPr>
            <w:tcW w:w="7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Asia-</w:t>
            </w: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Total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10"/>
                <w:szCs w:val="10"/>
                <w:i w:val="1"/>
                <w:iCs w:val="1"/>
                <w:color w:val="auto"/>
              </w:rPr>
              <w:t>Billions of cubic feet</w:t>
            </w:r>
          </w:p>
        </w:tc>
        <w:tc>
          <w:tcPr>
            <w:tcW w:w="640" w:type="dxa"/>
            <w:vAlign w:val="bottom"/>
          </w:tcPr>
          <w:p>
            <w:pPr>
              <w:jc w:val="right"/>
              <w:ind w:right="229"/>
              <w:spacing w:after="0" w:line="95" w:lineRule="exact"/>
              <w:rPr>
                <w:sz w:val="20"/>
                <w:szCs w:val="20"/>
                <w:color w:val="auto"/>
              </w:rPr>
            </w:pPr>
            <w:r>
              <w:rPr>
                <w:rFonts w:ascii="Arial" w:cs="Arial" w:eastAsia="Arial" w:hAnsi="Arial"/>
                <w:sz w:val="10"/>
                <w:szCs w:val="10"/>
                <w:color w:val="auto"/>
              </w:rPr>
              <w:t>Calif.</w:t>
            </w:r>
          </w:p>
        </w:tc>
        <w:tc>
          <w:tcPr>
            <w:tcW w:w="840" w:type="dxa"/>
            <w:vAlign w:val="bottom"/>
          </w:tcPr>
          <w:p>
            <w:pPr>
              <w:jc w:val="right"/>
              <w:ind w:right="249"/>
              <w:spacing w:after="0" w:line="95" w:lineRule="exact"/>
              <w:rPr>
                <w:sz w:val="20"/>
                <w:szCs w:val="20"/>
                <w:color w:val="auto"/>
              </w:rPr>
            </w:pPr>
            <w:r>
              <w:rPr>
                <w:rFonts w:ascii="Arial" w:cs="Arial" w:eastAsia="Arial" w:hAnsi="Arial"/>
                <w:sz w:val="10"/>
                <w:szCs w:val="10"/>
                <w:color w:val="auto"/>
              </w:rPr>
              <w:t>Mexico</w:t>
            </w:r>
          </w:p>
        </w:tc>
        <w:tc>
          <w:tcPr>
            <w:tcW w:w="680" w:type="dxa"/>
            <w:vAlign w:val="bottom"/>
          </w:tcPr>
          <w:p>
            <w:pPr>
              <w:jc w:val="right"/>
              <w:ind w:right="129"/>
              <w:spacing w:after="0" w:line="95" w:lineRule="exact"/>
              <w:rPr>
                <w:sz w:val="20"/>
                <w:szCs w:val="20"/>
                <w:color w:val="auto"/>
              </w:rPr>
            </w:pPr>
            <w:r>
              <w:rPr>
                <w:rFonts w:ascii="Arial" w:cs="Arial" w:eastAsia="Arial" w:hAnsi="Arial"/>
                <w:sz w:val="10"/>
                <w:szCs w:val="10"/>
                <w:color w:val="auto"/>
              </w:rPr>
              <w:t>Other</w:t>
            </w:r>
          </w:p>
        </w:tc>
        <w:tc>
          <w:tcPr>
            <w:tcW w:w="1100" w:type="dxa"/>
            <w:vAlign w:val="bottom"/>
            <w:gridSpan w:val="3"/>
          </w:tcPr>
          <w:p>
            <w:pPr>
              <w:jc w:val="right"/>
              <w:ind w:right="460"/>
              <w:spacing w:after="0" w:line="95" w:lineRule="exact"/>
              <w:rPr>
                <w:sz w:val="20"/>
                <w:szCs w:val="20"/>
                <w:color w:val="auto"/>
              </w:rPr>
            </w:pPr>
            <w:r>
              <w:rPr>
                <w:rFonts w:ascii="Arial" w:cs="Arial" w:eastAsia="Arial" w:hAnsi="Arial"/>
                <w:sz w:val="10"/>
                <w:szCs w:val="10"/>
                <w:color w:val="auto"/>
              </w:rPr>
              <w:t>U.S.</w:t>
            </w:r>
          </w:p>
        </w:tc>
        <w:tc>
          <w:tcPr>
            <w:tcW w:w="600" w:type="dxa"/>
            <w:vAlign w:val="bottom"/>
          </w:tcPr>
          <w:p>
            <w:pPr>
              <w:jc w:val="right"/>
              <w:ind w:right="209"/>
              <w:spacing w:after="0" w:line="95" w:lineRule="exact"/>
              <w:rPr>
                <w:sz w:val="20"/>
                <w:szCs w:val="20"/>
                <w:color w:val="auto"/>
              </w:rPr>
            </w:pPr>
            <w:r>
              <w:rPr>
                <w:rFonts w:ascii="Arial" w:cs="Arial" w:eastAsia="Arial" w:hAnsi="Arial"/>
                <w:sz w:val="10"/>
                <w:szCs w:val="10"/>
                <w:color w:val="auto"/>
              </w:rPr>
              <w:t>Africa</w:t>
            </w:r>
          </w:p>
        </w:tc>
        <w:tc>
          <w:tcPr>
            <w:tcW w:w="7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Pacific</w:t>
            </w:r>
          </w:p>
        </w:tc>
        <w:tc>
          <w:tcPr>
            <w:tcW w:w="880" w:type="dxa"/>
            <w:vAlign w:val="bottom"/>
          </w:tcPr>
          <w:p>
            <w:pPr>
              <w:jc w:val="right"/>
              <w:ind w:right="249"/>
              <w:spacing w:after="0" w:line="95" w:lineRule="exact"/>
              <w:rPr>
                <w:sz w:val="20"/>
                <w:szCs w:val="20"/>
                <w:color w:val="auto"/>
              </w:rPr>
            </w:pPr>
            <w:r>
              <w:rPr>
                <w:rFonts w:ascii="Arial" w:cs="Arial" w:eastAsia="Arial" w:hAnsi="Arial"/>
                <w:sz w:val="10"/>
                <w:szCs w:val="10"/>
                <w:color w:val="auto"/>
              </w:rPr>
              <w:t>Indonesia</w:t>
            </w:r>
          </w:p>
        </w:tc>
        <w:tc>
          <w:tcPr>
            <w:tcW w:w="680" w:type="dxa"/>
            <w:vAlign w:val="bottom"/>
          </w:tcPr>
          <w:p>
            <w:pPr>
              <w:jc w:val="right"/>
              <w:ind w:right="149"/>
              <w:spacing w:after="0" w:line="95" w:lineRule="exact"/>
              <w:rPr>
                <w:sz w:val="20"/>
                <w:szCs w:val="20"/>
                <w:color w:val="auto"/>
              </w:rPr>
            </w:pPr>
            <w:r>
              <w:rPr>
                <w:rFonts w:ascii="Arial" w:cs="Arial" w:eastAsia="Arial" w:hAnsi="Arial"/>
                <w:sz w:val="10"/>
                <w:szCs w:val="10"/>
                <w:color w:val="auto"/>
              </w:rPr>
              <w:t>Other</w:t>
            </w:r>
          </w:p>
        </w:tc>
        <w:tc>
          <w:tcPr>
            <w:tcW w:w="940" w:type="dxa"/>
            <w:vAlign w:val="bottom"/>
            <w:gridSpan w:val="2"/>
          </w:tcPr>
          <w:p>
            <w:pPr>
              <w:jc w:val="right"/>
              <w:ind w:right="300"/>
              <w:spacing w:after="0" w:line="95" w:lineRule="exact"/>
              <w:rPr>
                <w:sz w:val="20"/>
                <w:szCs w:val="20"/>
                <w:color w:val="auto"/>
              </w:rPr>
            </w:pPr>
            <w:r>
              <w:rPr>
                <w:rFonts w:ascii="Arial" w:cs="Arial" w:eastAsia="Arial" w:hAnsi="Arial"/>
                <w:sz w:val="10"/>
                <w:szCs w:val="10"/>
                <w:color w:val="auto"/>
              </w:rPr>
              <w:t>Int’l.</w:t>
            </w:r>
          </w:p>
        </w:tc>
        <w:tc>
          <w:tcPr>
            <w:tcW w:w="980" w:type="dxa"/>
            <w:vAlign w:val="bottom"/>
            <w:gridSpan w:val="3"/>
          </w:tcPr>
          <w:p>
            <w:pPr>
              <w:jc w:val="right"/>
              <w:ind w:right="440"/>
              <w:spacing w:after="0" w:line="95" w:lineRule="exact"/>
              <w:rPr>
                <w:sz w:val="20"/>
                <w:szCs w:val="20"/>
                <w:color w:val="auto"/>
              </w:rPr>
            </w:pPr>
            <w:r>
              <w:rPr>
                <w:rFonts w:ascii="Arial" w:cs="Arial" w:eastAsia="Arial" w:hAnsi="Arial"/>
                <w:sz w:val="10"/>
                <w:szCs w:val="10"/>
                <w:color w:val="auto"/>
              </w:rPr>
              <w:t>Total</w:t>
            </w:r>
          </w:p>
        </w:tc>
        <w:tc>
          <w:tcPr>
            <w:tcW w:w="620" w:type="dxa"/>
            <w:vAlign w:val="bottom"/>
            <w:tcBorders>
              <w:top w:val="single" w:sz="8" w:color="0077C0"/>
            </w:tcBorders>
          </w:tcPr>
          <w:p>
            <w:pPr>
              <w:jc w:val="right"/>
              <w:ind w:right="229"/>
              <w:spacing w:after="0" w:line="95" w:lineRule="exact"/>
              <w:rPr>
                <w:sz w:val="20"/>
                <w:szCs w:val="20"/>
                <w:color w:val="auto"/>
              </w:rPr>
            </w:pPr>
            <w:r>
              <w:rPr>
                <w:rFonts w:ascii="Arial" w:cs="Arial" w:eastAsia="Arial" w:hAnsi="Arial"/>
                <w:sz w:val="10"/>
                <w:szCs w:val="10"/>
                <w:color w:val="auto"/>
              </w:rPr>
              <w:t>TCO</w:t>
            </w:r>
          </w:p>
        </w:tc>
        <w:tc>
          <w:tcPr>
            <w:tcW w:w="480" w:type="dxa"/>
            <w:vAlign w:val="bottom"/>
            <w:tcBorders>
              <w:top w:val="single" w:sz="8" w:color="0077C0"/>
            </w:tcBorders>
          </w:tcPr>
          <w:p>
            <w:pPr>
              <w:jc w:val="right"/>
              <w:spacing w:after="0" w:line="95" w:lineRule="exact"/>
              <w:rPr>
                <w:sz w:val="20"/>
                <w:szCs w:val="20"/>
                <w:color w:val="auto"/>
              </w:rPr>
            </w:pPr>
            <w:r>
              <w:rPr>
                <w:rFonts w:ascii="Arial" w:cs="Arial" w:eastAsia="Arial" w:hAnsi="Arial"/>
                <w:sz w:val="10"/>
                <w:szCs w:val="10"/>
                <w:color w:val="auto"/>
              </w:rPr>
              <w:t>Other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Jan. 1, 2006</w:t>
            </w:r>
            <w:r>
              <w:rPr>
                <w:rFonts w:ascii="Arial" w:cs="Arial" w:eastAsia="Arial" w:hAnsi="Arial"/>
                <w:sz w:val="8"/>
                <w:szCs w:val="8"/>
                <w:b w:val="1"/>
                <w:bCs w:val="1"/>
                <w:color w:val="0077C0"/>
              </w:rPr>
              <w:t>1</w:t>
            </w: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304</w:t>
            </w:r>
          </w:p>
        </w:tc>
        <w:tc>
          <w:tcPr>
            <w:tcW w:w="84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1,171</w:t>
            </w:r>
          </w:p>
        </w:tc>
        <w:tc>
          <w:tcPr>
            <w:tcW w:w="68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2,953</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4,428</w:t>
            </w:r>
          </w:p>
        </w:tc>
        <w:tc>
          <w:tcPr>
            <w:tcW w:w="120" w:type="dxa"/>
            <w:vAlign w:val="bottom"/>
            <w:tcBorders>
              <w:top w:val="single" w:sz="8" w:color="0077C0"/>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3,191</w:t>
            </w:r>
          </w:p>
        </w:tc>
        <w:tc>
          <w:tcPr>
            <w:tcW w:w="7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8,623</w:t>
            </w:r>
          </w:p>
        </w:tc>
        <w:tc>
          <w:tcPr>
            <w:tcW w:w="88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646</w:t>
            </w:r>
          </w:p>
        </w:tc>
        <w:tc>
          <w:tcPr>
            <w:tcW w:w="68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3,578</w:t>
            </w:r>
          </w:p>
        </w:tc>
        <w:tc>
          <w:tcPr>
            <w:tcW w:w="94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16,038</w:t>
            </w:r>
          </w:p>
        </w:tc>
        <w:tc>
          <w:tcPr>
            <w:tcW w:w="64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20,466</w:t>
            </w:r>
          </w:p>
        </w:tc>
        <w:tc>
          <w:tcPr>
            <w:tcW w:w="340" w:type="dxa"/>
            <w:vAlign w:val="bottom"/>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2,787</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181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32</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40</w:t>
            </w:r>
          </w:p>
        </w:tc>
        <w:tc>
          <w:tcPr>
            <w:tcW w:w="6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(102)</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(30)</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34</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400</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38</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39</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511</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481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26</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5</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8</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111</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157</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268</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11</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510</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531</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799</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r>
              <w:rPr>
                <w:rFonts w:ascii="Arial" w:cs="Arial" w:eastAsia="Arial" w:hAnsi="Arial"/>
                <w:sz w:val="8"/>
                <w:szCs w:val="8"/>
                <w:color w:val="auto"/>
              </w:rPr>
              <w:t>2</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6</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13</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19</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16</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16</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35</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(148)</w:t>
            </w:r>
          </w:p>
        </w:tc>
        <w:tc>
          <w:tcPr>
            <w:tcW w:w="94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(148)</w:t>
            </w:r>
          </w:p>
        </w:tc>
        <w:tc>
          <w:tcPr>
            <w:tcW w:w="6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(149)</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40" w:type="dxa"/>
            <w:vAlign w:val="bottom"/>
          </w:tcPr>
          <w:p>
            <w:pPr>
              <w:jc w:val="right"/>
              <w:ind w:right="209"/>
              <w:spacing w:after="0"/>
              <w:rPr>
                <w:sz w:val="20"/>
                <w:szCs w:val="20"/>
                <w:color w:val="auto"/>
              </w:rPr>
            </w:pPr>
            <w:r>
              <w:rPr>
                <w:rFonts w:ascii="Arial" w:cs="Arial" w:eastAsia="Arial" w:hAnsi="Arial"/>
                <w:sz w:val="10"/>
                <w:szCs w:val="10"/>
                <w:color w:val="auto"/>
              </w:rPr>
              <w:t>(37)</w:t>
            </w:r>
          </w:p>
        </w:tc>
        <w:tc>
          <w:tcPr>
            <w:tcW w:w="840" w:type="dxa"/>
            <w:vAlign w:val="bottom"/>
          </w:tcPr>
          <w:p>
            <w:pPr>
              <w:jc w:val="right"/>
              <w:ind w:right="229"/>
              <w:spacing w:after="0"/>
              <w:rPr>
                <w:sz w:val="20"/>
                <w:szCs w:val="20"/>
                <w:color w:val="auto"/>
              </w:rPr>
            </w:pPr>
            <w:r>
              <w:rPr>
                <w:rFonts w:ascii="Arial" w:cs="Arial" w:eastAsia="Arial" w:hAnsi="Arial"/>
                <w:sz w:val="10"/>
                <w:szCs w:val="10"/>
                <w:color w:val="auto"/>
              </w:rPr>
              <w:t>(241)</w:t>
            </w:r>
          </w:p>
        </w:tc>
        <w:tc>
          <w:tcPr>
            <w:tcW w:w="680" w:type="dxa"/>
            <w:vAlign w:val="bottom"/>
          </w:tcPr>
          <w:p>
            <w:pPr>
              <w:jc w:val="right"/>
              <w:ind w:right="89"/>
              <w:spacing w:after="0"/>
              <w:rPr>
                <w:sz w:val="20"/>
                <w:szCs w:val="20"/>
                <w:color w:val="auto"/>
              </w:rPr>
            </w:pPr>
            <w:r>
              <w:rPr>
                <w:rFonts w:ascii="Arial" w:cs="Arial" w:eastAsia="Arial" w:hAnsi="Arial"/>
                <w:sz w:val="10"/>
                <w:szCs w:val="10"/>
                <w:color w:val="auto"/>
              </w:rPr>
              <w:t>(383)</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(661)</w:t>
            </w:r>
          </w:p>
        </w:tc>
        <w:tc>
          <w:tcPr>
            <w:tcW w:w="34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(33)</w:t>
            </w:r>
          </w:p>
        </w:tc>
        <w:tc>
          <w:tcPr>
            <w:tcW w:w="740" w:type="dxa"/>
            <w:vAlign w:val="bottom"/>
          </w:tcPr>
          <w:p>
            <w:pPr>
              <w:jc w:val="right"/>
              <w:ind w:right="149"/>
              <w:spacing w:after="0"/>
              <w:rPr>
                <w:sz w:val="20"/>
                <w:szCs w:val="20"/>
                <w:color w:val="auto"/>
              </w:rPr>
            </w:pPr>
            <w:r>
              <w:rPr>
                <w:rFonts w:ascii="Arial" w:cs="Arial" w:eastAsia="Arial" w:hAnsi="Arial"/>
                <w:sz w:val="10"/>
                <w:szCs w:val="10"/>
                <w:color w:val="auto"/>
              </w:rPr>
              <w:t>(629)</w:t>
            </w:r>
          </w:p>
        </w:tc>
        <w:tc>
          <w:tcPr>
            <w:tcW w:w="880" w:type="dxa"/>
            <w:vAlign w:val="bottom"/>
          </w:tcPr>
          <w:p>
            <w:pPr>
              <w:jc w:val="right"/>
              <w:ind w:right="209"/>
              <w:spacing w:after="0"/>
              <w:rPr>
                <w:sz w:val="20"/>
                <w:szCs w:val="20"/>
                <w:color w:val="auto"/>
              </w:rPr>
            </w:pPr>
            <w:r>
              <w:rPr>
                <w:rFonts w:ascii="Arial" w:cs="Arial" w:eastAsia="Arial" w:hAnsi="Arial"/>
                <w:sz w:val="10"/>
                <w:szCs w:val="10"/>
                <w:color w:val="auto"/>
              </w:rPr>
              <w:t>(110)</w:t>
            </w:r>
          </w:p>
        </w:tc>
        <w:tc>
          <w:tcPr>
            <w:tcW w:w="680" w:type="dxa"/>
            <w:vAlign w:val="bottom"/>
          </w:tcPr>
          <w:p>
            <w:pPr>
              <w:jc w:val="right"/>
              <w:ind w:right="109"/>
              <w:spacing w:after="0"/>
              <w:rPr>
                <w:sz w:val="20"/>
                <w:szCs w:val="20"/>
                <w:color w:val="auto"/>
              </w:rPr>
            </w:pPr>
            <w:r>
              <w:rPr>
                <w:rFonts w:ascii="Arial" w:cs="Arial" w:eastAsia="Arial" w:hAnsi="Arial"/>
                <w:sz w:val="10"/>
                <w:szCs w:val="10"/>
                <w:color w:val="auto"/>
              </w:rPr>
              <w:t>(302)</w:t>
            </w:r>
          </w:p>
        </w:tc>
        <w:tc>
          <w:tcPr>
            <w:tcW w:w="940" w:type="dxa"/>
            <w:vAlign w:val="bottom"/>
            <w:gridSpan w:val="2"/>
          </w:tcPr>
          <w:p>
            <w:pPr>
              <w:jc w:val="right"/>
              <w:ind w:right="260"/>
              <w:spacing w:after="0"/>
              <w:rPr>
                <w:sz w:val="20"/>
                <w:szCs w:val="20"/>
                <w:color w:val="auto"/>
              </w:rPr>
            </w:pPr>
            <w:r>
              <w:rPr>
                <w:rFonts w:ascii="Arial" w:cs="Arial" w:eastAsia="Arial" w:hAnsi="Arial"/>
                <w:sz w:val="10"/>
                <w:szCs w:val="10"/>
                <w:color w:val="auto"/>
              </w:rPr>
              <w:t>(1,074)</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(1,735)</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(70)</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 31, 2006</w:t>
            </w:r>
            <w:r>
              <w:rPr>
                <w:rFonts w:ascii="Arial" w:cs="Arial" w:eastAsia="Arial" w:hAnsi="Arial"/>
                <w:sz w:val="8"/>
                <w:szCs w:val="8"/>
                <w:b w:val="1"/>
                <w:bCs w:val="1"/>
                <w:color w:val="0077C0"/>
              </w:rPr>
              <w:t>1</w:t>
            </w: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310</w:t>
            </w:r>
          </w:p>
        </w:tc>
        <w:tc>
          <w:tcPr>
            <w:tcW w:w="84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1,094</w:t>
            </w:r>
          </w:p>
        </w:tc>
        <w:tc>
          <w:tcPr>
            <w:tcW w:w="68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2,624</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4,028</w:t>
            </w: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3,206</w:t>
            </w:r>
          </w:p>
        </w:tc>
        <w:tc>
          <w:tcPr>
            <w:tcW w:w="7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8,920</w:t>
            </w:r>
          </w:p>
        </w:tc>
        <w:tc>
          <w:tcPr>
            <w:tcW w:w="88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574</w:t>
            </w:r>
          </w:p>
        </w:tc>
        <w:tc>
          <w:tcPr>
            <w:tcW w:w="68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3,182</w:t>
            </w:r>
          </w:p>
        </w:tc>
        <w:tc>
          <w:tcPr>
            <w:tcW w:w="94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15,882</w:t>
            </w:r>
          </w:p>
        </w:tc>
        <w:tc>
          <w:tcPr>
            <w:tcW w:w="64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19,910</w:t>
            </w:r>
          </w:p>
        </w:tc>
        <w:tc>
          <w:tcPr>
            <w:tcW w:w="34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2,743</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40</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39</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130</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209</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(141)</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149</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12</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166</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186</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395</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75</w:t>
            </w:r>
          </w:p>
        </w:tc>
        <w:tc>
          <w:tcPr>
            <w:tcW w:w="5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1100" w:type="dxa"/>
            <w:vAlign w:val="bottom"/>
            <w:gridSpan w:val="3"/>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40</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46</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86</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11</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392</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29</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432</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518</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r>
              <w:rPr>
                <w:rFonts w:ascii="Arial" w:cs="Arial" w:eastAsia="Arial" w:hAnsi="Arial"/>
                <w:sz w:val="8"/>
                <w:szCs w:val="8"/>
                <w:color w:val="auto"/>
              </w:rPr>
              <w:t>2</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19</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29</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50</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91</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91</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141</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211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(39)</w:t>
            </w:r>
          </w:p>
        </w:tc>
        <w:tc>
          <w:tcPr>
            <w:tcW w:w="6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(37)</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(76)</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(76)</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40" w:type="dxa"/>
            <w:vAlign w:val="bottom"/>
          </w:tcPr>
          <w:p>
            <w:pPr>
              <w:jc w:val="right"/>
              <w:ind w:right="209"/>
              <w:spacing w:after="0"/>
              <w:rPr>
                <w:sz w:val="20"/>
                <w:szCs w:val="20"/>
                <w:color w:val="auto"/>
              </w:rPr>
            </w:pPr>
            <w:r>
              <w:rPr>
                <w:rFonts w:ascii="Arial" w:cs="Arial" w:eastAsia="Arial" w:hAnsi="Arial"/>
                <w:sz w:val="10"/>
                <w:szCs w:val="10"/>
                <w:color w:val="auto"/>
              </w:rPr>
              <w:t>(35)</w:t>
            </w:r>
          </w:p>
        </w:tc>
        <w:tc>
          <w:tcPr>
            <w:tcW w:w="840" w:type="dxa"/>
            <w:vAlign w:val="bottom"/>
          </w:tcPr>
          <w:p>
            <w:pPr>
              <w:jc w:val="right"/>
              <w:ind w:right="229"/>
              <w:spacing w:after="0"/>
              <w:rPr>
                <w:sz w:val="20"/>
                <w:szCs w:val="20"/>
                <w:color w:val="auto"/>
              </w:rPr>
            </w:pPr>
            <w:r>
              <w:rPr>
                <w:rFonts w:ascii="Arial" w:cs="Arial" w:eastAsia="Arial" w:hAnsi="Arial"/>
                <w:sz w:val="10"/>
                <w:szCs w:val="10"/>
                <w:color w:val="auto"/>
              </w:rPr>
              <w:t>(210)</w:t>
            </w:r>
          </w:p>
        </w:tc>
        <w:tc>
          <w:tcPr>
            <w:tcW w:w="680" w:type="dxa"/>
            <w:vAlign w:val="bottom"/>
          </w:tcPr>
          <w:p>
            <w:pPr>
              <w:jc w:val="right"/>
              <w:ind w:right="89"/>
              <w:spacing w:after="0"/>
              <w:rPr>
                <w:sz w:val="20"/>
                <w:szCs w:val="20"/>
                <w:color w:val="auto"/>
              </w:rPr>
            </w:pPr>
            <w:r>
              <w:rPr>
                <w:rFonts w:ascii="Arial" w:cs="Arial" w:eastAsia="Arial" w:hAnsi="Arial"/>
                <w:sz w:val="10"/>
                <w:szCs w:val="10"/>
                <w:color w:val="auto"/>
              </w:rPr>
              <w:t>(375)</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(620)</w:t>
            </w:r>
          </w:p>
        </w:tc>
        <w:tc>
          <w:tcPr>
            <w:tcW w:w="34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(27)</w:t>
            </w:r>
          </w:p>
        </w:tc>
        <w:tc>
          <w:tcPr>
            <w:tcW w:w="740" w:type="dxa"/>
            <w:vAlign w:val="bottom"/>
          </w:tcPr>
          <w:p>
            <w:pPr>
              <w:jc w:val="right"/>
              <w:ind w:right="149"/>
              <w:spacing w:after="0"/>
              <w:rPr>
                <w:sz w:val="20"/>
                <w:szCs w:val="20"/>
                <w:color w:val="auto"/>
              </w:rPr>
            </w:pPr>
            <w:r>
              <w:rPr>
                <w:rFonts w:ascii="Arial" w:cs="Arial" w:eastAsia="Arial" w:hAnsi="Arial"/>
                <w:sz w:val="10"/>
                <w:szCs w:val="10"/>
                <w:color w:val="auto"/>
              </w:rPr>
              <w:t>(725)</w:t>
            </w:r>
          </w:p>
        </w:tc>
        <w:tc>
          <w:tcPr>
            <w:tcW w:w="880" w:type="dxa"/>
            <w:vAlign w:val="bottom"/>
          </w:tcPr>
          <w:p>
            <w:pPr>
              <w:jc w:val="right"/>
              <w:ind w:right="209"/>
              <w:spacing w:after="0"/>
              <w:rPr>
                <w:sz w:val="20"/>
                <w:szCs w:val="20"/>
                <w:color w:val="auto"/>
              </w:rPr>
            </w:pPr>
            <w:r>
              <w:rPr>
                <w:rFonts w:ascii="Arial" w:cs="Arial" w:eastAsia="Arial" w:hAnsi="Arial"/>
                <w:sz w:val="10"/>
                <w:szCs w:val="10"/>
                <w:color w:val="auto"/>
              </w:rPr>
              <w:t>(101)</w:t>
            </w:r>
          </w:p>
        </w:tc>
        <w:tc>
          <w:tcPr>
            <w:tcW w:w="680" w:type="dxa"/>
            <w:vAlign w:val="bottom"/>
          </w:tcPr>
          <w:p>
            <w:pPr>
              <w:jc w:val="right"/>
              <w:ind w:right="109"/>
              <w:spacing w:after="0"/>
              <w:rPr>
                <w:sz w:val="20"/>
                <w:szCs w:val="20"/>
                <w:color w:val="auto"/>
              </w:rPr>
            </w:pPr>
            <w:r>
              <w:rPr>
                <w:rFonts w:ascii="Arial" w:cs="Arial" w:eastAsia="Arial" w:hAnsi="Arial"/>
                <w:sz w:val="10"/>
                <w:szCs w:val="10"/>
                <w:color w:val="auto"/>
              </w:rPr>
              <w:t>(279)</w:t>
            </w:r>
          </w:p>
        </w:tc>
        <w:tc>
          <w:tcPr>
            <w:tcW w:w="940" w:type="dxa"/>
            <w:vAlign w:val="bottom"/>
            <w:gridSpan w:val="2"/>
          </w:tcPr>
          <w:p>
            <w:pPr>
              <w:jc w:val="right"/>
              <w:ind w:right="260"/>
              <w:spacing w:after="0"/>
              <w:rPr>
                <w:sz w:val="20"/>
                <w:szCs w:val="20"/>
                <w:color w:val="auto"/>
              </w:rPr>
            </w:pPr>
            <w:r>
              <w:rPr>
                <w:rFonts w:ascii="Arial" w:cs="Arial" w:eastAsia="Arial" w:hAnsi="Arial"/>
                <w:sz w:val="10"/>
                <w:szCs w:val="10"/>
                <w:color w:val="auto"/>
              </w:rPr>
              <w:t>(1,132)</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(1,752)</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(70)</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 31, 2007</w:t>
            </w:r>
            <w:r>
              <w:rPr>
                <w:rFonts w:ascii="Arial" w:cs="Arial" w:eastAsia="Arial" w:hAnsi="Arial"/>
                <w:sz w:val="8"/>
                <w:szCs w:val="8"/>
                <w:b w:val="1"/>
                <w:bCs w:val="1"/>
                <w:color w:val="0077C0"/>
              </w:rPr>
              <w:t>1</w:t>
            </w:r>
          </w:p>
        </w:tc>
        <w:tc>
          <w:tcPr>
            <w:tcW w:w="6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317</w:t>
            </w:r>
          </w:p>
        </w:tc>
        <w:tc>
          <w:tcPr>
            <w:tcW w:w="84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943</w:t>
            </w:r>
          </w:p>
        </w:tc>
        <w:tc>
          <w:tcPr>
            <w:tcW w:w="680" w:type="dxa"/>
            <w:vAlign w:val="bottom"/>
            <w:tcBorders>
              <w:top w:val="single" w:sz="8" w:color="0077C0"/>
            </w:tcBorders>
          </w:tcPr>
          <w:p>
            <w:pPr>
              <w:jc w:val="right"/>
              <w:ind w:right="129"/>
              <w:spacing w:after="0" w:line="92" w:lineRule="exact"/>
              <w:rPr>
                <w:sz w:val="20"/>
                <w:szCs w:val="20"/>
                <w:color w:val="auto"/>
              </w:rPr>
            </w:pPr>
            <w:r>
              <w:rPr>
                <w:rFonts w:ascii="Arial" w:cs="Arial" w:eastAsia="Arial" w:hAnsi="Arial"/>
                <w:sz w:val="10"/>
                <w:szCs w:val="10"/>
                <w:color w:val="auto"/>
              </w:rPr>
              <w:t>2,417</w:t>
            </w:r>
          </w:p>
        </w:tc>
        <w:tc>
          <w:tcPr>
            <w:tcW w:w="6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3,677</w:t>
            </w:r>
          </w:p>
        </w:tc>
        <w:tc>
          <w:tcPr>
            <w:tcW w:w="1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209"/>
              <w:spacing w:after="0" w:line="92" w:lineRule="exact"/>
              <w:rPr>
                <w:sz w:val="20"/>
                <w:szCs w:val="20"/>
                <w:color w:val="auto"/>
              </w:rPr>
            </w:pPr>
            <w:r>
              <w:rPr>
                <w:rFonts w:ascii="Arial" w:cs="Arial" w:eastAsia="Arial" w:hAnsi="Arial"/>
                <w:sz w:val="10"/>
                <w:szCs w:val="10"/>
                <w:color w:val="auto"/>
              </w:rPr>
              <w:t>3,049</w:t>
            </w:r>
          </w:p>
        </w:tc>
        <w:tc>
          <w:tcPr>
            <w:tcW w:w="7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8,827</w:t>
            </w:r>
          </w:p>
        </w:tc>
        <w:tc>
          <w:tcPr>
            <w:tcW w:w="880" w:type="dxa"/>
            <w:vAlign w:val="bottom"/>
            <w:tcBorders>
              <w:top w:val="single" w:sz="8" w:color="0077C0"/>
            </w:tcBorders>
          </w:tcPr>
          <w:p>
            <w:pPr>
              <w:jc w:val="right"/>
              <w:ind w:right="249"/>
              <w:spacing w:after="0" w:line="92" w:lineRule="exact"/>
              <w:rPr>
                <w:sz w:val="20"/>
                <w:szCs w:val="20"/>
                <w:color w:val="auto"/>
              </w:rPr>
            </w:pPr>
            <w:r>
              <w:rPr>
                <w:rFonts w:ascii="Arial" w:cs="Arial" w:eastAsia="Arial" w:hAnsi="Arial"/>
                <w:sz w:val="10"/>
                <w:szCs w:val="10"/>
                <w:color w:val="auto"/>
              </w:rPr>
              <w:t>485</w:t>
            </w:r>
          </w:p>
        </w:tc>
        <w:tc>
          <w:tcPr>
            <w:tcW w:w="68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3,099</w:t>
            </w:r>
          </w:p>
        </w:tc>
        <w:tc>
          <w:tcPr>
            <w:tcW w:w="940" w:type="dxa"/>
            <w:vAlign w:val="bottom"/>
            <w:tcBorders>
              <w:top w:val="single" w:sz="8" w:color="0077C0"/>
            </w:tcBorders>
            <w:gridSpan w:val="2"/>
          </w:tcPr>
          <w:p>
            <w:pPr>
              <w:jc w:val="right"/>
              <w:ind w:right="300"/>
              <w:spacing w:after="0" w:line="92" w:lineRule="exact"/>
              <w:rPr>
                <w:sz w:val="20"/>
                <w:szCs w:val="20"/>
                <w:color w:val="auto"/>
              </w:rPr>
            </w:pPr>
            <w:r>
              <w:rPr>
                <w:rFonts w:ascii="Arial" w:cs="Arial" w:eastAsia="Arial" w:hAnsi="Arial"/>
                <w:sz w:val="10"/>
                <w:szCs w:val="10"/>
                <w:color w:val="auto"/>
              </w:rPr>
              <w:t>15,460</w:t>
            </w:r>
          </w:p>
        </w:tc>
        <w:tc>
          <w:tcPr>
            <w:tcW w:w="640" w:type="dxa"/>
            <w:vAlign w:val="bottom"/>
            <w:tcBorders>
              <w:top w:val="single" w:sz="8" w:color="0077C0"/>
            </w:tcBorders>
            <w:gridSpan w:val="2"/>
          </w:tcPr>
          <w:p>
            <w:pPr>
              <w:jc w:val="right"/>
              <w:ind w:right="100"/>
              <w:spacing w:after="0" w:line="92" w:lineRule="exact"/>
              <w:rPr>
                <w:sz w:val="20"/>
                <w:szCs w:val="20"/>
                <w:color w:val="auto"/>
              </w:rPr>
            </w:pPr>
            <w:r>
              <w:rPr>
                <w:rFonts w:ascii="Arial" w:cs="Arial" w:eastAsia="Arial" w:hAnsi="Arial"/>
                <w:sz w:val="10"/>
                <w:szCs w:val="10"/>
                <w:color w:val="auto"/>
              </w:rPr>
              <w:t>19,137</w:t>
            </w:r>
          </w:p>
        </w:tc>
        <w:tc>
          <w:tcPr>
            <w:tcW w:w="34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2,748</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255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8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Revisions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8</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21</w:t>
            </w:r>
          </w:p>
        </w:tc>
        <w:tc>
          <w:tcPr>
            <w:tcW w:w="6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(57)</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(28)</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60</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961</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107</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66</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1,194</w:t>
            </w:r>
          </w:p>
        </w:tc>
        <w:tc>
          <w:tcPr>
            <w:tcW w:w="6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1,166</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498</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Improved recovery</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1100" w:type="dxa"/>
            <w:vAlign w:val="bottom"/>
            <w:gridSpan w:val="3"/>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3"/>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Extensions and discoveries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95</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13</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108</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23</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24</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132</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Purchases</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66</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66</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441</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441</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507</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Sales</w:t>
            </w:r>
            <w:r>
              <w:rPr>
                <w:rFonts w:ascii="Arial" w:cs="Arial" w:eastAsia="Arial" w:hAnsi="Arial"/>
                <w:sz w:val="8"/>
                <w:szCs w:val="8"/>
                <w:color w:val="auto"/>
              </w:rPr>
              <w:t>3</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(27)</w:t>
            </w:r>
          </w:p>
        </w:tc>
        <w:tc>
          <w:tcPr>
            <w:tcW w:w="680" w:type="dxa"/>
            <w:vAlign w:val="bottom"/>
          </w:tcPr>
          <w:p>
            <w:pPr>
              <w:jc w:val="right"/>
              <w:ind w:right="89"/>
              <w:spacing w:after="0" w:line="106" w:lineRule="exact"/>
              <w:rPr>
                <w:sz w:val="20"/>
                <w:szCs w:val="20"/>
                <w:color w:val="auto"/>
              </w:rPr>
            </w:pPr>
            <w:r>
              <w:rPr>
                <w:rFonts w:ascii="Arial" w:cs="Arial" w:eastAsia="Arial" w:hAnsi="Arial"/>
                <w:sz w:val="10"/>
                <w:szCs w:val="10"/>
                <w:color w:val="auto"/>
              </w:rPr>
              <w:t>(97)</w:t>
            </w:r>
          </w:p>
        </w:tc>
        <w:tc>
          <w:tcPr>
            <w:tcW w:w="7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(124)</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(124)</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ind w:left="80"/>
              <w:spacing w:after="0"/>
              <w:rPr>
                <w:sz w:val="20"/>
                <w:szCs w:val="20"/>
                <w:color w:val="auto"/>
              </w:rPr>
            </w:pPr>
            <w:r>
              <w:rPr>
                <w:rFonts w:ascii="Arial" w:cs="Arial" w:eastAsia="Arial" w:hAnsi="Arial"/>
                <w:sz w:val="10"/>
                <w:szCs w:val="10"/>
                <w:color w:val="auto"/>
              </w:rPr>
              <w:t>Production</w:t>
            </w:r>
          </w:p>
        </w:tc>
        <w:tc>
          <w:tcPr>
            <w:tcW w:w="640" w:type="dxa"/>
            <w:vAlign w:val="bottom"/>
          </w:tcPr>
          <w:p>
            <w:pPr>
              <w:jc w:val="right"/>
              <w:ind w:right="209"/>
              <w:spacing w:after="0"/>
              <w:rPr>
                <w:sz w:val="20"/>
                <w:szCs w:val="20"/>
                <w:color w:val="auto"/>
              </w:rPr>
            </w:pPr>
            <w:r>
              <w:rPr>
                <w:rFonts w:ascii="Arial" w:cs="Arial" w:eastAsia="Arial" w:hAnsi="Arial"/>
                <w:sz w:val="10"/>
                <w:szCs w:val="10"/>
                <w:color w:val="auto"/>
              </w:rPr>
              <w:t>(32)</w:t>
            </w:r>
          </w:p>
        </w:tc>
        <w:tc>
          <w:tcPr>
            <w:tcW w:w="840" w:type="dxa"/>
            <w:vAlign w:val="bottom"/>
          </w:tcPr>
          <w:p>
            <w:pPr>
              <w:jc w:val="right"/>
              <w:ind w:right="229"/>
              <w:spacing w:after="0"/>
              <w:rPr>
                <w:sz w:val="20"/>
                <w:szCs w:val="20"/>
                <w:color w:val="auto"/>
              </w:rPr>
            </w:pPr>
            <w:r>
              <w:rPr>
                <w:rFonts w:ascii="Arial" w:cs="Arial" w:eastAsia="Arial" w:hAnsi="Arial"/>
                <w:sz w:val="10"/>
                <w:szCs w:val="10"/>
                <w:color w:val="auto"/>
              </w:rPr>
              <w:t>(161)</w:t>
            </w:r>
          </w:p>
        </w:tc>
        <w:tc>
          <w:tcPr>
            <w:tcW w:w="680" w:type="dxa"/>
            <w:vAlign w:val="bottom"/>
          </w:tcPr>
          <w:p>
            <w:pPr>
              <w:jc w:val="right"/>
              <w:ind w:right="89"/>
              <w:spacing w:after="0"/>
              <w:rPr>
                <w:sz w:val="20"/>
                <w:szCs w:val="20"/>
                <w:color w:val="auto"/>
              </w:rPr>
            </w:pPr>
            <w:r>
              <w:rPr>
                <w:rFonts w:ascii="Arial" w:cs="Arial" w:eastAsia="Arial" w:hAnsi="Arial"/>
                <w:sz w:val="10"/>
                <w:szCs w:val="10"/>
                <w:color w:val="auto"/>
              </w:rPr>
              <w:t>(356)</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(549)</w:t>
            </w:r>
          </w:p>
        </w:tc>
        <w:tc>
          <w:tcPr>
            <w:tcW w:w="34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(53)</w:t>
            </w:r>
          </w:p>
        </w:tc>
        <w:tc>
          <w:tcPr>
            <w:tcW w:w="740" w:type="dxa"/>
            <w:vAlign w:val="bottom"/>
          </w:tcPr>
          <w:p>
            <w:pPr>
              <w:jc w:val="right"/>
              <w:ind w:right="149"/>
              <w:spacing w:after="0"/>
              <w:rPr>
                <w:sz w:val="20"/>
                <w:szCs w:val="20"/>
                <w:color w:val="auto"/>
              </w:rPr>
            </w:pPr>
            <w:r>
              <w:rPr>
                <w:rFonts w:ascii="Arial" w:cs="Arial" w:eastAsia="Arial" w:hAnsi="Arial"/>
                <w:sz w:val="10"/>
                <w:szCs w:val="10"/>
                <w:color w:val="auto"/>
              </w:rPr>
              <w:t>(769)</w:t>
            </w:r>
          </w:p>
        </w:tc>
        <w:tc>
          <w:tcPr>
            <w:tcW w:w="880" w:type="dxa"/>
            <w:vAlign w:val="bottom"/>
          </w:tcPr>
          <w:p>
            <w:pPr>
              <w:jc w:val="right"/>
              <w:ind w:right="209"/>
              <w:spacing w:after="0"/>
              <w:rPr>
                <w:sz w:val="20"/>
                <w:szCs w:val="20"/>
                <w:color w:val="auto"/>
              </w:rPr>
            </w:pPr>
            <w:r>
              <w:rPr>
                <w:rFonts w:ascii="Arial" w:cs="Arial" w:eastAsia="Arial" w:hAnsi="Arial"/>
                <w:sz w:val="10"/>
                <w:szCs w:val="10"/>
                <w:color w:val="auto"/>
              </w:rPr>
              <w:t>(117)</w:t>
            </w:r>
          </w:p>
        </w:tc>
        <w:tc>
          <w:tcPr>
            <w:tcW w:w="680" w:type="dxa"/>
            <w:vAlign w:val="bottom"/>
          </w:tcPr>
          <w:p>
            <w:pPr>
              <w:jc w:val="right"/>
              <w:ind w:right="109"/>
              <w:spacing w:after="0"/>
              <w:rPr>
                <w:sz w:val="20"/>
                <w:szCs w:val="20"/>
                <w:color w:val="auto"/>
              </w:rPr>
            </w:pPr>
            <w:r>
              <w:rPr>
                <w:rFonts w:ascii="Arial" w:cs="Arial" w:eastAsia="Arial" w:hAnsi="Arial"/>
                <w:sz w:val="10"/>
                <w:szCs w:val="10"/>
                <w:color w:val="auto"/>
              </w:rPr>
              <w:t>(308)</w:t>
            </w:r>
          </w:p>
        </w:tc>
        <w:tc>
          <w:tcPr>
            <w:tcW w:w="940" w:type="dxa"/>
            <w:vAlign w:val="bottom"/>
            <w:gridSpan w:val="2"/>
          </w:tcPr>
          <w:p>
            <w:pPr>
              <w:jc w:val="right"/>
              <w:ind w:right="260"/>
              <w:spacing w:after="0"/>
              <w:rPr>
                <w:sz w:val="20"/>
                <w:szCs w:val="20"/>
                <w:color w:val="auto"/>
              </w:rPr>
            </w:pPr>
            <w:r>
              <w:rPr>
                <w:rFonts w:ascii="Arial" w:cs="Arial" w:eastAsia="Arial" w:hAnsi="Arial"/>
                <w:sz w:val="10"/>
                <w:szCs w:val="10"/>
                <w:color w:val="auto"/>
              </w:rPr>
              <w:t>(1,247)</w:t>
            </w: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(1,796)</w:t>
            </w:r>
          </w:p>
        </w:tc>
        <w:tc>
          <w:tcPr>
            <w:tcW w:w="34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(71)</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21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Reserves at Dec. 31, 2008</w:t>
            </w:r>
            <w:r>
              <w:rPr>
                <w:rFonts w:ascii="Arial" w:cs="Arial" w:eastAsia="Arial" w:hAnsi="Arial"/>
                <w:sz w:val="8"/>
                <w:szCs w:val="8"/>
                <w:b w:val="1"/>
                <w:bCs w:val="1"/>
                <w:color w:val="0077C0"/>
              </w:rPr>
              <w:t>1,4</w:t>
            </w:r>
          </w:p>
        </w:tc>
        <w:tc>
          <w:tcPr>
            <w:tcW w:w="640" w:type="dxa"/>
            <w:vAlign w:val="bottom"/>
            <w:tcBorders>
              <w:top w:val="single" w:sz="8" w:color="0077C0"/>
              <w:bottom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293</w:t>
            </w:r>
          </w:p>
        </w:tc>
        <w:tc>
          <w:tcPr>
            <w:tcW w:w="840" w:type="dxa"/>
            <w:vAlign w:val="bottom"/>
            <w:tcBorders>
              <w:top w:val="single" w:sz="8" w:color="0077C0"/>
              <w:bottom w:val="single" w:sz="8" w:color="0077C0"/>
            </w:tcBorders>
          </w:tcPr>
          <w:p>
            <w:pPr>
              <w:jc w:val="right"/>
              <w:ind w:right="249"/>
              <w:spacing w:after="0" w:line="105" w:lineRule="exact"/>
              <w:rPr>
                <w:sz w:val="20"/>
                <w:szCs w:val="20"/>
                <w:color w:val="auto"/>
              </w:rPr>
            </w:pPr>
            <w:r>
              <w:rPr>
                <w:rFonts w:ascii="Arial" w:cs="Arial" w:eastAsia="Arial" w:hAnsi="Arial"/>
                <w:sz w:val="10"/>
                <w:szCs w:val="10"/>
                <w:b w:val="1"/>
                <w:bCs w:val="1"/>
                <w:color w:val="auto"/>
              </w:rPr>
              <w:t>871</w:t>
            </w:r>
          </w:p>
        </w:tc>
        <w:tc>
          <w:tcPr>
            <w:tcW w:w="68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1,986</w:t>
            </w: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3,150</w:t>
            </w:r>
          </w:p>
        </w:tc>
        <w:tc>
          <w:tcPr>
            <w:tcW w:w="120" w:type="dxa"/>
            <w:vAlign w:val="bottom"/>
            <w:tcBorders>
              <w:top w:val="single" w:sz="8" w:color="0077C0"/>
              <w:bottom w:val="single" w:sz="8" w:color="0077C0"/>
            </w:tcBorders>
          </w:tcPr>
          <w:p>
            <w:pPr>
              <w:spacing w:after="0"/>
              <w:rPr>
                <w:sz w:val="9"/>
                <w:szCs w:val="9"/>
                <w:color w:val="auto"/>
              </w:rPr>
            </w:pPr>
          </w:p>
        </w:tc>
        <w:tc>
          <w:tcPr>
            <w:tcW w:w="34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3,056</w:t>
            </w:r>
          </w:p>
        </w:tc>
        <w:tc>
          <w:tcPr>
            <w:tcW w:w="7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9,483</w:t>
            </w:r>
          </w:p>
        </w:tc>
        <w:tc>
          <w:tcPr>
            <w:tcW w:w="880" w:type="dxa"/>
            <w:vAlign w:val="bottom"/>
            <w:tcBorders>
              <w:top w:val="single" w:sz="8" w:color="0077C0"/>
              <w:bottom w:val="single" w:sz="8" w:color="0077C0"/>
            </w:tcBorders>
          </w:tcPr>
          <w:p>
            <w:pPr>
              <w:jc w:val="right"/>
              <w:ind w:right="249"/>
              <w:spacing w:after="0" w:line="105" w:lineRule="exact"/>
              <w:rPr>
                <w:sz w:val="20"/>
                <w:szCs w:val="20"/>
                <w:color w:val="auto"/>
              </w:rPr>
            </w:pPr>
            <w:r>
              <w:rPr>
                <w:rFonts w:ascii="Arial" w:cs="Arial" w:eastAsia="Arial" w:hAnsi="Arial"/>
                <w:sz w:val="10"/>
                <w:szCs w:val="10"/>
                <w:b w:val="1"/>
                <w:bCs w:val="1"/>
                <w:color w:val="auto"/>
              </w:rPr>
              <w:t>475</w:t>
            </w:r>
          </w:p>
        </w:tc>
        <w:tc>
          <w:tcPr>
            <w:tcW w:w="68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2,858</w:t>
            </w:r>
          </w:p>
        </w:tc>
        <w:tc>
          <w:tcPr>
            <w:tcW w:w="940" w:type="dxa"/>
            <w:vAlign w:val="bottom"/>
            <w:tcBorders>
              <w:top w:val="single" w:sz="8" w:color="0077C0"/>
              <w:bottom w:val="single" w:sz="8" w:color="0077C0"/>
            </w:tcBorders>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rPr>
              <w:t>15,872</w:t>
            </w:r>
          </w:p>
        </w:tc>
        <w:tc>
          <w:tcPr>
            <w:tcW w:w="640" w:type="dxa"/>
            <w:vAlign w:val="bottom"/>
            <w:tcBorders>
              <w:top w:val="single" w:sz="8" w:color="0077C0"/>
              <w:bottom w:val="single" w:sz="8" w:color="0077C0"/>
            </w:tcBorders>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rPr>
              <w:t>19,022</w:t>
            </w:r>
          </w:p>
        </w:tc>
        <w:tc>
          <w:tcPr>
            <w:tcW w:w="34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3,175</w:t>
            </w:r>
          </w:p>
        </w:tc>
        <w:tc>
          <w:tcPr>
            <w:tcW w:w="4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878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18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Developed Reserves</w:t>
            </w:r>
            <w:r>
              <w:rPr>
                <w:rFonts w:ascii="Arial" w:cs="Arial" w:eastAsia="Arial" w:hAnsi="Arial"/>
                <w:sz w:val="8"/>
                <w:szCs w:val="8"/>
                <w:b w:val="1"/>
                <w:bCs w:val="1"/>
                <w:color w:val="0077C0"/>
              </w:rPr>
              <w:t>5</w:t>
            </w: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At Jan. 1, 2006</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251</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977</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2,794</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4,022</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1,346</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4,819</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449</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2,453</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9,067</w:t>
            </w:r>
          </w:p>
        </w:tc>
        <w:tc>
          <w:tcPr>
            <w:tcW w:w="6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13,089</w:t>
            </w: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2,314</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85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Pr>
          <w:p>
            <w:pPr>
              <w:ind w:left="80"/>
              <w:spacing w:after="0" w:line="106" w:lineRule="exact"/>
              <w:rPr>
                <w:sz w:val="20"/>
                <w:szCs w:val="20"/>
                <w:color w:val="auto"/>
              </w:rPr>
            </w:pPr>
            <w:r>
              <w:rPr>
                <w:rFonts w:ascii="Arial" w:cs="Arial" w:eastAsia="Arial" w:hAnsi="Arial"/>
                <w:sz w:val="10"/>
                <w:szCs w:val="10"/>
                <w:color w:val="auto"/>
              </w:rPr>
              <w:t>At Dec. 31, 2006</w:t>
            </w:r>
          </w:p>
        </w:tc>
        <w:tc>
          <w:tcPr>
            <w:tcW w:w="6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250</w:t>
            </w:r>
          </w:p>
        </w:tc>
        <w:tc>
          <w:tcPr>
            <w:tcW w:w="84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873</w:t>
            </w:r>
          </w:p>
        </w:tc>
        <w:tc>
          <w:tcPr>
            <w:tcW w:w="68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2,434</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3,557</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1,306</w:t>
            </w:r>
          </w:p>
        </w:tc>
        <w:tc>
          <w:tcPr>
            <w:tcW w:w="7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4,751</w:t>
            </w:r>
          </w:p>
        </w:tc>
        <w:tc>
          <w:tcPr>
            <w:tcW w:w="880" w:type="dxa"/>
            <w:vAlign w:val="bottom"/>
          </w:tcPr>
          <w:p>
            <w:pPr>
              <w:jc w:val="right"/>
              <w:ind w:right="249"/>
              <w:spacing w:after="0" w:line="106" w:lineRule="exact"/>
              <w:rPr>
                <w:sz w:val="20"/>
                <w:szCs w:val="20"/>
                <w:color w:val="auto"/>
              </w:rPr>
            </w:pPr>
            <w:r>
              <w:rPr>
                <w:rFonts w:ascii="Arial" w:cs="Arial" w:eastAsia="Arial" w:hAnsi="Arial"/>
                <w:sz w:val="10"/>
                <w:szCs w:val="10"/>
                <w:color w:val="auto"/>
              </w:rPr>
              <w:t>377</w:t>
            </w: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1,912</w:t>
            </w:r>
          </w:p>
        </w:tc>
        <w:tc>
          <w:tcPr>
            <w:tcW w:w="94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8,346</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11,903</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1,412</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60" w:type="dxa"/>
            <w:vAlign w:val="bottom"/>
          </w:tcPr>
          <w:p>
            <w:pPr>
              <w:ind w:left="80"/>
              <w:spacing w:after="0" w:line="104" w:lineRule="exact"/>
              <w:rPr>
                <w:sz w:val="20"/>
                <w:szCs w:val="20"/>
                <w:color w:val="auto"/>
              </w:rPr>
            </w:pPr>
            <w:r>
              <w:rPr>
                <w:rFonts w:ascii="Arial" w:cs="Arial" w:eastAsia="Arial" w:hAnsi="Arial"/>
                <w:sz w:val="10"/>
                <w:szCs w:val="10"/>
                <w:color w:val="auto"/>
              </w:rPr>
              <w:t>At Dec. 31, 2007</w:t>
            </w:r>
          </w:p>
        </w:tc>
        <w:tc>
          <w:tcPr>
            <w:tcW w:w="640" w:type="dxa"/>
            <w:vAlign w:val="bottom"/>
          </w:tcPr>
          <w:p>
            <w:pPr>
              <w:jc w:val="right"/>
              <w:ind w:right="229"/>
              <w:spacing w:after="0" w:line="104" w:lineRule="exact"/>
              <w:rPr>
                <w:sz w:val="20"/>
                <w:szCs w:val="20"/>
                <w:color w:val="auto"/>
              </w:rPr>
            </w:pPr>
            <w:r>
              <w:rPr>
                <w:rFonts w:ascii="Arial" w:cs="Arial" w:eastAsia="Arial" w:hAnsi="Arial"/>
                <w:sz w:val="10"/>
                <w:szCs w:val="10"/>
                <w:color w:val="auto"/>
              </w:rPr>
              <w:t>261</w:t>
            </w:r>
          </w:p>
        </w:tc>
        <w:tc>
          <w:tcPr>
            <w:tcW w:w="840" w:type="dxa"/>
            <w:vAlign w:val="bottom"/>
          </w:tcPr>
          <w:p>
            <w:pPr>
              <w:jc w:val="right"/>
              <w:ind w:right="249"/>
              <w:spacing w:after="0" w:line="104" w:lineRule="exact"/>
              <w:rPr>
                <w:sz w:val="20"/>
                <w:szCs w:val="20"/>
                <w:color w:val="auto"/>
              </w:rPr>
            </w:pPr>
            <w:r>
              <w:rPr>
                <w:rFonts w:ascii="Arial" w:cs="Arial" w:eastAsia="Arial" w:hAnsi="Arial"/>
                <w:sz w:val="10"/>
                <w:szCs w:val="10"/>
                <w:color w:val="auto"/>
              </w:rPr>
              <w:t>727</w:t>
            </w:r>
          </w:p>
        </w:tc>
        <w:tc>
          <w:tcPr>
            <w:tcW w:w="68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2,238</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3,226</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1,151</w:t>
            </w:r>
          </w:p>
        </w:tc>
        <w:tc>
          <w:tcPr>
            <w:tcW w:w="74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5,081</w:t>
            </w:r>
          </w:p>
        </w:tc>
        <w:tc>
          <w:tcPr>
            <w:tcW w:w="880" w:type="dxa"/>
            <w:vAlign w:val="bottom"/>
          </w:tcPr>
          <w:p>
            <w:pPr>
              <w:jc w:val="right"/>
              <w:ind w:right="249"/>
              <w:spacing w:after="0" w:line="104" w:lineRule="exact"/>
              <w:rPr>
                <w:sz w:val="20"/>
                <w:szCs w:val="20"/>
                <w:color w:val="auto"/>
              </w:rPr>
            </w:pPr>
            <w:r>
              <w:rPr>
                <w:rFonts w:ascii="Arial" w:cs="Arial" w:eastAsia="Arial" w:hAnsi="Arial"/>
                <w:sz w:val="10"/>
                <w:szCs w:val="10"/>
                <w:color w:val="auto"/>
              </w:rPr>
              <w:t>326</w:t>
            </w:r>
          </w:p>
        </w:tc>
        <w:tc>
          <w:tcPr>
            <w:tcW w:w="68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1,915</w:t>
            </w:r>
          </w:p>
        </w:tc>
        <w:tc>
          <w:tcPr>
            <w:tcW w:w="940" w:type="dxa"/>
            <w:vAlign w:val="bottom"/>
            <w:gridSpan w:val="2"/>
          </w:tcPr>
          <w:p>
            <w:pPr>
              <w:jc w:val="right"/>
              <w:ind w:right="300"/>
              <w:spacing w:after="0" w:line="104" w:lineRule="exact"/>
              <w:rPr>
                <w:sz w:val="20"/>
                <w:szCs w:val="20"/>
                <w:color w:val="auto"/>
              </w:rPr>
            </w:pPr>
            <w:r>
              <w:rPr>
                <w:rFonts w:ascii="Arial" w:cs="Arial" w:eastAsia="Arial" w:hAnsi="Arial"/>
                <w:sz w:val="10"/>
                <w:szCs w:val="10"/>
                <w:color w:val="auto"/>
              </w:rPr>
              <w:t>8,473</w:t>
            </w:r>
          </w:p>
        </w:tc>
        <w:tc>
          <w:tcPr>
            <w:tcW w:w="540" w:type="dxa"/>
            <w:vAlign w:val="bottom"/>
          </w:tcPr>
          <w:p>
            <w:pPr>
              <w:jc w:val="right"/>
              <w:spacing w:after="0" w:line="104" w:lineRule="exact"/>
              <w:rPr>
                <w:sz w:val="20"/>
                <w:szCs w:val="20"/>
                <w:color w:val="auto"/>
              </w:rPr>
            </w:pPr>
            <w:r>
              <w:rPr>
                <w:rFonts w:ascii="Arial" w:cs="Arial" w:eastAsia="Arial" w:hAnsi="Arial"/>
                <w:sz w:val="10"/>
                <w:szCs w:val="10"/>
                <w:color w:val="auto"/>
              </w:rPr>
              <w:t>11,699</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jc w:val="right"/>
              <w:ind w:right="229"/>
              <w:spacing w:after="0" w:line="104" w:lineRule="exact"/>
              <w:rPr>
                <w:sz w:val="20"/>
                <w:szCs w:val="20"/>
                <w:color w:val="auto"/>
              </w:rPr>
            </w:pPr>
            <w:r>
              <w:rPr>
                <w:rFonts w:ascii="Arial" w:cs="Arial" w:eastAsia="Arial" w:hAnsi="Arial"/>
                <w:sz w:val="10"/>
                <w:szCs w:val="10"/>
                <w:color w:val="auto"/>
              </w:rPr>
              <w:t>1,762</w:t>
            </w:r>
          </w:p>
        </w:tc>
        <w:tc>
          <w:tcPr>
            <w:tcW w:w="52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At Dec. 31, 2008</w:t>
            </w:r>
          </w:p>
        </w:tc>
        <w:tc>
          <w:tcPr>
            <w:tcW w:w="640" w:type="dxa"/>
            <w:vAlign w:val="bottom"/>
            <w:tcBorders>
              <w:bottom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247</w:t>
            </w:r>
          </w:p>
        </w:tc>
        <w:tc>
          <w:tcPr>
            <w:tcW w:w="840" w:type="dxa"/>
            <w:vAlign w:val="bottom"/>
            <w:tcBorders>
              <w:bottom w:val="single" w:sz="8" w:color="0077C0"/>
            </w:tcBorders>
          </w:tcPr>
          <w:p>
            <w:pPr>
              <w:jc w:val="right"/>
              <w:ind w:right="249"/>
              <w:spacing w:after="0"/>
              <w:rPr>
                <w:sz w:val="20"/>
                <w:szCs w:val="20"/>
                <w:color w:val="auto"/>
              </w:rPr>
            </w:pPr>
            <w:r>
              <w:rPr>
                <w:rFonts w:ascii="Arial" w:cs="Arial" w:eastAsia="Arial" w:hAnsi="Arial"/>
                <w:sz w:val="10"/>
                <w:szCs w:val="10"/>
                <w:b w:val="1"/>
                <w:bCs w:val="1"/>
                <w:color w:val="auto"/>
              </w:rPr>
              <w:t>669</w:t>
            </w:r>
          </w:p>
        </w:tc>
        <w:tc>
          <w:tcPr>
            <w:tcW w:w="6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1,793</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2,709</w:t>
            </w:r>
          </w:p>
        </w:tc>
        <w:tc>
          <w:tcPr>
            <w:tcW w:w="120" w:type="dxa"/>
            <w:vAlign w:val="bottom"/>
            <w:tcBorders>
              <w:bottom w:val="single" w:sz="8" w:color="0077C0"/>
            </w:tcBorders>
          </w:tcPr>
          <w:p>
            <w:pPr>
              <w:spacing w:after="0"/>
              <w:rPr>
                <w:sz w:val="11"/>
                <w:szCs w:val="11"/>
                <w:color w:val="auto"/>
              </w:rPr>
            </w:pPr>
          </w:p>
        </w:tc>
        <w:tc>
          <w:tcPr>
            <w:tcW w:w="340" w:type="dxa"/>
            <w:vAlign w:val="bottom"/>
            <w:tcBorders>
              <w:bottom w:val="single" w:sz="8" w:color="0077C0"/>
            </w:tcBorders>
          </w:tcPr>
          <w:p>
            <w:pPr>
              <w:spacing w:after="0"/>
              <w:rPr>
                <w:sz w:val="11"/>
                <w:szCs w:val="11"/>
                <w:color w:val="auto"/>
              </w:rPr>
            </w:pPr>
          </w:p>
        </w:tc>
        <w:tc>
          <w:tcPr>
            <w:tcW w:w="60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b w:val="1"/>
                <w:bCs w:val="1"/>
                <w:color w:val="auto"/>
              </w:rPr>
              <w:t>1,209</w:t>
            </w:r>
          </w:p>
        </w:tc>
        <w:tc>
          <w:tcPr>
            <w:tcW w:w="7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5,374</w:t>
            </w:r>
          </w:p>
        </w:tc>
        <w:tc>
          <w:tcPr>
            <w:tcW w:w="880" w:type="dxa"/>
            <w:vAlign w:val="bottom"/>
            <w:tcBorders>
              <w:bottom w:val="single" w:sz="8" w:color="0077C0"/>
            </w:tcBorders>
          </w:tcPr>
          <w:p>
            <w:pPr>
              <w:jc w:val="right"/>
              <w:ind w:right="249"/>
              <w:spacing w:after="0"/>
              <w:rPr>
                <w:sz w:val="20"/>
                <w:szCs w:val="20"/>
                <w:color w:val="auto"/>
              </w:rPr>
            </w:pPr>
            <w:r>
              <w:rPr>
                <w:rFonts w:ascii="Arial" w:cs="Arial" w:eastAsia="Arial" w:hAnsi="Arial"/>
                <w:sz w:val="10"/>
                <w:szCs w:val="10"/>
                <w:b w:val="1"/>
                <w:bCs w:val="1"/>
                <w:color w:val="auto"/>
              </w:rPr>
              <w:t>302</w:t>
            </w:r>
          </w:p>
        </w:tc>
        <w:tc>
          <w:tcPr>
            <w:tcW w:w="6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2,245</w:t>
            </w:r>
          </w:p>
        </w:tc>
        <w:tc>
          <w:tcPr>
            <w:tcW w:w="940" w:type="dxa"/>
            <w:vAlign w:val="bottom"/>
            <w:tcBorders>
              <w:bottom w:val="single" w:sz="8" w:color="0077C0"/>
            </w:tcBorders>
            <w:gridSpan w:val="2"/>
          </w:tcPr>
          <w:p>
            <w:pPr>
              <w:jc w:val="right"/>
              <w:ind w:right="300"/>
              <w:spacing w:after="0"/>
              <w:rPr>
                <w:sz w:val="20"/>
                <w:szCs w:val="20"/>
                <w:color w:val="auto"/>
              </w:rPr>
            </w:pPr>
            <w:r>
              <w:rPr>
                <w:rFonts w:ascii="Arial" w:cs="Arial" w:eastAsia="Arial" w:hAnsi="Arial"/>
                <w:sz w:val="10"/>
                <w:szCs w:val="10"/>
                <w:b w:val="1"/>
                <w:bCs w:val="1"/>
                <w:color w:val="auto"/>
              </w:rPr>
              <w:t>9,130</w:t>
            </w:r>
          </w:p>
        </w:tc>
        <w:tc>
          <w:tcPr>
            <w:tcW w:w="64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0"/>
                <w:szCs w:val="10"/>
                <w:b w:val="1"/>
                <w:bCs w:val="1"/>
                <w:color w:val="auto"/>
              </w:rPr>
              <w:t>11,839</w:t>
            </w:r>
          </w:p>
        </w:tc>
        <w:tc>
          <w:tcPr>
            <w:tcW w:w="34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1,999</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124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00" w:hanging="54"/>
        <w:spacing w:after="0"/>
        <w:tabs>
          <w:tab w:leader="none" w:pos="100" w:val="left"/>
        </w:tabs>
        <w:numPr>
          <w:ilvl w:val="0"/>
          <w:numId w:val="65"/>
        </w:numPr>
        <w:rPr>
          <w:rFonts w:ascii="Arial" w:cs="Arial" w:eastAsia="Arial" w:hAnsi="Arial"/>
          <w:sz w:val="8"/>
          <w:szCs w:val="8"/>
          <w:color w:val="auto"/>
        </w:rPr>
      </w:pPr>
      <w:r>
        <w:rPr>
          <w:rFonts w:ascii="Arial" w:cs="Arial" w:eastAsia="Arial" w:hAnsi="Arial"/>
          <w:sz w:val="9"/>
          <w:szCs w:val="9"/>
          <w:color w:val="auto"/>
        </w:rPr>
        <w:t>Includes year-end reserve quantities related to production-sharing contracts (PSC) (refer to page E-146 for the definition of a PSC). PSC-related reserve quantities are 40 percent, 37 percent and 47 percent for consolidated companies for 2008, 2007 and 2006, respectively.</w:t>
      </w:r>
    </w:p>
    <w:p>
      <w:pPr>
        <w:spacing w:after="0" w:line="10" w:lineRule="exact"/>
        <w:rPr>
          <w:rFonts w:ascii="Arial" w:cs="Arial" w:eastAsia="Arial" w:hAnsi="Arial"/>
          <w:sz w:val="8"/>
          <w:szCs w:val="8"/>
          <w:color w:val="auto"/>
        </w:rPr>
      </w:pPr>
    </w:p>
    <w:p>
      <w:pPr>
        <w:ind w:left="40"/>
        <w:spacing w:after="0"/>
        <w:rPr>
          <w:rFonts w:ascii="Arial" w:cs="Arial" w:eastAsia="Arial" w:hAnsi="Arial"/>
          <w:sz w:val="8"/>
          <w:szCs w:val="8"/>
          <w:color w:val="auto"/>
        </w:rPr>
      </w:pPr>
      <w:r>
        <w:rPr>
          <w:rFonts w:ascii="Arial" w:cs="Arial" w:eastAsia="Arial" w:hAnsi="Arial"/>
          <w:sz w:val="8"/>
          <w:szCs w:val="8"/>
          <w:color w:val="auto"/>
        </w:rPr>
        <w:t>2 Includes reserves acquired through nonmonetary transactions.</w:t>
      </w:r>
    </w:p>
    <w:p>
      <w:pPr>
        <w:spacing w:after="0" w:line="13" w:lineRule="exact"/>
        <w:rPr>
          <w:rFonts w:ascii="Arial" w:cs="Arial" w:eastAsia="Arial" w:hAnsi="Arial"/>
          <w:sz w:val="8"/>
          <w:szCs w:val="8"/>
          <w:color w:val="auto"/>
        </w:rPr>
      </w:pPr>
    </w:p>
    <w:p>
      <w:pPr>
        <w:ind w:left="40"/>
        <w:spacing w:after="0"/>
        <w:rPr>
          <w:rFonts w:ascii="Arial" w:cs="Arial" w:eastAsia="Arial" w:hAnsi="Arial"/>
          <w:sz w:val="8"/>
          <w:szCs w:val="8"/>
          <w:color w:val="auto"/>
        </w:rPr>
      </w:pPr>
      <w:r>
        <w:rPr>
          <w:rFonts w:ascii="Arial" w:cs="Arial" w:eastAsia="Arial" w:hAnsi="Arial"/>
          <w:sz w:val="8"/>
          <w:szCs w:val="8"/>
          <w:color w:val="auto"/>
        </w:rPr>
        <w:t>3 Includes reserves disposed of through nonmonetary transactions.</w:t>
      </w:r>
    </w:p>
    <w:p>
      <w:pPr>
        <w:spacing w:after="0" w:line="13" w:lineRule="exact"/>
        <w:rPr>
          <w:rFonts w:ascii="Arial" w:cs="Arial" w:eastAsia="Arial" w:hAnsi="Arial"/>
          <w:sz w:val="8"/>
          <w:szCs w:val="8"/>
          <w:color w:val="auto"/>
        </w:rPr>
      </w:pPr>
    </w:p>
    <w:p>
      <w:pPr>
        <w:ind w:left="40" w:right="60"/>
        <w:spacing w:after="0" w:line="286" w:lineRule="auto"/>
        <w:rPr>
          <w:rFonts w:ascii="Arial" w:cs="Arial" w:eastAsia="Arial" w:hAnsi="Arial"/>
          <w:sz w:val="8"/>
          <w:szCs w:val="8"/>
          <w:color w:val="auto"/>
        </w:rPr>
      </w:pPr>
      <w:r>
        <w:rPr>
          <w:rFonts w:ascii="Arial" w:cs="Arial" w:eastAsia="Arial" w:hAnsi="Arial"/>
          <w:sz w:val="8"/>
          <w:szCs w:val="8"/>
          <w:color w:val="auto"/>
        </w:rPr>
        <w:t>4 Net reserve changes (excluding production) in 2008 consist of 1,936 billion cubic feet of developed reserves and (255) billion cubic feet of undeveloped reserves for consolidated companies and 324 billion cubic feet of developed reserves and 806 billion cubic feet of undeveloped reserves for affiliated companies. 5 During 2008, the percentages of undeveloped reserves at December 31, 2007, transferred to developed reserves were 12 percent and 0 percent for consolidated companies and affiliated companies, respectively.</w:t>
      </w:r>
    </w:p>
    <w:p>
      <w:pPr>
        <w:sectPr>
          <w:pgSz w:w="11900" w:h="16838" w:orient="portrait"/>
          <w:cols w:equalWidth="0" w:num="1">
            <w:col w:w="11420"/>
          </w:cols>
          <w:pgMar w:left="220" w:top="338" w:right="259" w:bottom="1440" w:gutter="0" w:footer="0" w:header="0"/>
        </w:sectPr>
      </w:pPr>
    </w:p>
    <w:p>
      <w:pPr>
        <w:spacing w:after="0" w:line="246" w:lineRule="exact"/>
        <w:rPr>
          <w:sz w:val="20"/>
          <w:szCs w:val="20"/>
          <w:color w:val="auto"/>
        </w:rPr>
      </w:pPr>
    </w:p>
    <w:p>
      <w:pPr>
        <w:ind w:firstLine="160"/>
        <w:spacing w:after="0" w:line="253" w:lineRule="auto"/>
        <w:rPr>
          <w:sz w:val="20"/>
          <w:szCs w:val="20"/>
          <w:color w:val="auto"/>
        </w:rPr>
      </w:pPr>
      <w:r>
        <w:rPr>
          <w:rFonts w:ascii="Arial" w:cs="Arial" w:eastAsia="Arial" w:hAnsi="Arial"/>
          <w:sz w:val="13"/>
          <w:szCs w:val="13"/>
          <w:color w:val="auto"/>
        </w:rPr>
        <w:t>Noteworthy amounts in the categories of natural gas proved-reserve changes for 2006 through 2008 are discussed below:</w:t>
      </w:r>
    </w:p>
    <w:p>
      <w:pPr>
        <w:spacing w:after="0" w:line="1" w:lineRule="exact"/>
        <w:rPr>
          <w:sz w:val="20"/>
          <w:szCs w:val="20"/>
          <w:color w:val="auto"/>
        </w:rPr>
      </w:pPr>
    </w:p>
    <w:p>
      <w:pPr>
        <w:ind w:right="40" w:firstLine="160"/>
        <w:spacing w:after="0" w:line="248" w:lineRule="auto"/>
        <w:rPr>
          <w:sz w:val="20"/>
          <w:szCs w:val="20"/>
          <w:color w:val="auto"/>
        </w:rPr>
      </w:pPr>
      <w:r>
        <w:rPr>
          <w:rFonts w:ascii="Arial" w:cs="Arial" w:eastAsia="Arial" w:hAnsi="Arial"/>
          <w:sz w:val="13"/>
          <w:szCs w:val="13"/>
          <w:i w:val="1"/>
          <w:iCs w:val="1"/>
          <w:color w:val="FF0000"/>
        </w:rPr>
        <w:t xml:space="preserve">Revisions </w:t>
      </w:r>
      <w:r>
        <w:rPr>
          <w:rFonts w:ascii="Arial" w:cs="Arial" w:eastAsia="Arial" w:hAnsi="Arial"/>
          <w:sz w:val="13"/>
          <w:szCs w:val="13"/>
          <w:color w:val="000000"/>
        </w:rPr>
        <w:t>In 2006, revisions accounted for a net increase of 481 billion cubic feet (BCF) for</w:t>
      </w:r>
      <w:r>
        <w:rPr>
          <w:rFonts w:ascii="Arial" w:cs="Arial" w:eastAsia="Arial" w:hAnsi="Arial"/>
          <w:sz w:val="13"/>
          <w:szCs w:val="13"/>
          <w:i w:val="1"/>
          <w:iCs w:val="1"/>
          <w:color w:val="FF0000"/>
        </w:rPr>
        <w:t xml:space="preserve"> </w:t>
      </w:r>
      <w:r>
        <w:rPr>
          <w:rFonts w:ascii="Arial" w:cs="Arial" w:eastAsia="Arial" w:hAnsi="Arial"/>
          <w:sz w:val="13"/>
          <w:szCs w:val="13"/>
          <w:color w:val="000000"/>
        </w:rPr>
        <w:t>consolidated companies and 26 BCF for affiliates. For consolidated companies, net increases of 511 BCF internationally were partially offset by a 30 BCF downward revision in the United States. Drilling and development activities added 337 BCF of reserves in Thailand, while Kazakhstan added 200 BCF, largely due to development activity. Trinidad and Tobago increased 185 BCF, attributable to improved reservoir performance and a</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new contract for sales of natural gas. These additions were partially offset by downward revisions of 224 BCF in the United Kingdom and 130 BCF in Australia due to drilling results and reservoir performance. U.S. “Other” had a downward revision of 102 BCF due to reservoir performance, which was partially offset by upward revisions of 72 BCF in the Gulf of Mexico and California related to reservoir performance and development drilling. TCO had an upward revision of 26 BCF associated with additional development activity and updated reservoir performance.</w:t>
      </w:r>
    </w:p>
    <w:p>
      <w:pPr>
        <w:spacing w:after="0" w:line="108" w:lineRule="exact"/>
        <w:rPr>
          <w:sz w:val="20"/>
          <w:szCs w:val="20"/>
          <w:color w:val="auto"/>
        </w:rPr>
      </w:pPr>
    </w:p>
    <w:p>
      <w:pPr>
        <w:ind w:right="300" w:firstLine="160"/>
        <w:spacing w:after="0" w:line="267" w:lineRule="auto"/>
        <w:rPr>
          <w:sz w:val="20"/>
          <w:szCs w:val="20"/>
          <w:color w:val="auto"/>
        </w:rPr>
      </w:pPr>
      <w:r>
        <w:rPr>
          <w:rFonts w:ascii="Arial" w:cs="Arial" w:eastAsia="Arial" w:hAnsi="Arial"/>
          <w:sz w:val="13"/>
          <w:szCs w:val="13"/>
          <w:color w:val="auto"/>
        </w:rPr>
        <w:t>In 2007, revisions increased reserves for consolidated companies by a net 395 BCF and increased reserves for affili-</w:t>
      </w:r>
    </w:p>
    <w:p>
      <w:pPr>
        <w:spacing w:after="0" w:line="200" w:lineRule="exact"/>
        <w:rPr>
          <w:sz w:val="20"/>
          <w:szCs w:val="20"/>
          <w:color w:val="auto"/>
        </w:rPr>
      </w:pPr>
    </w:p>
    <w:p>
      <w:pPr>
        <w:sectPr>
          <w:pgSz w:w="11900" w:h="16838" w:orient="portrait"/>
          <w:cols w:equalWidth="0" w:num="2">
            <w:col w:w="5460" w:space="500"/>
            <w:col w:w="5460"/>
          </w:cols>
          <w:pgMar w:left="220" w:top="338" w:right="259" w:bottom="144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type w:val="continuous"/>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5990" cy="4819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5990" cy="48196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0"/>
          <w:szCs w:val="10"/>
          <w:color w:val="0077C0"/>
        </w:rPr>
        <w:t>Supplemental Information on Oil and Gas Producing Activities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ectPr>
          <w:pgSz w:w="11900" w:h="16838" w:orient="portrait"/>
          <w:cols w:equalWidth="0" w:num="1">
            <w:col w:w="11460"/>
          </w:cols>
          <w:pgMar w:left="220" w:top="338" w:right="219" w:bottom="1440" w:gutter="0" w:footer="0" w:header="0"/>
        </w:sectPr>
      </w:pPr>
    </w:p>
    <w:p>
      <w:pPr>
        <w:spacing w:after="0" w:line="385" w:lineRule="exact"/>
        <w:rPr>
          <w:sz w:val="20"/>
          <w:szCs w:val="20"/>
          <w:color w:val="auto"/>
        </w:rPr>
      </w:pPr>
    </w:p>
    <w:p>
      <w:pPr>
        <w:jc w:val="both"/>
        <w:ind w:right="120"/>
        <w:spacing w:after="0" w:line="297" w:lineRule="auto"/>
        <w:rPr>
          <w:sz w:val="20"/>
          <w:szCs w:val="20"/>
          <w:color w:val="auto"/>
        </w:rPr>
      </w:pPr>
      <w:r>
        <w:rPr>
          <w:rFonts w:ascii="Arial" w:cs="Arial" w:eastAsia="Arial" w:hAnsi="Arial"/>
          <w:sz w:val="11"/>
          <w:szCs w:val="11"/>
          <w:color w:val="auto"/>
        </w:rPr>
        <w:t>ated companies by a net 73 BCF. For consolidated companies, net increases were 209 BCF in the United States and 186 BCF internationally. Improved reservoir performance for many fields in the United States contributed 130 BCF in the “Other” region, 40 BCF in California and 39 BCF in the Gulf of Mexico.</w:t>
      </w:r>
    </w:p>
    <w:p>
      <w:pPr>
        <w:spacing w:after="0" w:line="272" w:lineRule="auto"/>
        <w:rPr>
          <w:sz w:val="20"/>
          <w:szCs w:val="20"/>
          <w:color w:val="auto"/>
        </w:rPr>
      </w:pPr>
      <w:r>
        <w:rPr>
          <w:rFonts w:ascii="Arial" w:cs="Arial" w:eastAsia="Arial" w:hAnsi="Arial"/>
          <w:sz w:val="12"/>
          <w:szCs w:val="12"/>
          <w:color w:val="auto"/>
        </w:rPr>
        <w:t>Drilling activities added 360 BCF in Thailand and improved reservoir performance added 188 BCF in Trinidad and Tobago. These additions were partially offset by downward revisions of 185 BCF in Australia due to drilling results and 136 BCF in Nigeria due to field performance. Negative revisions due to the impact of higher prices were recorded in Azerbaijan and Kazakhstan. TCO had an upward revision of 75 BCF associated with improved reservoir performance and development activities. This upward revision was net of a negative impact due to higher year-end prices.</w:t>
      </w:r>
    </w:p>
    <w:p>
      <w:pPr>
        <w:spacing w:after="0" w:line="101" w:lineRule="exact"/>
        <w:rPr>
          <w:sz w:val="20"/>
          <w:szCs w:val="20"/>
          <w:color w:val="auto"/>
        </w:rPr>
      </w:pPr>
    </w:p>
    <w:p>
      <w:pPr>
        <w:ind w:firstLine="160"/>
        <w:spacing w:after="0" w:line="269" w:lineRule="auto"/>
        <w:rPr>
          <w:sz w:val="20"/>
          <w:szCs w:val="20"/>
          <w:color w:val="auto"/>
        </w:rPr>
      </w:pPr>
      <w:r>
        <w:rPr>
          <w:rFonts w:ascii="Arial" w:cs="Arial" w:eastAsia="Arial" w:hAnsi="Arial"/>
          <w:sz w:val="12"/>
          <w:szCs w:val="12"/>
          <w:color w:val="auto"/>
        </w:rPr>
        <w:t>In 2008, revisions increased reserves for consolidated companies by a net 1,166 BCF and increased reserves for affiliated companies by 1,130 BCF. In the Asia-Pacific region, positive revisions totaled 961 BCF for consolidated companies. Almost half of the increase was attributed to the Karachaganak Field in Kazakhstan, due mainly to the effects of low year-end prices on the production-sharing contract and the results of development drilling and improved recovery. Other large upward revisions were recorded for the Pattani Field in Thailand due to a successful drilling campaign. For the TCO affiliate in Kazakhstan, an increase of 498 BCF reflected the impacts of lower year-end prices on the royalty determination and facility optimization. Reserves associated with the Angola LNG project accounted for a majority of the 632 BCF increase in “Other” affiliated companies.</w:t>
      </w:r>
    </w:p>
    <w:p>
      <w:pPr>
        <w:ind w:right="40" w:firstLine="160"/>
        <w:spacing w:after="0" w:line="246" w:lineRule="auto"/>
        <w:rPr>
          <w:sz w:val="20"/>
          <w:szCs w:val="20"/>
          <w:color w:val="auto"/>
        </w:rPr>
      </w:pPr>
      <w:r>
        <w:rPr>
          <w:rFonts w:ascii="Arial" w:cs="Arial" w:eastAsia="Arial" w:hAnsi="Arial"/>
          <w:sz w:val="13"/>
          <w:szCs w:val="13"/>
          <w:i w:val="1"/>
          <w:iCs w:val="1"/>
          <w:color w:val="E51837"/>
        </w:rPr>
        <w:t xml:space="preserve">Extensions and Discoveries </w:t>
      </w:r>
      <w:r>
        <w:rPr>
          <w:rFonts w:ascii="Arial" w:cs="Arial" w:eastAsia="Arial" w:hAnsi="Arial"/>
          <w:sz w:val="13"/>
          <w:szCs w:val="13"/>
          <w:color w:val="000000"/>
        </w:rPr>
        <w:t>In 2006, extensions and discoveries accounted for an increase of 799 BCF</w:t>
      </w:r>
      <w:r>
        <w:rPr>
          <w:rFonts w:ascii="Arial" w:cs="Arial" w:eastAsia="Arial" w:hAnsi="Arial"/>
          <w:sz w:val="13"/>
          <w:szCs w:val="13"/>
          <w:i w:val="1"/>
          <w:iCs w:val="1"/>
          <w:color w:val="E51837"/>
        </w:rPr>
        <w:t xml:space="preserve"> </w:t>
      </w:r>
      <w:r>
        <w:rPr>
          <w:rFonts w:ascii="Arial" w:cs="Arial" w:eastAsia="Arial" w:hAnsi="Arial"/>
          <w:sz w:val="13"/>
          <w:szCs w:val="13"/>
          <w:color w:val="000000"/>
        </w:rPr>
        <w:t>for consolidated companies, reflecting a 531 BCF increase outside the United States and a U.S. increase of 268 BCF. Bangladesh added 451 BCF, the result of development activity and field extensions, and Thailand added 59 BCF, the result of drilling activities. U.S. “Other” contributed 157 BCF, approximately half of which was related to South Texas and the Piceance Basin, and the Gulf of Mexico added 111 BCF, partly due to the initial booking of reserves at the Great White Field in the deepwater Perdido Fold Belt area.</w:t>
      </w:r>
    </w:p>
    <w:p>
      <w:pPr>
        <w:spacing w:after="0" w:line="4"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color w:val="auto"/>
        </w:rPr>
        <w:t>In 2007, extensions and discoveries accounted for an increase of 518 BCF worldwide. The largest addition was 330 BCF in Bangladesh, the result of drilling activities. Other additions were not individually significant.</w:t>
      </w:r>
    </w:p>
    <w:p>
      <w:pPr>
        <w:spacing w:after="0" w:line="2" w:lineRule="exact"/>
        <w:rPr>
          <w:sz w:val="20"/>
          <w:szCs w:val="20"/>
          <w:color w:val="auto"/>
        </w:rPr>
      </w:pPr>
    </w:p>
    <w:p>
      <w:pPr>
        <w:ind w:right="100" w:firstLine="160"/>
        <w:spacing w:after="0" w:line="249" w:lineRule="auto"/>
        <w:rPr>
          <w:sz w:val="20"/>
          <w:szCs w:val="20"/>
          <w:color w:val="auto"/>
        </w:rPr>
      </w:pPr>
      <w:r>
        <w:rPr>
          <w:rFonts w:ascii="Arial" w:cs="Arial" w:eastAsia="Arial" w:hAnsi="Arial"/>
          <w:sz w:val="13"/>
          <w:szCs w:val="13"/>
          <w:i w:val="1"/>
          <w:iCs w:val="1"/>
          <w:color w:val="E51837"/>
        </w:rPr>
        <w:t xml:space="preserve">Purchases </w:t>
      </w:r>
      <w:r>
        <w:rPr>
          <w:rFonts w:ascii="Arial" w:cs="Arial" w:eastAsia="Arial" w:hAnsi="Arial"/>
          <w:sz w:val="13"/>
          <w:szCs w:val="13"/>
          <w:color w:val="000000"/>
        </w:rPr>
        <w:t>In 2006, purchases of natural gas reserves were 35 BCF for consolidated companies, about</w:t>
      </w:r>
      <w:r>
        <w:rPr>
          <w:rFonts w:ascii="Arial" w:cs="Arial" w:eastAsia="Arial" w:hAnsi="Arial"/>
          <w:sz w:val="13"/>
          <w:szCs w:val="13"/>
          <w:i w:val="1"/>
          <w:iCs w:val="1"/>
          <w:color w:val="E51837"/>
        </w:rPr>
        <w:t xml:space="preserve"> </w:t>
      </w:r>
      <w:r>
        <w:rPr>
          <w:rFonts w:ascii="Arial" w:cs="Arial" w:eastAsia="Arial" w:hAnsi="Arial"/>
          <w:sz w:val="13"/>
          <w:szCs w:val="13"/>
          <w:color w:val="000000"/>
        </w:rPr>
        <w:t>evenly divided between the company’s U.S. and international operations. Affiliated companies added 54 BCF of reserves, the result of conversion of an operating service agreement to a joint stock company in Venezuela.</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firstLine="160"/>
        <w:spacing w:after="0" w:line="253" w:lineRule="auto"/>
        <w:rPr>
          <w:sz w:val="20"/>
          <w:szCs w:val="20"/>
          <w:color w:val="auto"/>
        </w:rPr>
      </w:pPr>
      <w:r>
        <w:rPr>
          <w:rFonts w:ascii="Arial" w:cs="Arial" w:eastAsia="Arial" w:hAnsi="Arial"/>
          <w:sz w:val="13"/>
          <w:szCs w:val="13"/>
          <w:color w:val="auto"/>
        </w:rPr>
        <w:t>In 2007, purchases of natural gas reserves were 141 BCF for consolidated companies, which include the acquisition of an additional interest in the Bibiyana Field in Bangladesh. Affiliated company purchases of 211 BCF related to the formation of a new Hamaca equity affiliate in Venezuela and an initial booking related to the Angola LNG project.</w:t>
      </w:r>
    </w:p>
    <w:p>
      <w:pPr>
        <w:spacing w:after="0" w:line="110" w:lineRule="exact"/>
        <w:rPr>
          <w:sz w:val="20"/>
          <w:szCs w:val="20"/>
          <w:color w:val="auto"/>
        </w:rPr>
      </w:pPr>
    </w:p>
    <w:p>
      <w:pPr>
        <w:ind w:right="560" w:firstLine="160"/>
        <w:spacing w:after="0" w:line="274" w:lineRule="auto"/>
        <w:rPr>
          <w:sz w:val="20"/>
          <w:szCs w:val="20"/>
          <w:color w:val="auto"/>
        </w:rPr>
      </w:pPr>
      <w:r>
        <w:rPr>
          <w:rFonts w:ascii="Arial" w:cs="Arial" w:eastAsia="Arial" w:hAnsi="Arial"/>
          <w:sz w:val="12"/>
          <w:szCs w:val="12"/>
          <w:i w:val="1"/>
          <w:iCs w:val="1"/>
          <w:color w:val="E51837"/>
        </w:rPr>
        <w:t xml:space="preserve">Sales </w:t>
      </w:r>
      <w:r>
        <w:rPr>
          <w:rFonts w:ascii="Arial" w:cs="Arial" w:eastAsia="Arial" w:hAnsi="Arial"/>
          <w:sz w:val="12"/>
          <w:szCs w:val="12"/>
          <w:color w:val="000000"/>
        </w:rPr>
        <w:t>In 2006, sales for consolidated companies totaled 149 BCF, mostly associated with the</w:t>
      </w:r>
      <w:r>
        <w:rPr>
          <w:rFonts w:ascii="Arial" w:cs="Arial" w:eastAsia="Arial" w:hAnsi="Arial"/>
          <w:sz w:val="12"/>
          <w:szCs w:val="12"/>
          <w:i w:val="1"/>
          <w:iCs w:val="1"/>
          <w:color w:val="E51837"/>
        </w:rPr>
        <w:t xml:space="preserve"> </w:t>
      </w:r>
      <w:r>
        <w:rPr>
          <w:rFonts w:ascii="Arial" w:cs="Arial" w:eastAsia="Arial" w:hAnsi="Arial"/>
          <w:sz w:val="12"/>
          <w:szCs w:val="12"/>
          <w:color w:val="000000"/>
        </w:rPr>
        <w:t>conversion of a risked service agreement to a joint stock company in Venezuela.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2007, sales were 76 BCF and 175 BCF for consolidated companies and equity affiliates,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affiliated company sales related to the dissolution of a Hamaca equity affiliate in Venezuela.</w:t>
      </w:r>
    </w:p>
    <w:p>
      <w:pPr>
        <w:spacing w:after="0" w:line="125" w:lineRule="exact"/>
        <w:rPr>
          <w:sz w:val="20"/>
          <w:szCs w:val="20"/>
          <w:color w:val="auto"/>
        </w:rPr>
      </w:pPr>
    </w:p>
    <w:p>
      <w:pPr>
        <w:ind w:left="640" w:right="2180" w:hanging="640"/>
        <w:spacing w:after="0" w:line="264" w:lineRule="auto"/>
        <w:rPr>
          <w:sz w:val="20"/>
          <w:szCs w:val="20"/>
          <w:color w:val="auto"/>
        </w:rPr>
      </w:pPr>
      <w:r>
        <w:rPr>
          <w:rFonts w:ascii="Arial" w:cs="Arial" w:eastAsia="Arial" w:hAnsi="Arial"/>
          <w:sz w:val="12"/>
          <w:szCs w:val="12"/>
          <w:b w:val="1"/>
          <w:bCs w:val="1"/>
          <w:color w:val="auto"/>
        </w:rPr>
        <w:t>Table VI – Standardized Measure of Discounted Future Net Cash Flows Related to Proved Oil</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and Gas Reserves</w:t>
      </w:r>
    </w:p>
    <w:p>
      <w:pPr>
        <w:spacing w:after="0" w:line="265" w:lineRule="exact"/>
        <w:rPr>
          <w:sz w:val="20"/>
          <w:szCs w:val="20"/>
          <w:color w:val="auto"/>
        </w:rPr>
      </w:pPr>
    </w:p>
    <w:p>
      <w:pPr>
        <w:ind w:right="20" w:firstLine="158"/>
        <w:spacing w:after="0" w:line="293" w:lineRule="auto"/>
        <w:rPr>
          <w:sz w:val="20"/>
          <w:szCs w:val="20"/>
          <w:color w:val="auto"/>
        </w:rPr>
      </w:pPr>
      <w:r>
        <w:rPr>
          <w:rFonts w:ascii="Arial" w:cs="Arial" w:eastAsia="Arial" w:hAnsi="Arial"/>
          <w:sz w:val="11"/>
          <w:szCs w:val="11"/>
          <w:color w:val="auto"/>
        </w:rPr>
        <w:t>The standardized measure of discounted future net cash flows, related to the preceding proved oil and gas reserves, is calculated in accordance with the requirements of FAS 69. Estimated future cash inflows from production are computed by applying year-end prices for oil and gas to year-end quantities of estimated net proved reserves. Future price changes are limited to those provided by contractual arrangements in existence at the end of each reporting year. Future development and production costs are those estimated future expenditures necessary to develop and produce year-end estimated proved reserves based on year-end cost indices, assuming continuation of year-end economic conditions, and include estimated costs for asset retirement obligations. Estimated future income taxes are calculated by applying appropriate year-end statutory tax rates. These rates reflect allowable deductions and tax credits and are applied to estimated future pretax net cash flows, less the tax basis of related assets. Discounted future net cash flows are calculated using 10 percent midperiod discount factors. Discounting requires a year-by-year estimate of when future expenditures will be incurred and when reserves will be produced.</w:t>
      </w:r>
    </w:p>
    <w:p>
      <w:pPr>
        <w:ind w:right="20" w:firstLine="158"/>
        <w:spacing w:after="0" w:line="270" w:lineRule="auto"/>
        <w:rPr>
          <w:sz w:val="20"/>
          <w:szCs w:val="20"/>
          <w:color w:val="auto"/>
        </w:rPr>
      </w:pPr>
      <w:r>
        <w:rPr>
          <w:rFonts w:ascii="Arial" w:cs="Arial" w:eastAsia="Arial" w:hAnsi="Arial"/>
          <w:sz w:val="12"/>
          <w:szCs w:val="12"/>
          <w:color w:val="auto"/>
        </w:rPr>
        <w:t>The information provided does not represent management’s estimate of the company’s expected future cash flows or value of proved oil and gas reserves. Estimates of proved-reserve quantities are imprecise and change over time as new information becomes available. Moreover, probable and possible reserves, which may become proved in the future, are excluded from the calculations. The arbitrary valuation prescribed under FAS 69 requires assumptions as to the timing and amount of future development and production costs. The calculations are made as of December 31 each year and should not be relied upon as an indication of the company’s future cash flows or value of its oil and gas reserves. In the following table, “Standardized Measure Net Cash Flows” refers to the standardized measure of discounted future net cash flows.</w:t>
      </w:r>
    </w:p>
    <w:p>
      <w:pPr>
        <w:spacing w:after="0" w:line="20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85990" cy="689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5990" cy="68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Arial" w:cs="Arial" w:eastAsia="Arial" w:hAnsi="Arial"/>
          <w:sz w:val="10"/>
          <w:szCs w:val="10"/>
          <w:b w:val="1"/>
          <w:bCs w:val="1"/>
          <w:color w:val="0077C0"/>
        </w:rPr>
        <w:t xml:space="preserve">Table VI </w:t>
      </w:r>
      <w:r>
        <w:rPr>
          <w:rFonts w:ascii="Arial" w:cs="Arial" w:eastAsia="Arial" w:hAnsi="Arial"/>
          <w:sz w:val="8"/>
          <w:szCs w:val="8"/>
          <w:color w:val="000000"/>
        </w:rPr>
        <w:t>Standardized Measure of Discounted Future Net Cash</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9"/>
          <w:szCs w:val="9"/>
          <w:color w:val="auto"/>
        </w:rPr>
        <w:t>Flows Related to Proved Oil and Gas Reserves</w:t>
      </w:r>
    </w:p>
    <w:sectPr>
      <w:pgSz w:w="11900" w:h="16838" w:orient="portrait"/>
      <w:cols w:equalWidth="0" w:num="1">
        <w:col w:w="10239"/>
      </w:cols>
      <w:pgMar w:left="220" w:top="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lowerLetter"/>
      <w:start w:val="1"/>
    </w:lvl>
    <w:lvl w:ilvl="1">
      <w:lvlJc w:val="left"/>
      <w:lvlText w:val="•"/>
      <w:numFmt w:val="bullet"/>
      <w:start w:val="1"/>
    </w:lvl>
  </w:abstractNum>
  <w:abstractNum w:abstractNumId="6">
    <w:nsid w:val="5072367"/>
    <w:multiLevelType w:val="hybridMultilevel"/>
    <w:lvl w:ilvl="0">
      <w:lvlJc w:val="left"/>
      <w:lvlText w:val="1"/>
      <w:numFmt w:val="bullet"/>
      <w:start w:val="1"/>
    </w:lvl>
  </w:abstractNum>
  <w:abstractNum w:abstractNumId="7">
    <w:nsid w:val="3804823E"/>
    <w:multiLevelType w:val="hybridMultilevel"/>
    <w:lvl w:ilvl="0">
      <w:lvlJc w:val="left"/>
      <w:lvlText w:val="2"/>
      <w:numFmt w:val="bullet"/>
      <w:start w:val="1"/>
    </w:lvl>
  </w:abstractNum>
  <w:abstractNum w:abstractNumId="8">
    <w:nsid w:val="77465F01"/>
    <w:multiLevelType w:val="hybridMultilevel"/>
    <w:lvl w:ilvl="0">
      <w:lvlJc w:val="left"/>
      <w:lvlText w:val="3"/>
      <w:numFmt w:val="bullet"/>
      <w:start w:val="1"/>
    </w:lvl>
  </w:abstractNum>
  <w:abstractNum w:abstractNumId="9">
    <w:nsid w:val="7724C67E"/>
    <w:multiLevelType w:val="hybridMultilevel"/>
    <w:lvl w:ilvl="0">
      <w:lvlJc w:val="left"/>
      <w:lvlText w:val="1"/>
      <w:numFmt w:val="bullet"/>
      <w:start w:val="1"/>
    </w:lvl>
  </w:abstractNum>
  <w:abstractNum w:abstractNumId="10">
    <w:nsid w:val="5C482A97"/>
    <w:multiLevelType w:val="hybridMultilevel"/>
    <w:lvl w:ilvl="0">
      <w:lvlJc w:val="left"/>
      <w:lvlText w:val="2"/>
      <w:numFmt w:val="bullet"/>
      <w:start w:val="1"/>
    </w:lvl>
  </w:abstractNum>
  <w:abstractNum w:abstractNumId="11">
    <w:nsid w:val="2463B9EA"/>
    <w:multiLevelType w:val="hybridMultilevel"/>
    <w:lvl w:ilvl="0">
      <w:lvlJc w:val="left"/>
      <w:lvlText w:val="1"/>
      <w:numFmt w:val="bullet"/>
      <w:start w:val="1"/>
    </w:lvl>
  </w:abstractNum>
  <w:abstractNum w:abstractNumId="12">
    <w:nsid w:val="5E884ADC"/>
    <w:multiLevelType w:val="hybridMultilevel"/>
    <w:lvl w:ilvl="0">
      <w:lvlJc w:val="left"/>
      <w:lvlText w:val="2"/>
      <w:numFmt w:val="bullet"/>
      <w:start w:val="1"/>
    </w:lvl>
  </w:abstractNum>
  <w:abstractNum w:abstractNumId="13">
    <w:nsid w:val="51EAD36B"/>
    <w:multiLevelType w:val="hybridMultilevel"/>
    <w:lvl w:ilvl="0">
      <w:lvlJc w:val="left"/>
      <w:lvlText w:val="1"/>
      <w:numFmt w:val="bullet"/>
      <w:start w:val="1"/>
    </w:lvl>
  </w:abstractNum>
  <w:abstractNum w:abstractNumId="14">
    <w:nsid w:val="2D517796"/>
    <w:multiLevelType w:val="hybridMultilevel"/>
    <w:lvl w:ilvl="0">
      <w:lvlJc w:val="left"/>
      <w:lvlText w:val="2"/>
      <w:numFmt w:val="bullet"/>
      <w:start w:val="1"/>
    </w:lvl>
  </w:abstractNum>
  <w:abstractNum w:abstractNumId="15">
    <w:nsid w:val="580BD78F"/>
    <w:multiLevelType w:val="hybridMultilevel"/>
    <w:lvl w:ilvl="0">
      <w:lvlJc w:val="left"/>
      <w:lvlText w:val="1"/>
      <w:numFmt w:val="bullet"/>
      <w:start w:val="1"/>
    </w:lvl>
  </w:abstractNum>
  <w:abstractNum w:abstractNumId="16">
    <w:nsid w:val="153EA438"/>
    <w:multiLevelType w:val="hybridMultilevel"/>
    <w:lvl w:ilvl="0">
      <w:lvlJc w:val="left"/>
      <w:lvlText w:val="2"/>
      <w:numFmt w:val="bullet"/>
      <w:start w:val="1"/>
    </w:lvl>
  </w:abstractNum>
  <w:abstractNum w:abstractNumId="17">
    <w:nsid w:val="3855585C"/>
    <w:multiLevelType w:val="hybridMultilevel"/>
    <w:lvl w:ilvl="0">
      <w:lvlJc w:val="left"/>
      <w:lvlText w:val="3"/>
      <w:numFmt w:val="bullet"/>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lowerLetter"/>
      <w:start w:val="5"/>
    </w:lvl>
  </w:abstractNum>
  <w:abstractNum w:abstractNumId="21">
    <w:nsid w:val="1D4ED43B"/>
    <w:multiLevelType w:val="hybridMultilevel"/>
    <w:lvl w:ilvl="0">
      <w:lvlJc w:val="left"/>
      <w:lvlText w:val="1"/>
      <w:numFmt w:val="bullet"/>
      <w:start w:val="1"/>
    </w:lvl>
  </w:abstractNum>
  <w:abstractNum w:abstractNumId="22">
    <w:nsid w:val="725A06FB"/>
    <w:multiLevelType w:val="hybridMultilevel"/>
    <w:lvl w:ilvl="0">
      <w:lvlJc w:val="left"/>
      <w:lvlText w:val="2"/>
      <w:numFmt w:val="bullet"/>
      <w:start w:val="1"/>
    </w:lvl>
  </w:abstractNum>
  <w:abstractNum w:abstractNumId="23">
    <w:nsid w:val="2CD89A32"/>
    <w:multiLevelType w:val="hybridMultilevel"/>
    <w:lvl w:ilvl="0">
      <w:lvlJc w:val="left"/>
      <w:lvlText w:val="3"/>
      <w:numFmt w:val="bullet"/>
      <w:start w:val="1"/>
    </w:lvl>
  </w:abstractNum>
  <w:abstractNum w:abstractNumId="24">
    <w:nsid w:val="57E4CCAF"/>
    <w:multiLevelType w:val="hybridMultilevel"/>
    <w:lvl w:ilvl="0">
      <w:lvlJc w:val="left"/>
      <w:lvlText w:val="1"/>
      <w:numFmt w:val="bullet"/>
      <w:start w:val="1"/>
    </w:lvl>
  </w:abstractNum>
  <w:abstractNum w:abstractNumId="25">
    <w:nsid w:val="7A6D8D3C"/>
    <w:multiLevelType w:val="hybridMultilevel"/>
    <w:lvl w:ilvl="0">
      <w:lvlJc w:val="left"/>
      <w:lvlText w:val="2"/>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2"/>
    </w:lvl>
  </w:abstractNum>
  <w:abstractNum w:abstractNumId="29">
    <w:nsid w:val="38437FDB"/>
    <w:multiLevelType w:val="hybridMultilevel"/>
    <w:lvl w:ilvl="0">
      <w:lvlJc w:val="left"/>
      <w:lvlText w:val="(%1)"/>
      <w:numFmt w:val="lowerLetter"/>
      <w:start w:val="3"/>
    </w:lvl>
  </w:abstractNum>
  <w:abstractNum w:abstractNumId="30">
    <w:nsid w:val="7644A45C"/>
    <w:multiLevelType w:val="hybridMultilevel"/>
    <w:lvl w:ilvl="0">
      <w:lvlJc w:val="left"/>
      <w:lvlText w:val="(%1)"/>
      <w:numFmt w:val="lowerLetter"/>
      <w:start w:val="1"/>
    </w:lvl>
    <w:lvl w:ilvl="1">
      <w:lvlJc w:val="left"/>
      <w:lvlText w:val="(%2)"/>
      <w:numFmt w:val="decimal"/>
      <w:start w:val="1"/>
    </w:lvl>
  </w:abstractNum>
  <w:abstractNum w:abstractNumId="31">
    <w:nsid w:val="32FFF902"/>
    <w:multiLevelType w:val="hybridMultilevel"/>
    <w:lvl w:ilvl="0">
      <w:lvlJc w:val="left"/>
      <w:lvlText w:val="1"/>
      <w:numFmt w:val="bullet"/>
      <w:start w:val="1"/>
    </w:lvl>
  </w:abstractNum>
  <w:abstractNum w:abstractNumId="32">
    <w:nsid w:val="684A481A"/>
    <w:multiLevelType w:val="hybridMultilevel"/>
    <w:lvl w:ilvl="0">
      <w:lvlJc w:val="left"/>
      <w:lvlText w:val="2"/>
      <w:numFmt w:val="bullet"/>
      <w:start w:val="1"/>
    </w:lvl>
  </w:abstractNum>
  <w:abstractNum w:abstractNumId="33">
    <w:nsid w:val="579478FE"/>
    <w:multiLevelType w:val="hybridMultilevel"/>
    <w:lvl w:ilvl="0">
      <w:lvlJc w:val="left"/>
      <w:lvlText w:val="3"/>
      <w:numFmt w:val="bullet"/>
      <w:start w:val="1"/>
    </w:lvl>
  </w:abstractNum>
  <w:abstractNum w:abstractNumId="34">
    <w:nsid w:val="749ABB43"/>
    <w:multiLevelType w:val="hybridMultilevel"/>
    <w:lvl w:ilvl="0">
      <w:lvlJc w:val="left"/>
      <w:lvlText w:val="6"/>
      <w:numFmt w:val="bullet"/>
      <w:start w:val="1"/>
    </w:lvl>
  </w:abstractNum>
  <w:abstractNum w:abstractNumId="35">
    <w:nsid w:val="3DC240FB"/>
    <w:multiLevelType w:val="hybridMultilevel"/>
    <w:lvl w:ilvl="0">
      <w:lvlJc w:val="left"/>
      <w:lvlText w:val="1"/>
      <w:numFmt w:val="bullet"/>
      <w:start w:val="1"/>
    </w:lvl>
  </w:abstractNum>
  <w:abstractNum w:abstractNumId="36">
    <w:nsid w:val="1BA026FA"/>
    <w:multiLevelType w:val="hybridMultilevel"/>
    <w:lvl w:ilvl="0">
      <w:lvlJc w:val="left"/>
      <w:lvlText w:val="2"/>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4"/>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1)"/>
      <w:numFmt w:val="decimal"/>
      <w:start w:val="161"/>
    </w:lvl>
  </w:abstractNum>
  <w:abstractNum w:abstractNumId="42">
    <w:nsid w:val="374A3FE6"/>
    <w:multiLevelType w:val="hybridMultilevel"/>
    <w:lvl w:ilvl="0">
      <w:lvlJc w:val="left"/>
      <w:lvlText w:val="2"/>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bullet"/>
      <w:start w:val="1"/>
    </w:lvl>
  </w:abstractNum>
  <w:abstractNum w:abstractNumId="46">
    <w:nsid w:val="275AC794"/>
    <w:multiLevelType w:val="hybridMultilevel"/>
    <w:lvl w:ilvl="0">
      <w:lvlJc w:val="left"/>
      <w:lvlText w:val="1"/>
      <w:numFmt w:val="bullet"/>
      <w:start w:val="1"/>
    </w:lvl>
  </w:abstractNum>
  <w:abstractNum w:abstractNumId="47">
    <w:nsid w:val="39386575"/>
    <w:multiLevelType w:val="hybridMultilevel"/>
    <w:lvl w:ilvl="0">
      <w:lvlJc w:val="left"/>
      <w:lvlText w:val="2"/>
      <w:numFmt w:val="bullet"/>
      <w:start w:val="1"/>
    </w:lvl>
  </w:abstractNum>
  <w:abstractNum w:abstractNumId="48">
    <w:nsid w:val="1CF10FD8"/>
    <w:multiLevelType w:val="hybridMultilevel"/>
    <w:lvl w:ilvl="0">
      <w:lvlJc w:val="left"/>
      <w:lvlText w:val="\endash "/>
      <w:numFmt w:val="bullet"/>
      <w:start w:val="1"/>
    </w:lvl>
  </w:abstractNum>
  <w:abstractNum w:abstractNumId="49">
    <w:nsid w:val="180115BE"/>
    <w:multiLevelType w:val="hybridMultilevel"/>
    <w:lvl w:ilvl="0">
      <w:lvlJc w:val="left"/>
      <w:lvlText w:val="1"/>
      <w:numFmt w:val="bullet"/>
      <w:start w:val="1"/>
    </w:lvl>
  </w:abstractNum>
  <w:abstractNum w:abstractNumId="50">
    <w:nsid w:val="235BA861"/>
    <w:multiLevelType w:val="hybridMultilevel"/>
    <w:lvl w:ilvl="0">
      <w:lvlJc w:val="left"/>
      <w:lvlText w:val="2"/>
      <w:numFmt w:val="bullet"/>
      <w:start w:val="1"/>
    </w:lvl>
  </w:abstractNum>
  <w:abstractNum w:abstractNumId="51">
    <w:nsid w:val="47398C89"/>
    <w:multiLevelType w:val="hybridMultilevel"/>
    <w:lvl w:ilvl="0">
      <w:lvlJc w:val="left"/>
      <w:lvlText w:val="1"/>
      <w:numFmt w:val="bullet"/>
      <w:start w:val="1"/>
    </w:lvl>
  </w:abstractNum>
  <w:abstractNum w:abstractNumId="52">
    <w:nsid w:val="354FE9F9"/>
    <w:multiLevelType w:val="hybridMultilevel"/>
    <w:lvl w:ilvl="0">
      <w:lvlJc w:val="left"/>
      <w:lvlText w:val="%1."/>
      <w:numFmt w:val="decimal"/>
      <w:start w:val="5"/>
    </w:lvl>
  </w:abstractNum>
  <w:abstractNum w:abstractNumId="53">
    <w:nsid w:val="15B5AF5C"/>
    <w:multiLevelType w:val="hybridMultilevel"/>
    <w:lvl w:ilvl="0">
      <w:lvlJc w:val="left"/>
      <w:lvlText w:val="2"/>
      <w:numFmt w:val="bullet"/>
      <w:start w:val="1"/>
    </w:lvl>
  </w:abstractNum>
  <w:abstractNum w:abstractNumId="54">
    <w:nsid w:val="741226BB"/>
    <w:multiLevelType w:val="hybridMultilevel"/>
    <w:lvl w:ilvl="0">
      <w:lvlJc w:val="left"/>
      <w:lvlText w:val="3"/>
      <w:numFmt w:val="bullet"/>
      <w:start w:val="1"/>
    </w:lvl>
  </w:abstractNum>
  <w:abstractNum w:abstractNumId="55">
    <w:nsid w:val="D34B6A8"/>
    <w:multiLevelType w:val="hybridMultilevel"/>
    <w:lvl w:ilvl="0">
      <w:lvlJc w:val="left"/>
      <w:lvlText w:val="1"/>
      <w:numFmt w:val="bullet"/>
      <w:start w:val="1"/>
    </w:lvl>
  </w:abstractNum>
  <w:abstractNum w:abstractNumId="56">
    <w:nsid w:val="10233C99"/>
    <w:multiLevelType w:val="hybridMultilevel"/>
    <w:lvl w:ilvl="0">
      <w:lvlJc w:val="left"/>
      <w:lvlText w:val="1"/>
      <w:numFmt w:val="bullet"/>
      <w:start w:val="1"/>
    </w:lvl>
  </w:abstractNum>
  <w:abstractNum w:abstractNumId="57">
    <w:nsid w:val="3F6AB60F"/>
    <w:multiLevelType w:val="hybridMultilevel"/>
    <w:lvl w:ilvl="0">
      <w:lvlJc w:val="left"/>
      <w:lvlText w:val="1"/>
      <w:numFmt w:val="bullet"/>
      <w:start w:val="1"/>
    </w:lvl>
  </w:abstractNum>
  <w:abstractNum w:abstractNumId="58">
    <w:nsid w:val="61574095"/>
    <w:multiLevelType w:val="hybridMultilevel"/>
    <w:lvl w:ilvl="0">
      <w:lvlJc w:val="left"/>
      <w:lvlText w:val="1"/>
      <w:numFmt w:val="bullet"/>
      <w:start w:val="1"/>
    </w:lvl>
  </w:abstractNum>
  <w:abstractNum w:abstractNumId="59">
    <w:nsid w:val="7E0C57B1"/>
    <w:multiLevelType w:val="hybridMultilevel"/>
    <w:lvl w:ilvl="0">
      <w:lvlJc w:val="left"/>
      <w:lvlText w:val="1"/>
      <w:numFmt w:val="bullet"/>
      <w:start w:val="1"/>
    </w:lvl>
  </w:abstractNum>
  <w:abstractNum w:abstractNumId="60">
    <w:nsid w:val="77AE35EB"/>
    <w:multiLevelType w:val="hybridMultilevel"/>
    <w:lvl w:ilvl="0">
      <w:lvlJc w:val="left"/>
      <w:lvlText w:val="2"/>
      <w:numFmt w:val="bullet"/>
      <w:start w:val="1"/>
    </w:lvl>
  </w:abstractNum>
  <w:abstractNum w:abstractNumId="61">
    <w:nsid w:val="579BE4F1"/>
    <w:multiLevelType w:val="hybridMultilevel"/>
    <w:lvl w:ilvl="0">
      <w:lvlJc w:val="left"/>
      <w:lvlText w:val="3"/>
      <w:numFmt w:val="bullet"/>
      <w:start w:val="1"/>
    </w:lvl>
  </w:abstractNum>
  <w:abstractNum w:abstractNumId="62">
    <w:nsid w:val="310C50B3"/>
    <w:multiLevelType w:val="hybridMultilevel"/>
    <w:lvl w:ilvl="0">
      <w:lvlJc w:val="left"/>
      <w:lvlText w:val="4"/>
      <w:numFmt w:val="bullet"/>
      <w:start w:val="1"/>
    </w:lvl>
  </w:abstractNum>
  <w:abstractNum w:abstractNumId="63">
    <w:nsid w:val="5FF87E05"/>
    <w:multiLevelType w:val="hybridMultilevel"/>
    <w:lvl w:ilvl="0">
      <w:lvlJc w:val="left"/>
      <w:lvlText w:val="5"/>
      <w:numFmt w:val="bullet"/>
      <w:start w:val="1"/>
    </w:lvl>
  </w:abstractNum>
  <w:abstractNum w:abstractNumId="64">
    <w:nsid w:val="2F305DE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2019-12-10T02:21:39Z</dcterms:created>
  <dcterms:modified xsi:type="dcterms:W3CDTF">2019-12-10T02:21:39Z</dcterms:modified>
</cp:coreProperties>
</file>