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3, 2020</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Chevron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45085</wp:posOffset>
            </wp:positionV>
            <wp:extent cx="36087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6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001-00368</w:t>
            </w: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94-0890210</w:t>
            </w:r>
          </w:p>
        </w:tc>
        <w:tc>
          <w:tcPr>
            <w:tcW w:w="20" w:type="dxa"/>
            <w:vAlign w:val="bottom"/>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446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32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46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of incorporation )</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48"/>
        </w:trPr>
        <w:tc>
          <w:tcPr>
            <w:tcW w:w="446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6001 Bollinger Canyon Road, San Ramon,</w:t>
            </w:r>
          </w:p>
        </w:tc>
        <w:tc>
          <w:tcPr>
            <w:tcW w:w="33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CA</w:t>
            </w:r>
          </w:p>
        </w:tc>
        <w:tc>
          <w:tcPr>
            <w:tcW w:w="3440" w:type="dxa"/>
            <w:vAlign w:val="bottom"/>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94583</w:t>
            </w:r>
          </w:p>
        </w:tc>
        <w:tc>
          <w:tcPr>
            <w:tcW w:w="20" w:type="dxa"/>
            <w:vAlign w:val="bottom"/>
          </w:tcPr>
          <w:p>
            <w:pPr>
              <w:spacing w:after="0"/>
              <w:rPr>
                <w:sz w:val="24"/>
                <w:szCs w:val="24"/>
                <w:color w:val="auto"/>
              </w:rPr>
            </w:pPr>
          </w:p>
        </w:tc>
      </w:tr>
      <w:tr>
        <w:trPr>
          <w:trHeight w:val="27"/>
        </w:trPr>
        <w:tc>
          <w:tcPr>
            <w:tcW w:w="44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4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6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(925) 842-1000</w:t>
      </w:r>
    </w:p>
    <w:p>
      <w:pPr>
        <w:spacing w:after="0" w:line="158"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1668145</wp:posOffset>
            </wp:positionH>
            <wp:positionV relativeFrom="paragraph">
              <wp:posOffset>36830</wp:posOffset>
            </wp:positionV>
            <wp:extent cx="3780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2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2"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2"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2"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365"/>
        </w:trPr>
        <w:tc>
          <w:tcPr>
            <w:tcW w:w="46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0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9"/>
              </w:rPr>
              <w:t>Common stock, par value $.75 per share</w:t>
            </w:r>
          </w:p>
        </w:tc>
        <w:tc>
          <w:tcPr>
            <w:tcW w:w="2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CVX</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44" w:lineRule="exact"/>
        <w:rPr>
          <w:sz w:val="24"/>
          <w:szCs w:val="24"/>
          <w:color w:val="auto"/>
        </w:rPr>
      </w:pPr>
    </w:p>
    <w:p>
      <w:pPr>
        <w:ind w:left="20" w:right="500"/>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w:t>
      </w:r>
      <w:r>
        <w:rPr>
          <w:rFonts w:ascii="Times New Roman" w:cs="Times New Roman" w:eastAsia="Times New Roman" w:hAnsi="Times New Roman"/>
          <w:sz w:val="18"/>
          <w:szCs w:val="18"/>
          <w:color w:val="211D1E"/>
        </w:rPr>
        <w:t>§230.405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chapter) or Rule 12b-2 of the Securities Exchange Act of 1934 (§240.12b-2 of this chapter</w:t>
      </w:r>
      <w:r>
        <w:rPr>
          <w:rFonts w:ascii="Times New Roman" w:cs="Times New Roman" w:eastAsia="Times New Roman" w:hAnsi="Times New Roman"/>
          <w:sz w:val="18"/>
          <w:szCs w:val="18"/>
          <w:color w:val="000000"/>
        </w:rPr>
        <w:t>).</w:t>
      </w:r>
    </w:p>
    <w:p>
      <w:pPr>
        <w:spacing w:after="0" w:line="1" w:lineRule="exact"/>
        <w:rPr>
          <w:sz w:val="24"/>
          <w:szCs w:val="24"/>
          <w:color w:val="auto"/>
        </w:rPr>
      </w:pPr>
    </w:p>
    <w:p>
      <w:pPr>
        <w:jc w:val="right"/>
        <w:ind w:right="80"/>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300" w:type="dxa"/>
            <w:vAlign w:val="bottom"/>
            <w:vMerge w:val="restart"/>
          </w:tcPr>
          <w:p>
            <w:pPr>
              <w:ind w:left="12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274"/>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tc>
        <w:tc>
          <w:tcPr>
            <w:tcW w:w="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737870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300" w:hanging="1295"/>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ind w:right="360" w:firstLine="8"/>
        <w:spacing w:after="0" w:line="254" w:lineRule="auto"/>
        <w:tabs>
          <w:tab w:leader="none" w:pos="291"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September 3, 2020, the Board of Directors (the “Board”) of Chevron Corporation (“Chevron”) elected Jon M. Huntsman Jr. to the Board, effective September 15, 2020 (the “Effective Date.”) Governor Huntsman will also serve on the Management Compensation Committee and the Public Policy Committee of the Board.</w:t>
      </w:r>
    </w:p>
    <w:p>
      <w:pPr>
        <w:spacing w:after="0" w:line="20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On September 3, 2020, the Board also approved, to be granted on the Effective Date, a prorated grant of the annual restricted stock unit award granted to non-employee Directors under the Chevron Non-Employee Directors’ Equity Compensation and Deferral Plan (the “NED Plan.”) The number of restricted stock units to be received by Governor Huntsman shall be determined by multiplying $225,000 by a fraction, the numerator of which is the number of days remaining in the Annual Compensation Cycle (as defined in the NED Plan) beginning on the Effective Date and the denominator of which is the total number of days in the Annual Compensation Cycle, and dividing that product by the closing Chevron common stock price on the Effective Date. Governor Huntsman will also be entitled to receive the annual cash retainer for non-employee Directors of $150,000, which will be prorated.</w:t>
      </w:r>
    </w:p>
    <w:p>
      <w:pPr>
        <w:spacing w:after="0" w:line="213"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The press release announcing Governor Huntsman’s election to the Board is attached hereto as Exhibit 99.1 and is incorporated herein by reference.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(d) Exhibits.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9520" w:type="dxa"/>
            <w:vAlign w:val="bottom"/>
            <w:gridSpan w:val="3"/>
          </w:tcPr>
          <w:p>
            <w:pPr>
              <w:ind w:left="32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310"/>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99.1</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20" w:type="dxa"/>
            <w:vAlign w:val="bottom"/>
            <w:gridSpan w:val="3"/>
          </w:tcPr>
          <w:p>
            <w:pPr>
              <w:ind w:left="320"/>
              <w:spacing w:after="0"/>
              <w:rPr>
                <w:rFonts w:ascii="Times New Roman" w:cs="Times New Roman" w:eastAsia="Times New Roman" w:hAnsi="Times New Roman"/>
                <w:sz w:val="20"/>
                <w:szCs w:val="20"/>
                <w:u w:val="single" w:color="auto"/>
                <w:color w:val="0000FF"/>
              </w:rPr>
            </w:pPr>
            <w:hyperlink w:anchor="page4">
              <w:r>
                <w:rPr>
                  <w:rFonts w:ascii="Times New Roman" w:cs="Times New Roman" w:eastAsia="Times New Roman" w:hAnsi="Times New Roman"/>
                  <w:sz w:val="20"/>
                  <w:szCs w:val="20"/>
                  <w:u w:val="single" w:color="auto"/>
                  <w:color w:val="0000FF"/>
                </w:rPr>
                <w:t>Chevron press release dated September 8, 2020</w:t>
              </w:r>
            </w:hyperlink>
          </w:p>
        </w:tc>
      </w:tr>
      <w:tr>
        <w:trPr>
          <w:trHeight w:val="284"/>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9"/>
              </w:rPr>
              <w:t>104</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2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Cover Page Interactive Data File, formatted in Inline XBRL</w:t>
            </w:r>
          </w:p>
        </w:tc>
      </w:tr>
      <w:tr>
        <w:trPr>
          <w:trHeight w:val="1365"/>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0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September 8, 2020</w:t>
      </w:r>
    </w:p>
    <w:p>
      <w:pPr>
        <w:spacing w:after="0" w:line="31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CHEVRON CORPORATION</w:t>
      </w:r>
    </w:p>
    <w:p>
      <w:pPr>
        <w:spacing w:after="0" w:line="39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0"/>
          <w:szCs w:val="20"/>
          <w:color w:val="auto"/>
        </w:rPr>
        <w:t>By: /s/ Christine L. Cavallo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40005</wp:posOffset>
            </wp:positionV>
            <wp:extent cx="25800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4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0"/>
          <w:szCs w:val="20"/>
          <w:color w:val="auto"/>
        </w:rPr>
        <w:t>Christine L. Cavallo</w:t>
      </w:r>
    </w:p>
    <w:p>
      <w:pPr>
        <w:spacing w:after="0" w:line="5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0"/>
          <w:szCs w:val="20"/>
          <w:color w:val="auto"/>
        </w:rPr>
        <w:t>Assistant Secretary</w:t>
      </w:r>
    </w:p>
    <w:p>
      <w:pPr>
        <w:sectPr>
          <w:pgSz w:w="11900" w:h="16838" w:orient="portrait"/>
          <w:cols w:equalWidth="0" w:num="1">
            <w:col w:w="11020"/>
          </w:cols>
          <w:pgMar w:left="320" w:top="1179"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296545</wp:posOffset>
            </wp:positionV>
            <wp:extent cx="1482725" cy="908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8272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9DD9"/>
        </w:rPr>
        <w:t>Jon Huntsman Jr. Rejoins Chevron’s Board of Directors</w:t>
      </w:r>
    </w:p>
    <w:p>
      <w:pPr>
        <w:spacing w:after="0" w:line="309" w:lineRule="exact"/>
        <w:rPr>
          <w:sz w:val="20"/>
          <w:szCs w:val="20"/>
          <w:color w:val="auto"/>
        </w:rPr>
      </w:pPr>
    </w:p>
    <w:p>
      <w:pPr>
        <w:jc w:val="both"/>
        <w:ind w:right="260" w:firstLine="648"/>
        <w:spacing w:after="0" w:line="260" w:lineRule="auto"/>
        <w:rPr>
          <w:sz w:val="20"/>
          <w:szCs w:val="20"/>
          <w:color w:val="auto"/>
        </w:rPr>
      </w:pPr>
      <w:r>
        <w:rPr>
          <w:rFonts w:ascii="Arial" w:cs="Arial" w:eastAsia="Arial" w:hAnsi="Arial"/>
          <w:sz w:val="20"/>
          <w:szCs w:val="20"/>
          <w:b w:val="1"/>
          <w:bCs w:val="1"/>
          <w:color w:val="auto"/>
        </w:rPr>
        <w:t xml:space="preserve">SAN RAMON, Calif., Sept. 8, 2020 </w:t>
      </w:r>
      <w:r>
        <w:rPr>
          <w:rFonts w:ascii="Arial" w:cs="Arial" w:eastAsia="Arial" w:hAnsi="Arial"/>
          <w:sz w:val="20"/>
          <w:szCs w:val="20"/>
          <w:color w:val="auto"/>
        </w:rPr>
        <w:t>– Chevron Corporation (NYSE: CVX) announced that Jon Huntsman Jr. has been</w:t>
      </w:r>
      <w:r>
        <w:rPr>
          <w:rFonts w:ascii="Arial" w:cs="Arial" w:eastAsia="Arial" w:hAnsi="Arial"/>
          <w:sz w:val="20"/>
          <w:szCs w:val="20"/>
          <w:b w:val="1"/>
          <w:bCs w:val="1"/>
          <w:color w:val="auto"/>
        </w:rPr>
        <w:t xml:space="preserve"> </w:t>
      </w:r>
      <w:r>
        <w:rPr>
          <w:rFonts w:ascii="Arial" w:cs="Arial" w:eastAsia="Arial" w:hAnsi="Arial"/>
          <w:sz w:val="20"/>
          <w:szCs w:val="20"/>
          <w:color w:val="auto"/>
        </w:rPr>
        <w:t>re-elected to Chevron’s board of directors, effective on September 15, 2020. He will serve on the Management Compensation Committee and the Public Policy Committee.</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auto"/>
        </w:rPr>
        <w:t>Huntsman, 60, was a member of Chevron’s board from 2014 to 2017, serving on the Audit Committee, the Board Nominating and Governance Committee, and the Public Policy Committee during his tenure. He resigned to serve as the U.S. Ambassador to Russia.</w:t>
      </w:r>
    </w:p>
    <w:p>
      <w:pPr>
        <w:spacing w:after="0" w:line="187" w:lineRule="exact"/>
        <w:rPr>
          <w:sz w:val="20"/>
          <w:szCs w:val="20"/>
          <w:color w:val="auto"/>
        </w:rPr>
      </w:pPr>
    </w:p>
    <w:p>
      <w:pPr>
        <w:ind w:right="200"/>
        <w:spacing w:after="0" w:line="307" w:lineRule="auto"/>
        <w:rPr>
          <w:sz w:val="20"/>
          <w:szCs w:val="20"/>
          <w:color w:val="auto"/>
        </w:rPr>
      </w:pPr>
      <w:r>
        <w:rPr>
          <w:rFonts w:ascii="Arial" w:cs="Arial" w:eastAsia="Arial" w:hAnsi="Arial"/>
          <w:sz w:val="19"/>
          <w:szCs w:val="19"/>
          <w:color w:val="auto"/>
        </w:rPr>
        <w:t>“I’m very pleased to welcome Jon back to Chevron’s board,” said Chevron Chairman and CEO Michael Wirth. “Jon’s international experience, knowledge of our business, and leadership strengthens the company and benefits our shareholders.”</w:t>
      </w:r>
    </w:p>
    <w:p>
      <w:pPr>
        <w:spacing w:after="0" w:line="143"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Huntsman’s career has spanned business, politics, and diplomacy. He served as the U.S. Ambassador to Russia from 2017 through 2019. He served as Chairman of the Atlantic Council, a nonprofit that promotes leadership and engagement in international affairs, from 2014 until 2017. He was Chairman of the Huntsman Cancer Foundation, a nonprofit organization that financially supports research, education and patient care initiatives at Huntsman Cancer Institute at the University of Utah from 2012 until 2017. Huntsman served in the administrations of five Presidents and was a candidate for the Republican nomination for President of the United States in 2011. He served as U.S. Ambassador to China from 2009 until 2011 and two consecutive terms as Governor of Utah from 2005 until 2009. Prior to his service as Governor, he served as U.S. Ambassador to Singapore, Deputy U.S. Trade Representative, and Deputy Assistant Secretary of Commerce for Asia. He holds a bachelor’s degree in international politics from the University of Pennsylvania.</w:t>
      </w:r>
    </w:p>
    <w:p>
      <w:pPr>
        <w:spacing w:after="0" w:line="204"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Chevron Corporation is one of the world’s leading integrated energy companies. Through its subsidiaries that conduct business worldwide, the company is involved in virtually every facet of the energy industry. Chevron explores for, produces and transports crude oil and natural gas; refines, markets and distributes transportation fuels and lubricants; manufactures and sells petrochemicals and additives; generates power; and develops and deploys technologies that enhance business value in every aspect of the company’s operations. Chevron is based in San Ramon, Calif. More information about Chevron is available at www.chevron.com.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View source version on businesswire.com: https://www.businesswire.com/news/home/20200908005144/en/</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Contact: Braden Reddall +1 925 842 2209</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2020-09-09T05:13:38Z</dcterms:created>
  <dcterms:modified xsi:type="dcterms:W3CDTF">2020-09-09T05:13:38Z</dcterms:modified>
</cp:coreProperties>
</file>