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233045</wp:posOffset>
            </wp:positionH>
            <wp:positionV relativeFrom="page">
              <wp:posOffset>650240</wp:posOffset>
            </wp:positionV>
            <wp:extent cx="7056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6755" cy="8255"/>
                    </a:xfrm>
                    <a:prstGeom prst="rect">
                      <a:avLst/>
                    </a:prstGeom>
                    <a:noFill/>
                  </pic:spPr>
                </pic:pic>
              </a:graphicData>
            </a:graphic>
          </wp:anchor>
        </w:drawing>
      </w:r>
    </w:p>
    <w:p>
      <w:pPr>
        <w:ind w:left="4546"/>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1" w:lineRule="exact"/>
        <w:rPr>
          <w:sz w:val="24"/>
          <w:szCs w:val="24"/>
          <w:color w:val="auto"/>
        </w:rPr>
      </w:pPr>
    </w:p>
    <w:p>
      <w:pPr>
        <w:ind w:left="2986"/>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1" w:lineRule="exact"/>
        <w:rPr>
          <w:sz w:val="24"/>
          <w:szCs w:val="24"/>
          <w:color w:val="auto"/>
        </w:rPr>
      </w:pPr>
    </w:p>
    <w:p>
      <w:pPr>
        <w:ind w:left="4466"/>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262255</wp:posOffset>
            </wp:positionV>
            <wp:extent cx="7018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80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4766"/>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313" w:lineRule="exact"/>
        <w:rPr>
          <w:sz w:val="24"/>
          <w:szCs w:val="24"/>
          <w:color w:val="auto"/>
        </w:rPr>
      </w:pPr>
    </w:p>
    <w:p>
      <w:pPr>
        <w:ind w:left="466" w:hanging="466"/>
        <w:spacing w:after="0"/>
        <w:tabs>
          <w:tab w:leader="none" w:pos="466"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209" w:lineRule="exact"/>
        <w:rPr>
          <w:sz w:val="24"/>
          <w:szCs w:val="24"/>
          <w:color w:val="auto"/>
        </w:rPr>
      </w:pPr>
    </w:p>
    <w:p>
      <w:pPr>
        <w:jc w:val="center"/>
        <w:ind w:right="-1305"/>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2025</w:t>
      </w:r>
    </w:p>
    <w:p>
      <w:pPr>
        <w:spacing w:after="0" w:line="178" w:lineRule="exact"/>
        <w:rPr>
          <w:sz w:val="24"/>
          <w:szCs w:val="24"/>
          <w:color w:val="auto"/>
        </w:rPr>
      </w:pPr>
    </w:p>
    <w:p>
      <w:pPr>
        <w:ind w:left="5526"/>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30" w:lineRule="exact"/>
        <w:rPr>
          <w:sz w:val="24"/>
          <w:szCs w:val="24"/>
          <w:color w:val="auto"/>
        </w:rPr>
      </w:pPr>
    </w:p>
    <w:p>
      <w:pPr>
        <w:ind w:left="466" w:hanging="466"/>
        <w:spacing w:after="0"/>
        <w:tabs>
          <w:tab w:leader="none" w:pos="466"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15(d) OF THE SECURITIES EXCHANGE ACT OF 1934</w:t>
      </w:r>
    </w:p>
    <w:p>
      <w:pPr>
        <w:spacing w:after="0" w:line="344" w:lineRule="exact"/>
        <w:rPr>
          <w:sz w:val="24"/>
          <w:szCs w:val="24"/>
          <w:color w:val="auto"/>
        </w:rPr>
      </w:pPr>
    </w:p>
    <w:p>
      <w:pPr>
        <w:ind w:left="3266"/>
        <w:spacing w:after="0"/>
        <w:tabs>
          <w:tab w:leader="none" w:pos="6865"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3715385</wp:posOffset>
            </wp:positionH>
            <wp:positionV relativeFrom="paragraph">
              <wp:posOffset>-9525</wp:posOffset>
            </wp:positionV>
            <wp:extent cx="1412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192" w:lineRule="exact"/>
        <w:rPr>
          <w:sz w:val="24"/>
          <w:szCs w:val="24"/>
          <w:color w:val="auto"/>
        </w:rPr>
      </w:pPr>
    </w:p>
    <w:p>
      <w:pPr>
        <w:ind w:left="4146"/>
        <w:spacing w:after="0"/>
        <w:rPr>
          <w:sz w:val="20"/>
          <w:szCs w:val="20"/>
          <w:color w:val="auto"/>
        </w:rPr>
      </w:pPr>
      <w:r>
        <w:rPr>
          <w:rFonts w:ascii="Times New Roman" w:cs="Times New Roman" w:eastAsia="Times New Roman" w:hAnsi="Times New Roman"/>
          <w:sz w:val="20"/>
          <w:szCs w:val="20"/>
          <w:b w:val="1"/>
          <w:bCs w:val="1"/>
          <w:color w:val="auto"/>
        </w:rPr>
        <w:t>Commission File Number 001-00368</w:t>
      </w:r>
    </w:p>
    <w:p>
      <w:pPr>
        <w:spacing w:after="0" w:line="247" w:lineRule="exact"/>
        <w:rPr>
          <w:sz w:val="24"/>
          <w:szCs w:val="24"/>
          <w:color w:val="auto"/>
        </w:rPr>
      </w:pPr>
    </w:p>
    <w:p>
      <w:pPr>
        <w:ind w:left="1146" w:hanging="452"/>
        <w:spacing w:after="0"/>
        <w:tabs>
          <w:tab w:leader="none" w:pos="11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66" w:lineRule="exact"/>
        <w:rPr>
          <w:sz w:val="24"/>
          <w:szCs w:val="24"/>
          <w:color w:val="auto"/>
        </w:rPr>
      </w:pPr>
    </w:p>
    <w:p>
      <w:pPr>
        <w:ind w:left="2766"/>
        <w:spacing w:after="0"/>
        <w:rPr>
          <w:sz w:val="20"/>
          <w:szCs w:val="20"/>
          <w:color w:val="auto"/>
        </w:rPr>
      </w:pPr>
      <w:r>
        <w:rPr>
          <w:rFonts w:ascii="Times New Roman" w:cs="Times New Roman" w:eastAsia="Times New Roman" w:hAnsi="Times New Roman"/>
          <w:sz w:val="25"/>
          <w:szCs w:val="25"/>
          <w:b w:val="1"/>
          <w:bCs w:val="1"/>
          <w:color w:val="auto"/>
        </w:rPr>
        <w:t>HESS CORPORATION EMPLOYEES' SAVINGS PLAN</w:t>
      </w:r>
    </w:p>
    <w:p>
      <w:pPr>
        <w:spacing w:after="0" w:line="310" w:lineRule="exact"/>
        <w:rPr>
          <w:sz w:val="24"/>
          <w:szCs w:val="24"/>
          <w:color w:val="auto"/>
        </w:rPr>
      </w:pPr>
    </w:p>
    <w:p>
      <w:pPr>
        <w:ind w:left="1146" w:hanging="452"/>
        <w:spacing w:after="0"/>
        <w:tabs>
          <w:tab w:leader="none" w:pos="11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82" w:lineRule="exact"/>
        <w:rPr>
          <w:sz w:val="24"/>
          <w:szCs w:val="24"/>
          <w:color w:val="auto"/>
        </w:rPr>
      </w:pPr>
    </w:p>
    <w:p>
      <w:pPr>
        <w:jc w:val="center"/>
        <w:ind w:right="-1305"/>
        <w:spacing w:after="0"/>
        <w:rPr>
          <w:sz w:val="20"/>
          <w:szCs w:val="20"/>
          <w:color w:val="auto"/>
        </w:rPr>
      </w:pPr>
      <w:r>
        <w:rPr>
          <w:rFonts w:ascii="Times New Roman" w:cs="Times New Roman" w:eastAsia="Times New Roman" w:hAnsi="Times New Roman"/>
          <w:sz w:val="29"/>
          <w:szCs w:val="29"/>
          <w:b w:val="1"/>
          <w:bCs w:val="1"/>
          <w:color w:val="auto"/>
        </w:rPr>
        <w:t>Chevron Corporation</w:t>
      </w:r>
    </w:p>
    <w:p>
      <w:pPr>
        <w:spacing w:after="0" w:line="71" w:lineRule="exact"/>
        <w:rPr>
          <w:sz w:val="24"/>
          <w:szCs w:val="24"/>
          <w:color w:val="auto"/>
        </w:rPr>
      </w:pPr>
    </w:p>
    <w:p>
      <w:pPr>
        <w:ind w:left="4986"/>
        <w:spacing w:after="0"/>
        <w:rPr>
          <w:sz w:val="20"/>
          <w:szCs w:val="20"/>
          <w:color w:val="auto"/>
        </w:rPr>
      </w:pPr>
      <w:r>
        <w:rPr>
          <w:rFonts w:ascii="Times New Roman" w:cs="Times New Roman" w:eastAsia="Times New Roman" w:hAnsi="Times New Roman"/>
          <w:sz w:val="18"/>
          <w:szCs w:val="18"/>
          <w:b w:val="1"/>
          <w:bCs w:val="1"/>
          <w:color w:val="auto"/>
        </w:rPr>
        <w:t>1400 Smith Street</w:t>
      </w:r>
    </w:p>
    <w:p>
      <w:pPr>
        <w:spacing w:after="0" w:line="34" w:lineRule="exact"/>
        <w:rPr>
          <w:sz w:val="24"/>
          <w:szCs w:val="24"/>
          <w:color w:val="auto"/>
        </w:rPr>
      </w:pPr>
    </w:p>
    <w:p>
      <w:pPr>
        <w:ind w:left="4926"/>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-67310</wp:posOffset>
            </wp:positionH>
            <wp:positionV relativeFrom="paragraph">
              <wp:posOffset>2106295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1022350</wp:posOffset>
            </wp:positionV>
            <wp:extent cx="7056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6755" cy="8255"/>
                    </a:xfrm>
                    <a:prstGeom prst="rect">
                      <a:avLst/>
                    </a:prstGeom>
                    <a:noFill/>
                  </pic:spPr>
                </pic:pic>
              </a:graphicData>
            </a:graphic>
          </wp:anchor>
        </w:drawing>
      </w:r>
    </w:p>
    <w:p>
      <w:pPr>
        <w:sectPr>
          <w:pgSz w:w="11900" w:h="16838" w:orient="portrait"/>
          <w:cols w:equalWidth="0" w:num="1">
            <w:col w:w="10045"/>
          </w:cols>
          <w:pgMar w:left="414" w:top="1440" w:right="1440" w:bottom="1440" w:gutter="0" w:footer="0" w:header="0"/>
        </w:sectPr>
      </w:pPr>
    </w:p>
    <w:bookmarkStart w:id="1" w:name="page2"/>
    <w:bookmarkEnd w:id="1"/>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HESS CORPORATION EMPLOYEES' SAVINGS PLAN</w:t>
      </w: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40" w:type="dxa"/>
            <w:vAlign w:val="bottom"/>
            <w:gridSpan w:val="3"/>
          </w:tcPr>
          <w:p>
            <w:pPr>
              <w:jc w:val="center"/>
              <w:ind w:left="3473"/>
              <w:spacing w:after="0"/>
              <w:rPr>
                <w:sz w:val="20"/>
                <w:szCs w:val="20"/>
                <w:color w:val="auto"/>
              </w:rPr>
            </w:pPr>
            <w:r>
              <w:rPr>
                <w:rFonts w:ascii="Times New Roman" w:cs="Times New Roman" w:eastAsia="Times New Roman" w:hAnsi="Times New Roman"/>
                <w:sz w:val="21"/>
                <w:szCs w:val="21"/>
                <w:b w:val="1"/>
                <w:bCs w:val="1"/>
                <w:color w:val="auto"/>
              </w:rPr>
              <w:t>Page</w:t>
            </w:r>
          </w:p>
        </w:tc>
        <w:tc>
          <w:tcPr>
            <w:tcW w:w="0" w:type="dxa"/>
            <w:vAlign w:val="bottom"/>
          </w:tcPr>
          <w:p>
            <w:pPr>
              <w:spacing w:after="0"/>
              <w:rPr>
                <w:sz w:val="1"/>
                <w:szCs w:val="1"/>
                <w:color w:val="auto"/>
              </w:rPr>
            </w:pPr>
          </w:p>
        </w:tc>
      </w:tr>
      <w:tr>
        <w:trPr>
          <w:trHeight w:val="402"/>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40" w:type="dxa"/>
            <w:vAlign w:val="bottom"/>
            <w:gridSpan w:val="3"/>
          </w:tcPr>
          <w:p>
            <w:pPr>
              <w:jc w:val="center"/>
              <w:ind w:left="3473"/>
              <w:spacing w:after="0"/>
              <w:rPr>
                <w:sz w:val="20"/>
                <w:szCs w:val="20"/>
                <w:color w:val="auto"/>
              </w:rPr>
            </w:pPr>
            <w:r>
              <w:rPr>
                <w:rFonts w:ascii="Times New Roman" w:cs="Times New Roman" w:eastAsia="Times New Roman" w:hAnsi="Times New Roman"/>
                <w:sz w:val="21"/>
                <w:szCs w:val="21"/>
                <w:b w:val="1"/>
                <w:bCs w:val="1"/>
                <w:color w:val="auto"/>
              </w:rPr>
              <w:t>Number</w:t>
            </w:r>
          </w:p>
        </w:tc>
        <w:tc>
          <w:tcPr>
            <w:tcW w:w="0" w:type="dxa"/>
            <w:vAlign w:val="bottom"/>
          </w:tcPr>
          <w:p>
            <w:pPr>
              <w:spacing w:after="0"/>
              <w:rPr>
                <w:sz w:val="1"/>
                <w:szCs w:val="1"/>
                <w:color w:val="auto"/>
              </w:rPr>
            </w:pPr>
          </w:p>
        </w:tc>
      </w:tr>
      <w:tr>
        <w:trPr>
          <w:trHeight w:val="351"/>
        </w:trPr>
        <w:tc>
          <w:tcPr>
            <w:tcW w:w="5200" w:type="dxa"/>
            <w:vAlign w:val="bottom"/>
            <w:gridSpan w:val="6"/>
          </w:tcPr>
          <w:p>
            <w:pPr>
              <w:spacing w:after="0"/>
              <w:rPr>
                <w:sz w:val="20"/>
                <w:szCs w:val="20"/>
                <w:color w:val="auto"/>
              </w:rPr>
            </w:pPr>
            <w:r>
              <w:rPr>
                <w:rFonts w:ascii="Times New Roman" w:cs="Times New Roman" w:eastAsia="Times New Roman" w:hAnsi="Times New Roman"/>
                <w:sz w:val="21"/>
                <w:szCs w:val="21"/>
                <w:color w:val="0000FF"/>
              </w:rPr>
              <w:t>Reports of Independent Registered Public Accounting Firms</w:t>
            </w:r>
          </w:p>
        </w:tc>
        <w:tc>
          <w:tcPr>
            <w:tcW w:w="1420" w:type="dxa"/>
            <w:vAlign w:val="bottom"/>
          </w:tcPr>
          <w:p>
            <w:pPr>
              <w:spacing w:after="0"/>
              <w:rPr>
                <w:sz w:val="24"/>
                <w:szCs w:val="24"/>
                <w:color w:val="auto"/>
              </w:rPr>
            </w:pPr>
          </w:p>
        </w:tc>
        <w:tc>
          <w:tcPr>
            <w:tcW w:w="4000" w:type="dxa"/>
            <w:vAlign w:val="bottom"/>
            <w:gridSpan w:val="2"/>
          </w:tcPr>
          <w:p>
            <w:pPr>
              <w:jc w:val="center"/>
              <w:ind w:left="3793"/>
              <w:spacing w:after="0"/>
              <w:rPr>
                <w:sz w:val="20"/>
                <w:szCs w:val="20"/>
                <w:color w:val="auto"/>
              </w:rPr>
            </w:pPr>
            <w:r>
              <w:rPr>
                <w:rFonts w:ascii="Times New Roman" w:cs="Times New Roman" w:eastAsia="Times New Roman" w:hAnsi="Times New Roman"/>
                <w:sz w:val="21"/>
                <w:szCs w:val="21"/>
                <w:color w:val="0000FF"/>
                <w:w w:val="94"/>
              </w:rPr>
              <w:t>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rPr>
              <w:t>Financial Statements</w:t>
            </w:r>
          </w:p>
        </w:tc>
        <w:tc>
          <w:tcPr>
            <w:tcW w:w="3400" w:type="dxa"/>
            <w:vAlign w:val="bottom"/>
            <w:tcBorders>
              <w:top w:val="single" w:sz="8" w:color="0000FF"/>
            </w:tcBorders>
            <w:gridSpan w:val="2"/>
          </w:tcPr>
          <w:p>
            <w:pPr>
              <w:spacing w:after="0"/>
              <w:rPr>
                <w:sz w:val="24"/>
                <w:szCs w:val="24"/>
                <w:color w:val="auto"/>
              </w:rPr>
            </w:pPr>
          </w:p>
        </w:tc>
        <w:tc>
          <w:tcPr>
            <w:tcW w:w="14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4"/>
                <w:szCs w:val="24"/>
                <w:color w:val="auto"/>
              </w:rPr>
            </w:pPr>
          </w:p>
        </w:tc>
        <w:tc>
          <w:tcPr>
            <w:tcW w:w="642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Statements of Net Assets Available for Benefits</w:t>
            </w:r>
          </w:p>
        </w:tc>
        <w:tc>
          <w:tcPr>
            <w:tcW w:w="3900" w:type="dxa"/>
            <w:vAlign w:val="bottom"/>
          </w:tcPr>
          <w:p>
            <w:pPr>
              <w:spacing w:after="0"/>
              <w:rPr>
                <w:sz w:val="24"/>
                <w:szCs w:val="24"/>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21"/>
                <w:szCs w:val="21"/>
                <w:color w:val="0000FF"/>
                <w:w w:val="94"/>
              </w:rPr>
              <w:t>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0" w:type="dxa"/>
            <w:vAlign w:val="bottom"/>
            <w:vMerge w:val="restart"/>
          </w:tcPr>
          <w:p>
            <w:pPr>
              <w:spacing w:after="0"/>
              <w:rPr>
                <w:sz w:val="15"/>
                <w:szCs w:val="15"/>
                <w:color w:val="auto"/>
              </w:rPr>
            </w:pPr>
          </w:p>
        </w:tc>
        <w:tc>
          <w:tcPr>
            <w:tcW w:w="6420" w:type="dxa"/>
            <w:vAlign w:val="bottom"/>
            <w:gridSpan w:val="6"/>
            <w:vMerge w:val="restart"/>
          </w:tcPr>
          <w:p>
            <w:pPr>
              <w:ind w:left="380"/>
              <w:spacing w:after="0"/>
              <w:rPr>
                <w:sz w:val="20"/>
                <w:szCs w:val="20"/>
                <w:color w:val="auto"/>
              </w:rPr>
            </w:pPr>
            <w:r>
              <w:rPr>
                <w:rFonts w:ascii="Times New Roman" w:cs="Times New Roman" w:eastAsia="Times New Roman" w:hAnsi="Times New Roman"/>
                <w:sz w:val="21"/>
                <w:szCs w:val="21"/>
                <w:color w:val="auto"/>
              </w:rPr>
              <w:t>as of December 31, 2025 and 2024</w:t>
            </w:r>
          </w:p>
        </w:tc>
        <w:tc>
          <w:tcPr>
            <w:tcW w:w="3900" w:type="dxa"/>
            <w:vAlign w:val="bottom"/>
            <w:vMerge w:val="restart"/>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0" w:type="dxa"/>
            <w:vAlign w:val="bottom"/>
            <w:vMerge w:val="continue"/>
          </w:tcPr>
          <w:p>
            <w:pPr>
              <w:spacing w:after="0"/>
              <w:rPr>
                <w:sz w:val="7"/>
                <w:szCs w:val="7"/>
                <w:color w:val="auto"/>
              </w:rPr>
            </w:pPr>
          </w:p>
        </w:tc>
        <w:tc>
          <w:tcPr>
            <w:tcW w:w="6420" w:type="dxa"/>
            <w:vAlign w:val="bottom"/>
            <w:gridSpan w:val="6"/>
            <w:vMerge w:val="continue"/>
          </w:tcPr>
          <w:p>
            <w:pPr>
              <w:spacing w:after="0"/>
              <w:rPr>
                <w:sz w:val="7"/>
                <w:szCs w:val="7"/>
                <w:color w:val="auto"/>
              </w:rPr>
            </w:pPr>
          </w:p>
        </w:tc>
        <w:tc>
          <w:tcPr>
            <w:tcW w:w="3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200" w:type="dxa"/>
            <w:vAlign w:val="bottom"/>
          </w:tcPr>
          <w:p>
            <w:pPr>
              <w:spacing w:after="0"/>
              <w:rPr>
                <w:sz w:val="24"/>
                <w:szCs w:val="24"/>
                <w:color w:val="auto"/>
              </w:rPr>
            </w:pPr>
          </w:p>
        </w:tc>
        <w:tc>
          <w:tcPr>
            <w:tcW w:w="642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Statement of Changes in Net Assets Available for Benefits</w:t>
            </w:r>
          </w:p>
        </w:tc>
        <w:tc>
          <w:tcPr>
            <w:tcW w:w="3900" w:type="dxa"/>
            <w:vAlign w:val="bottom"/>
          </w:tcPr>
          <w:p>
            <w:pPr>
              <w:spacing w:after="0"/>
              <w:rPr>
                <w:sz w:val="24"/>
                <w:szCs w:val="24"/>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21"/>
                <w:szCs w:val="21"/>
                <w:color w:val="0000FF"/>
                <w:w w:val="94"/>
              </w:rPr>
              <w:t>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 w:type="dxa"/>
            <w:vAlign w:val="bottom"/>
            <w:vMerge w:val="restart"/>
          </w:tcPr>
          <w:p>
            <w:pPr>
              <w:spacing w:after="0"/>
              <w:rPr>
                <w:sz w:val="14"/>
                <w:szCs w:val="14"/>
                <w:color w:val="auto"/>
              </w:rPr>
            </w:pPr>
          </w:p>
        </w:tc>
        <w:tc>
          <w:tcPr>
            <w:tcW w:w="6420" w:type="dxa"/>
            <w:vAlign w:val="bottom"/>
            <w:gridSpan w:val="6"/>
            <w:vMerge w:val="restart"/>
          </w:tcPr>
          <w:p>
            <w:pPr>
              <w:ind w:left="380"/>
              <w:spacing w:after="0"/>
              <w:rPr>
                <w:sz w:val="20"/>
                <w:szCs w:val="20"/>
                <w:color w:val="auto"/>
              </w:rPr>
            </w:pPr>
            <w:r>
              <w:rPr>
                <w:rFonts w:ascii="Times New Roman" w:cs="Times New Roman" w:eastAsia="Times New Roman" w:hAnsi="Times New Roman"/>
                <w:sz w:val="21"/>
                <w:szCs w:val="21"/>
                <w:color w:val="auto"/>
              </w:rPr>
              <w:t>for the Year Ended December 31, 2025</w:t>
            </w:r>
          </w:p>
        </w:tc>
        <w:tc>
          <w:tcPr>
            <w:tcW w:w="3900" w:type="dxa"/>
            <w:vAlign w:val="bottom"/>
            <w:vMerge w:val="restart"/>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6420" w:type="dxa"/>
            <w:vAlign w:val="bottom"/>
            <w:gridSpan w:val="6"/>
            <w:vMerge w:val="continue"/>
          </w:tcPr>
          <w:p>
            <w:pPr>
              <w:spacing w:after="0"/>
              <w:rPr>
                <w:sz w:val="8"/>
                <w:szCs w:val="8"/>
                <w:color w:val="auto"/>
              </w:rPr>
            </w:pPr>
          </w:p>
        </w:tc>
        <w:tc>
          <w:tcPr>
            <w:tcW w:w="3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6420" w:type="dxa"/>
            <w:vAlign w:val="bottom"/>
            <w:gridSpan w:val="6"/>
          </w:tcPr>
          <w:p>
            <w:pPr>
              <w:spacing w:after="0"/>
              <w:rPr>
                <w:sz w:val="20"/>
                <w:szCs w:val="20"/>
                <w:color w:val="auto"/>
              </w:rPr>
            </w:pPr>
            <w:r>
              <w:rPr>
                <w:rFonts w:ascii="Times New Roman" w:cs="Times New Roman" w:eastAsia="Times New Roman" w:hAnsi="Times New Roman"/>
                <w:sz w:val="21"/>
                <w:szCs w:val="21"/>
                <w:color w:val="0000FF"/>
              </w:rPr>
              <w:t>Notes to Financial Statements</w:t>
            </w:r>
          </w:p>
        </w:tc>
        <w:tc>
          <w:tcPr>
            <w:tcW w:w="4000" w:type="dxa"/>
            <w:vAlign w:val="bottom"/>
            <w:gridSpan w:val="2"/>
          </w:tcPr>
          <w:p>
            <w:pPr>
              <w:jc w:val="center"/>
              <w:ind w:left="3793"/>
              <w:spacing w:after="0"/>
              <w:rPr>
                <w:sz w:val="20"/>
                <w:szCs w:val="20"/>
                <w:color w:val="auto"/>
              </w:rPr>
            </w:pPr>
            <w:r>
              <w:rPr>
                <w:rFonts w:ascii="Times New Roman" w:cs="Times New Roman" w:eastAsia="Times New Roman" w:hAnsi="Times New Roman"/>
                <w:sz w:val="21"/>
                <w:szCs w:val="21"/>
                <w:color w:val="0000FF"/>
                <w:w w:val="94"/>
              </w:rPr>
              <w:t>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1"/>
                <w:szCs w:val="21"/>
                <w:color w:val="0000EE"/>
              </w:rPr>
              <w:t>Exhibit Index</w:t>
            </w:r>
          </w:p>
        </w:tc>
        <w:tc>
          <w:tcPr>
            <w:tcW w:w="5440" w:type="dxa"/>
            <w:vAlign w:val="bottom"/>
            <w:gridSpan w:val="4"/>
          </w:tcPr>
          <w:p>
            <w:pPr>
              <w:spacing w:after="0"/>
              <w:rPr>
                <w:sz w:val="24"/>
                <w:szCs w:val="24"/>
                <w:color w:val="auto"/>
              </w:rPr>
            </w:pPr>
          </w:p>
        </w:tc>
        <w:tc>
          <w:tcPr>
            <w:tcW w:w="4000" w:type="dxa"/>
            <w:vAlign w:val="bottom"/>
            <w:gridSpan w:val="2"/>
          </w:tcPr>
          <w:p>
            <w:pPr>
              <w:jc w:val="center"/>
              <w:ind w:left="3673"/>
              <w:spacing w:after="0"/>
              <w:rPr>
                <w:sz w:val="20"/>
                <w:szCs w:val="20"/>
                <w:color w:val="auto"/>
              </w:rPr>
            </w:pPr>
            <w:r>
              <w:rPr>
                <w:rFonts w:ascii="Times New Roman" w:cs="Times New Roman" w:eastAsia="Times New Roman" w:hAnsi="Times New Roman"/>
                <w:sz w:val="21"/>
                <w:szCs w:val="21"/>
                <w:color w:val="0000FF"/>
              </w:rPr>
              <w:t>10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0" w:type="dxa"/>
            <w:vAlign w:val="bottom"/>
          </w:tcPr>
          <w:p>
            <w:pPr>
              <w:spacing w:after="0"/>
              <w:rPr>
                <w:sz w:val="24"/>
                <w:szCs w:val="24"/>
                <w:color w:val="auto"/>
              </w:rPr>
            </w:pPr>
          </w:p>
        </w:tc>
        <w:tc>
          <w:tcPr>
            <w:tcW w:w="6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1"/>
                <w:szCs w:val="21"/>
                <w:color w:val="0000EE"/>
              </w:rPr>
              <w:t>Exhibit 23.1 – Consent of Independent Registered Public Accounting Firm</w:t>
            </w:r>
          </w:p>
        </w:tc>
        <w:tc>
          <w:tcPr>
            <w:tcW w:w="3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0" w:type="dxa"/>
            <w:vAlign w:val="bottom"/>
          </w:tcPr>
          <w:p>
            <w:pPr>
              <w:spacing w:after="0"/>
              <w:rPr>
                <w:sz w:val="24"/>
                <w:szCs w:val="24"/>
                <w:color w:val="auto"/>
              </w:rPr>
            </w:pPr>
          </w:p>
        </w:tc>
        <w:tc>
          <w:tcPr>
            <w:tcW w:w="6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1"/>
                <w:szCs w:val="21"/>
                <w:color w:val="0000EE"/>
              </w:rPr>
              <w:t>Exhibit 23.2 – Consent of Independent Registered Public Accounting Firm</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620" w:type="dxa"/>
            <w:vAlign w:val="bottom"/>
            <w:gridSpan w:val="7"/>
          </w:tcPr>
          <w:p>
            <w:pPr>
              <w:spacing w:after="0"/>
              <w:rPr>
                <w:sz w:val="20"/>
                <w:szCs w:val="20"/>
                <w:color w:val="auto"/>
              </w:rPr>
            </w:pPr>
            <w:r>
              <w:rPr>
                <w:rFonts w:ascii="Times New Roman" w:cs="Times New Roman" w:eastAsia="Times New Roman" w:hAnsi="Times New Roman"/>
                <w:sz w:val="21"/>
                <w:szCs w:val="21"/>
                <w:color w:val="0000EE"/>
              </w:rPr>
              <w:t>Signatures</w:t>
            </w:r>
          </w:p>
        </w:tc>
        <w:tc>
          <w:tcPr>
            <w:tcW w:w="4000" w:type="dxa"/>
            <w:vAlign w:val="bottom"/>
            <w:gridSpan w:val="2"/>
          </w:tcPr>
          <w:p>
            <w:pPr>
              <w:jc w:val="center"/>
              <w:ind w:left="3673"/>
              <w:spacing w:after="0"/>
              <w:rPr>
                <w:sz w:val="20"/>
                <w:szCs w:val="20"/>
                <w:color w:val="auto"/>
              </w:rPr>
            </w:pPr>
            <w:r>
              <w:rPr>
                <w:rFonts w:ascii="Times New Roman" w:cs="Times New Roman" w:eastAsia="Times New Roman" w:hAnsi="Times New Roman"/>
                <w:sz w:val="21"/>
                <w:szCs w:val="21"/>
                <w:color w:val="0000FF"/>
              </w:rPr>
              <w:t>11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9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Schedules required by the Department of Labor’s Rules and Regulations for Reporting and Disclosure under the Employee Retirement Income Security Act of 1974 have been omitted because they are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76835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40" w:top="1440"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0057B8"/>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Plan Administrator and Participants of the Hess Corporation Employees’ Savings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57B8"/>
        </w:rPr>
        <w:t>Opinion on the Financial Statements</w:t>
      </w:r>
    </w:p>
    <w:p>
      <w:pPr>
        <w:spacing w:after="0" w:line="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We have audited the accompanying statement of net assets available for benefits of Hess Corporation Employees’ Savings Plan (the “Plan”) as of December 31, 2025,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the changes in net assets available for benefits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57B8"/>
        </w:rPr>
        <w:t>Basis for Opinion</w:t>
      </w:r>
    </w:p>
    <w:p>
      <w:pPr>
        <w:spacing w:after="0" w:line="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these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/s/WithumSmith+Brown, PC</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auditor of the Plan since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Whippany, New Jersey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24, 2026</w:t>
      </w:r>
    </w:p>
    <w:p>
      <w:pPr>
        <w:spacing w:after="0"/>
        <w:rPr>
          <w:sz w:val="20"/>
          <w:szCs w:val="20"/>
          <w:color w:val="auto"/>
        </w:rPr>
      </w:pPr>
      <w:r>
        <w:rPr>
          <w:rFonts w:ascii="Times New Roman" w:cs="Times New Roman" w:eastAsia="Times New Roman" w:hAnsi="Times New Roman"/>
          <w:sz w:val="20"/>
          <w:szCs w:val="20"/>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Administrator and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in the Hess Corporation Employees’ Savings Plan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9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We have audited the accompanying statement of net assets available for benefits of Hess Corporation Employees’ Savings Plan (the Plan) as of December 31, 2024, and the related notes (collectively referred to as the “financial statements”). In our opinion, the financial statements present fairly, in all material respects, the net assets available for benefits of the Plan at December 31, 2024, in conformity with U.S. generally accepted accounting principles.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8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2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the Plan’s auditor from 1973 to 2026.</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HESS CORPORATION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EMPLOYEES' SAVINGS PLAN</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21"/>
                <w:szCs w:val="21"/>
                <w:b w:val="1"/>
                <w:bCs w:val="1"/>
                <w:color w:val="auto"/>
              </w:rPr>
              <w:t>December 31,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714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7140" w:type="dxa"/>
            <w:vAlign w:val="bottom"/>
          </w:tcPr>
          <w:p>
            <w:pPr>
              <w:spacing w:after="0"/>
              <w:rPr>
                <w:sz w:val="24"/>
                <w:szCs w:val="24"/>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21"/>
                <w:szCs w:val="21"/>
                <w:b w:val="1"/>
                <w:bCs w:val="1"/>
                <w:color w:val="auto"/>
              </w:rPr>
              <w:t>2025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jc w:val="right"/>
              <w:ind w:right="673"/>
              <w:spacing w:after="0"/>
              <w:rPr>
                <w:sz w:val="20"/>
                <w:szCs w:val="20"/>
                <w:color w:val="auto"/>
              </w:rPr>
            </w:pPr>
            <w:r>
              <w:rPr>
                <w:rFonts w:ascii="Times New Roman" w:cs="Times New Roman" w:eastAsia="Times New Roman" w:hAnsi="Times New Roman"/>
                <w:sz w:val="21"/>
                <w:szCs w:val="21"/>
                <w:b w:val="1"/>
                <w:bCs w:val="1"/>
                <w:color w:val="auto"/>
              </w:rPr>
              <w:t>2024</w:t>
            </w:r>
          </w:p>
        </w:tc>
        <w:tc>
          <w:tcPr>
            <w:tcW w:w="0" w:type="dxa"/>
            <w:vAlign w:val="bottom"/>
          </w:tcPr>
          <w:p>
            <w:pPr>
              <w:spacing w:after="0"/>
              <w:rPr>
                <w:sz w:val="1"/>
                <w:szCs w:val="1"/>
                <w:color w:val="auto"/>
              </w:rPr>
            </w:pPr>
          </w:p>
        </w:tc>
      </w:tr>
      <w:tr>
        <w:trPr>
          <w:trHeight w:val="43"/>
        </w:trPr>
        <w:tc>
          <w:tcPr>
            <w:tcW w:w="7140" w:type="dxa"/>
            <w:vAlign w:val="bottom"/>
            <w:vMerge w:val="restart"/>
          </w:tcPr>
          <w:p>
            <w:pPr>
              <w:ind w:left="160"/>
              <w:spacing w:after="0"/>
              <w:rPr>
                <w:sz w:val="20"/>
                <w:szCs w:val="20"/>
                <w:color w:val="auto"/>
              </w:rPr>
            </w:pPr>
            <w:r>
              <w:rPr>
                <w:rFonts w:ascii="Times New Roman" w:cs="Times New Roman" w:eastAsia="Times New Roman" w:hAnsi="Times New Roman"/>
                <w:sz w:val="21"/>
                <w:szCs w:val="21"/>
                <w:color w:val="auto"/>
              </w:rPr>
              <w:t>Investments, at fair value:</w:t>
            </w:r>
          </w:p>
        </w:tc>
        <w:tc>
          <w:tcPr>
            <w:tcW w:w="1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71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7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8"/>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1"/>
                <w:szCs w:val="21"/>
                <w:color w:val="auto"/>
              </w:rPr>
              <w:t>Investment securities</w:t>
            </w:r>
          </w:p>
        </w:tc>
        <w:tc>
          <w:tcPr>
            <w:tcW w:w="126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21"/>
                <w:szCs w:val="21"/>
                <w:color w:val="auto"/>
                <w:w w:val="94"/>
              </w:rPr>
              <w:t>$</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6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21"/>
                <w:szCs w:val="2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948,419,046</w:t>
            </w:r>
          </w:p>
        </w:tc>
        <w:tc>
          <w:tcPr>
            <w:tcW w:w="0" w:type="dxa"/>
            <w:vAlign w:val="bottom"/>
          </w:tcPr>
          <w:p>
            <w:pPr>
              <w:spacing w:after="0"/>
              <w:rPr>
                <w:sz w:val="1"/>
                <w:szCs w:val="1"/>
                <w:color w:val="auto"/>
              </w:rPr>
            </w:pPr>
          </w:p>
        </w:tc>
      </w:tr>
      <w:tr>
        <w:trPr>
          <w:trHeight w:val="427"/>
        </w:trPr>
        <w:tc>
          <w:tcPr>
            <w:tcW w:w="7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21"/>
                <w:szCs w:val="21"/>
                <w:color w:val="auto"/>
              </w:rPr>
              <w:t>Hess Corporation common stock fund</w:t>
            </w:r>
          </w:p>
        </w:tc>
        <w:tc>
          <w:tcPr>
            <w:tcW w:w="1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34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167,316,698</w:t>
            </w:r>
          </w:p>
        </w:tc>
        <w:tc>
          <w:tcPr>
            <w:tcW w:w="0" w:type="dxa"/>
            <w:vAlign w:val="bottom"/>
          </w:tcPr>
          <w:p>
            <w:pPr>
              <w:spacing w:after="0"/>
              <w:rPr>
                <w:sz w:val="1"/>
                <w:szCs w:val="1"/>
                <w:color w:val="auto"/>
              </w:rPr>
            </w:pPr>
          </w:p>
        </w:tc>
      </w:tr>
      <w:tr>
        <w:trPr>
          <w:trHeight w:val="383"/>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1"/>
                <w:szCs w:val="21"/>
                <w:color w:val="auto"/>
              </w:rPr>
              <w:t>Total investments</w:t>
            </w:r>
          </w:p>
        </w:tc>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6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1,115,735,744</w:t>
            </w:r>
          </w:p>
        </w:tc>
        <w:tc>
          <w:tcPr>
            <w:tcW w:w="0" w:type="dxa"/>
            <w:vAlign w:val="bottom"/>
          </w:tcPr>
          <w:p>
            <w:pPr>
              <w:spacing w:after="0"/>
              <w:rPr>
                <w:sz w:val="1"/>
                <w:szCs w:val="1"/>
                <w:color w:val="auto"/>
              </w:rPr>
            </w:pPr>
          </w:p>
        </w:tc>
      </w:tr>
      <w:tr>
        <w:trPr>
          <w:trHeight w:val="321"/>
        </w:trPr>
        <w:tc>
          <w:tcPr>
            <w:tcW w:w="7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1"/>
                <w:szCs w:val="21"/>
                <w:color w:val="auto"/>
              </w:rPr>
              <w:t>Employer contribution receivable</w:t>
            </w:r>
          </w:p>
        </w:tc>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6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38,589</w:t>
            </w:r>
          </w:p>
        </w:tc>
        <w:tc>
          <w:tcPr>
            <w:tcW w:w="0" w:type="dxa"/>
            <w:vAlign w:val="bottom"/>
          </w:tcPr>
          <w:p>
            <w:pPr>
              <w:spacing w:after="0"/>
              <w:rPr>
                <w:sz w:val="1"/>
                <w:szCs w:val="1"/>
                <w:color w:val="auto"/>
              </w:rPr>
            </w:pPr>
          </w:p>
        </w:tc>
      </w:tr>
      <w:tr>
        <w:trPr>
          <w:trHeight w:val="427"/>
        </w:trPr>
        <w:tc>
          <w:tcPr>
            <w:tcW w:w="714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Notes receivable from participants</w:t>
            </w:r>
          </w:p>
        </w:tc>
        <w:tc>
          <w:tcPr>
            <w:tcW w:w="126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6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6,717,209</w:t>
            </w:r>
          </w:p>
        </w:tc>
        <w:tc>
          <w:tcPr>
            <w:tcW w:w="0" w:type="dxa"/>
            <w:vAlign w:val="bottom"/>
          </w:tcPr>
          <w:p>
            <w:pPr>
              <w:spacing w:after="0"/>
              <w:rPr>
                <w:sz w:val="1"/>
                <w:szCs w:val="1"/>
                <w:color w:val="auto"/>
              </w:rPr>
            </w:pPr>
          </w:p>
        </w:tc>
      </w:tr>
      <w:tr>
        <w:trPr>
          <w:trHeight w:val="430"/>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1"/>
                <w:szCs w:val="21"/>
                <w:color w:val="auto"/>
              </w:rPr>
              <w:t>Other receivables</w:t>
            </w:r>
          </w:p>
        </w:tc>
        <w:tc>
          <w:tcPr>
            <w:tcW w:w="12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34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124,839</w:t>
            </w:r>
          </w:p>
        </w:tc>
        <w:tc>
          <w:tcPr>
            <w:tcW w:w="0" w:type="dxa"/>
            <w:vAlign w:val="bottom"/>
          </w:tcPr>
          <w:p>
            <w:pPr>
              <w:spacing w:after="0"/>
              <w:rPr>
                <w:sz w:val="1"/>
                <w:szCs w:val="1"/>
                <w:color w:val="auto"/>
              </w:rPr>
            </w:pPr>
          </w:p>
        </w:tc>
      </w:tr>
      <w:tr>
        <w:trPr>
          <w:trHeight w:val="380"/>
        </w:trPr>
        <w:tc>
          <w:tcPr>
            <w:tcW w:w="714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Total assets</w:t>
            </w:r>
          </w:p>
        </w:tc>
        <w:tc>
          <w:tcPr>
            <w:tcW w:w="126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6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1,122,616,381</w:t>
            </w:r>
          </w:p>
        </w:tc>
        <w:tc>
          <w:tcPr>
            <w:tcW w:w="0" w:type="dxa"/>
            <w:vAlign w:val="bottom"/>
          </w:tcPr>
          <w:p>
            <w:pPr>
              <w:spacing w:after="0"/>
              <w:rPr>
                <w:sz w:val="1"/>
                <w:szCs w:val="1"/>
                <w:color w:val="auto"/>
              </w:rPr>
            </w:pPr>
          </w:p>
        </w:tc>
      </w:tr>
      <w:tr>
        <w:trPr>
          <w:trHeight w:val="4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b w:val="1"/>
                <w:bCs w:val="1"/>
                <w:color w:val="auto"/>
              </w:rPr>
              <w:t>Other liabilities</w:t>
            </w:r>
          </w:p>
        </w:tc>
        <w:tc>
          <w:tcPr>
            <w:tcW w:w="12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34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(3,415)</w:t>
            </w:r>
          </w:p>
        </w:tc>
        <w:tc>
          <w:tcPr>
            <w:tcW w:w="0" w:type="dxa"/>
            <w:vAlign w:val="bottom"/>
          </w:tcPr>
          <w:p>
            <w:pPr>
              <w:spacing w:after="0"/>
              <w:rPr>
                <w:sz w:val="1"/>
                <w:szCs w:val="1"/>
                <w:color w:val="auto"/>
              </w:rPr>
            </w:pPr>
          </w:p>
        </w:tc>
      </w:tr>
      <w:tr>
        <w:trPr>
          <w:trHeight w:val="353"/>
        </w:trPr>
        <w:tc>
          <w:tcPr>
            <w:tcW w:w="714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Total net assets available for benefits</w:t>
            </w:r>
          </w:p>
        </w:tc>
        <w:tc>
          <w:tcPr>
            <w:tcW w:w="1260" w:type="dxa"/>
            <w:vAlign w:val="bottom"/>
          </w:tcPr>
          <w:p>
            <w:pPr>
              <w:jc w:val="right"/>
              <w:ind w:right="1033"/>
              <w:spacing w:after="0"/>
              <w:rPr>
                <w:sz w:val="20"/>
                <w:szCs w:val="20"/>
                <w:color w:val="auto"/>
              </w:rPr>
            </w:pPr>
            <w:r>
              <w:rPr>
                <w:rFonts w:ascii="Times New Roman" w:cs="Times New Roman" w:eastAsia="Times New Roman" w:hAnsi="Times New Roman"/>
                <w:sz w:val="21"/>
                <w:szCs w:val="21"/>
                <w:color w:val="auto"/>
                <w:w w:val="94"/>
              </w:rPr>
              <w:t>$</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640" w:type="dxa"/>
            <w:vAlign w:val="bottom"/>
          </w:tcPr>
          <w:p>
            <w:pPr>
              <w:jc w:val="right"/>
              <w:ind w:right="393"/>
              <w:spacing w:after="0"/>
              <w:rPr>
                <w:sz w:val="20"/>
                <w:szCs w:val="20"/>
                <w:color w:val="auto"/>
              </w:rPr>
            </w:pPr>
            <w:r>
              <w:rPr>
                <w:rFonts w:ascii="Times New Roman" w:cs="Times New Roman" w:eastAsia="Times New Roman" w:hAnsi="Times New Roman"/>
                <w:sz w:val="21"/>
                <w:szCs w:val="2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1,122,612,966</w:t>
            </w:r>
          </w:p>
        </w:tc>
        <w:tc>
          <w:tcPr>
            <w:tcW w:w="0" w:type="dxa"/>
            <w:vAlign w:val="bottom"/>
          </w:tcPr>
          <w:p>
            <w:pPr>
              <w:spacing w:after="0"/>
              <w:rPr>
                <w:sz w:val="1"/>
                <w:szCs w:val="1"/>
                <w:color w:val="auto"/>
              </w:rPr>
            </w:pPr>
          </w:p>
        </w:tc>
      </w:tr>
      <w:tr>
        <w:trPr>
          <w:trHeight w:val="22"/>
        </w:trPr>
        <w:tc>
          <w:tcPr>
            <w:tcW w:w="7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HESS CORPORATION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EMPLOYEES' SAVINGS PLAN</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STATEMENT OF CHANGES IN NET ASSETS AVAILABLE FOR BENEFITS</w:t>
      </w:r>
    </w:p>
    <w:p>
      <w:pPr>
        <w:sectPr>
          <w:pgSz w:w="11900" w:h="16838" w:orient="portrait"/>
          <w:cols w:equalWidth="0" w:num="1">
            <w:col w:w="11200"/>
          </w:cols>
          <w:pgMar w:left="340" w:top="1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133590" cy="271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271780"/>
                    </a:xfrm>
                    <a:prstGeom prst="rect">
                      <a:avLst/>
                    </a:prstGeom>
                    <a:noFill/>
                  </pic:spPr>
                </pic:pic>
              </a:graphicData>
            </a:graphic>
          </wp:anchor>
        </w:drawing>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Net appreciation in fair value of investments</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Interest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7133590" cy="271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2717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Employee contributions</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133590" cy="271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271780"/>
                    </a:xfrm>
                    <a:prstGeom prst="rect">
                      <a:avLst/>
                    </a:prstGeom>
                    <a:noFill/>
                  </pic:spPr>
                </pic:pic>
              </a:graphicData>
            </a:graphic>
          </wp:anchor>
        </w:drawing>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Rollovers from other plans</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Interest income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133590" cy="271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271780"/>
                    </a:xfrm>
                    <a:prstGeom prst="rect">
                      <a:avLst/>
                    </a:prstGeom>
                    <a:noFill/>
                  </pic:spPr>
                </pic:pic>
              </a:graphicData>
            </a:graphic>
          </wp:anchor>
        </w:drawing>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Benefit payments</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Administrative expenses</w:t>
      </w:r>
    </w:p>
    <w:p>
      <w:pPr>
        <w:spacing w:after="0" w:line="93" w:lineRule="exact"/>
        <w:rPr>
          <w:sz w:val="20"/>
          <w:szCs w:val="20"/>
          <w:color w:val="auto"/>
        </w:rPr>
      </w:pPr>
    </w:p>
    <w:p>
      <w:pPr>
        <w:ind w:right="2540" w:firstLine="125"/>
        <w:spacing w:after="0" w:line="383" w:lineRule="auto"/>
        <w:rPr>
          <w:sz w:val="20"/>
          <w:szCs w:val="20"/>
          <w:color w:val="auto"/>
        </w:rPr>
      </w:pPr>
      <w:r>
        <w:rPr>
          <w:rFonts w:ascii="Times New Roman" w:cs="Times New Roman" w:eastAsia="Times New Roman" w:hAnsi="Times New Roman"/>
          <w:sz w:val="21"/>
          <w:szCs w:val="21"/>
          <w:color w:val="auto"/>
        </w:rPr>
        <w:t xml:space="preserve">Transfer of assets to Chevron Employee Savings Investment Plan </w:t>
      </w:r>
      <w:r>
        <w:rPr>
          <w:rFonts w:ascii="Times New Roman" w:cs="Times New Roman" w:eastAsia="Times New Roman" w:hAnsi="Times New Roman"/>
          <w:sz w:val="21"/>
          <w:szCs w:val="21"/>
          <w:b w:val="1"/>
          <w:bCs w:val="1"/>
          <w:color w:val="auto"/>
        </w:rPr>
        <w:t>Net decrease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-309880</wp:posOffset>
            </wp:positionV>
            <wp:extent cx="7133590" cy="263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263525"/>
                    </a:xfrm>
                    <a:prstGeom prst="rect">
                      <a:avLst/>
                    </a:prstGeom>
                    <a:noFill/>
                  </pic:spPr>
                </pic:pic>
              </a:graphicData>
            </a:graphic>
          </wp:anchor>
        </w:drawing>
      </w:r>
    </w:p>
    <w:p>
      <w:pPr>
        <w:ind w:right="3340"/>
        <w:spacing w:after="0" w:line="449" w:lineRule="auto"/>
        <w:rPr>
          <w:sz w:val="20"/>
          <w:szCs w:val="20"/>
          <w:color w:val="auto"/>
        </w:rPr>
      </w:pPr>
      <w:r>
        <w:rPr>
          <w:rFonts w:ascii="Times New Roman" w:cs="Times New Roman" w:eastAsia="Times New Roman" w:hAnsi="Times New Roman"/>
          <w:sz w:val="21"/>
          <w:szCs w:val="21"/>
          <w:color w:val="auto"/>
        </w:rPr>
        <w:t xml:space="preserve">Total net assets available for benefits at beginning of year </w:t>
      </w:r>
      <w:r>
        <w:rPr>
          <w:rFonts w:ascii="Times New Roman" w:cs="Times New Roman" w:eastAsia="Times New Roman" w:hAnsi="Times New Roman"/>
          <w:sz w:val="21"/>
          <w:szCs w:val="21"/>
          <w:b w:val="1"/>
          <w:bCs w:val="1"/>
          <w:color w:val="auto"/>
        </w:rPr>
        <w:t>Total net assets available for benefits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7133590" cy="263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263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Year Ended</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1419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1140" w:hanging="1137"/>
        <w:spacing w:after="0"/>
        <w:tabs>
          <w:tab w:leader="none" w:pos="11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130,214,354</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48,000,966</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178,215,320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1419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33,927,783</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29,622,982</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2,714,686</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470,662</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(206,094,746)</w:t>
      </w:r>
    </w:p>
    <w:p>
      <w:pPr>
        <w:spacing w:after="0" w:line="18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(122,790)</w:t>
      </w: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(1,161,346,863)</w:t>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(1,122,612,966)</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1,122,612,966</w:t>
      </w:r>
    </w:p>
    <w:p>
      <w:pPr>
        <w:spacing w:after="0" w:line="107"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1419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280" w:space="720"/>
            <w:col w:w="2200"/>
          </w:cols>
          <w:pgMar w:left="340" w:top="139" w:right="359" w:bottom="1440" w:gutter="0" w:footer="0" w:header="0"/>
          <w:type w:val="continuous"/>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76835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39" w:right="3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HESS 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EMPLOYEES' SAVINGS PLAN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w:t>
      </w:r>
      <w:r>
        <w:rPr>
          <w:rFonts w:ascii="Times New Roman" w:cs="Times New Roman" w:eastAsia="Times New Roman" w:hAnsi="Times New Roman"/>
          <w:sz w:val="20"/>
          <w:szCs w:val="20"/>
          <w:color w:val="auto"/>
        </w:rPr>
        <w: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NOTE 1 - Description of the Plan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description of the Hess Corporation Employees’ Savings Plan (the “Plan”) is provided for general information only.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Participants should refer to the Plan document for a complete description of the Plan’s provisions.</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General. </w:t>
      </w:r>
      <w:r>
        <w:rPr>
          <w:rFonts w:ascii="Times New Roman" w:cs="Times New Roman" w:eastAsia="Times New Roman" w:hAnsi="Times New Roman"/>
          <w:sz w:val="21"/>
          <w:szCs w:val="21"/>
          <w:color w:val="auto"/>
        </w:rPr>
        <w:t>The Plan is a defined contribution plan covering all eligible United States (U.S.) payroll employees of Hess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its wholly owned subsidiaries (collectively referred to as the Company or Hess). Employees are eligible to enroll in the Plan upon hire. Participating eligible employees have an immediate, non-forfeitable right to employer matching contributions made on or after January 1, 2002. The Plan is subject to the provisions of the Employee Retirement Income Security Act of 1974 (“ERISA”).</w:t>
      </w:r>
    </w:p>
    <w:p>
      <w:pPr>
        <w:spacing w:after="0" w:line="200" w:lineRule="exact"/>
        <w:rPr>
          <w:sz w:val="20"/>
          <w:szCs w:val="20"/>
          <w:color w:val="auto"/>
        </w:rPr>
      </w:pP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Acquisition. </w:t>
      </w:r>
      <w:r>
        <w:rPr>
          <w:rFonts w:ascii="Times New Roman" w:cs="Times New Roman" w:eastAsia="Times New Roman" w:hAnsi="Times New Roman"/>
          <w:sz w:val="21"/>
          <w:szCs w:val="21"/>
          <w:color w:val="auto"/>
        </w:rPr>
        <w:t>On October 22, 2023, Chevron Corporation (Chevron) and the Company entered into an Agreement and Plan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Merger (the Merger Agreement) by and among Chevron, Yankee Merger Sub Inc., a direct, wholly owned subsidiary of Chevron (Merger Subsidiary), and the Company, pursuant to which, effective as of July 18, 2025, Merger Subsidiary merged with and into Hess (the Merger), with Hess continuing as the surviving corporation and a direct, wholly owned subsidiary of Chevron. Pursuant to the Merger Agreement, Chevron assumed management of the Plan and acquired all of the outstanding shares of the Company in exchange for 1.0250 shares of Chevron common stock for each share of Company common stock.</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From January 1, 2025 through July 17, 2025, the Hess Corporation Employee Benefits Plan Committee was the Plan administrator. Effective as of the Merger, Chevron is the Plan administrator. Fidelity Management Trust Company (Trustee) is the Plan’s trustee, and Fidelity Workplace Services LLC is the Plan’s recordkeeper.</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Plan Merger. </w:t>
      </w:r>
      <w:r>
        <w:rPr>
          <w:rFonts w:ascii="Times New Roman" w:cs="Times New Roman" w:eastAsia="Times New Roman" w:hAnsi="Times New Roman"/>
          <w:sz w:val="21"/>
          <w:szCs w:val="21"/>
          <w:color w:val="auto"/>
        </w:rPr>
        <w:t>Effective December 31, 2025, the Plan was merged into the Chevron Employee Savings Investment Plan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Merger). As a result of the Plan Merger, all assets and liabilities of the Plan were transferred to the Chevron Employee Savings Investment Plan (Chevron ESIP). Net assets transferred in connection with the merger, effective December 31, 2025, totaled $1,161,346,863.</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Effective December 31, 2025, Plan participants obtained the right to participate and accrue benefits in the Chevron ESIP, with no reduction to participants’ accrued, vested Plan benefits. Amounts held in former Hess matching contribution accounts remain fully vested following the transfer. Participant account balances were transferred to corresponding accounts maintained under the Chevron ESIP.</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b w:val="1"/>
          <w:bCs w:val="1"/>
          <w:color w:val="auto"/>
        </w:rPr>
        <w:t xml:space="preserve">Contributions. </w:t>
      </w:r>
      <w:r>
        <w:rPr>
          <w:rFonts w:ascii="Times New Roman" w:cs="Times New Roman" w:eastAsia="Times New Roman" w:hAnsi="Times New Roman"/>
          <w:sz w:val="21"/>
          <w:szCs w:val="21"/>
          <w:color w:val="auto"/>
        </w:rPr>
        <w:t>Each participating employee may contribute from 1% to 50% of their eligible compensation on a before-tax, Roth,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after-tax basis to the Plan. Newly hired or rehired employees who do not opt out or elect to contribute a different rate of eligible compensation within a 30-day period are automatically enrolled in the Plan at a before-tax contribution rate of 6% of eligible compensation. The Company makes matching contributions equal to 133% of employee contributions that do not exceed 6% of eligible compensation. Total contributions made by employees on a before-tax basis and as Roth contributions are subject to IRS annual limits (2025: $23,500). Total contributions, including before-tax, Roth, and after-tax employee contributions, and employer matching contributions, are subject to the lesser of the IRS annual limit (2025: $70,000) or 100% of the annual compensation of the employee. At the election of each participating employee, individual contributions and the employer matching contributions are invested in one or more of the Plan’s available investment securities with varying investment objectives, or in the Hess Corporation common stock fund until July 17, 2025, and thereafter Chevron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HESS 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EMPLOYEES' SAVINGS PLAN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w:t>
      </w:r>
      <w:r>
        <w:rPr>
          <w:rFonts w:ascii="Times New Roman" w:cs="Times New Roman" w:eastAsia="Times New Roman" w:hAnsi="Times New Roman"/>
          <w:sz w:val="20"/>
          <w:szCs w:val="20"/>
          <w:color w:val="auto"/>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NOTE 1 - Description of the Plan (Continued)</w:t>
      </w:r>
    </w:p>
    <w:p>
      <w:pPr>
        <w:spacing w:after="0" w:line="245" w:lineRule="exact"/>
        <w:rPr>
          <w:sz w:val="20"/>
          <w:szCs w:val="20"/>
          <w:color w:val="auto"/>
        </w:rPr>
      </w:pPr>
    </w:p>
    <w:p>
      <w:pPr>
        <w:jc w:val="both"/>
        <w:ind w:firstLine="643"/>
        <w:spacing w:after="0" w:line="251" w:lineRule="auto"/>
        <w:rPr>
          <w:sz w:val="20"/>
          <w:szCs w:val="20"/>
          <w:color w:val="auto"/>
        </w:rPr>
      </w:pPr>
      <w:r>
        <w:rPr>
          <w:rFonts w:ascii="Times New Roman" w:cs="Times New Roman" w:eastAsia="Times New Roman" w:hAnsi="Times New Roman"/>
          <w:sz w:val="21"/>
          <w:szCs w:val="21"/>
          <w:color w:val="auto"/>
        </w:rPr>
        <w:t>In the year an employee reaches age 50, and all years thereafter, an employee is eligible to make an additional before-tax or Roth “catch-up” contribution to the Plan that is not eligible for matching employer contributions. Effective January 1, 2025, the Company amended the Plan to allow employees who attained the ages 60 – 63 during the plan year to make additional catch up contributions up to $11,250 pursuant to Section 109 of the Secure Act 2.0.</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Participants are immediately fully vested in their contributions, the employer’s matching contributions, and earnings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investments.</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Participant Accounts. </w:t>
      </w:r>
      <w:r>
        <w:rPr>
          <w:rFonts w:ascii="Times New Roman" w:cs="Times New Roman" w:eastAsia="Times New Roman" w:hAnsi="Times New Roman"/>
          <w:sz w:val="21"/>
          <w:szCs w:val="21"/>
          <w:color w:val="auto"/>
        </w:rPr>
        <w:t>Each participant’s account is credited with the participant’s contributions, allocations of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contributions and the Plan’s investment earnings. Contributions are invested in the Plan’s funds based on the allocation percentages designated by the participant in increments of 1% of the amount contributed. Participant accounts are valued daily. Allocations of net investment earnings/losses are based on account balances as defined. The benefit to which a participant is entitled is the benefit that can be provided from the participant’s vested account.</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Notes Receivable from Participants. </w:t>
      </w:r>
      <w:r>
        <w:rPr>
          <w:rFonts w:ascii="Times New Roman" w:cs="Times New Roman" w:eastAsia="Times New Roman" w:hAnsi="Times New Roman"/>
          <w:sz w:val="21"/>
          <w:szCs w:val="21"/>
          <w:color w:val="auto"/>
        </w:rPr>
        <w:t>Participants may borrow from their account balance, including amounts contributed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 minimum of $500 up to a maximum of $50,000. Participants may have two concurrent loans. The total of the loans cannot exceed the lesser of $50,000 or 50% of the participant’s account balance. The participant’s account balance serves as collateral for the loans. There are no allowances for credit losses on participant loans. Loans are repaid by participants in equal installments over a period of not more than five years, or not more than thirty years if borrowed for the purpose of acquiring a principal residence. Interest on loans is charged at a rate of 1% above the prime rate determined at the time the loan is made. A loan set-up fee of $50 is charged to participants when they borrow from the Plan. If a participant terminates employment with the Company, they may continue to make loan payments through a pre-authorized check agreement. If the loan is not repaid, it will automatically be treated as a distribution to the participant.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Rollovers from Other Plans. </w:t>
      </w:r>
      <w:r>
        <w:rPr>
          <w:rFonts w:ascii="Times New Roman" w:cs="Times New Roman" w:eastAsia="Times New Roman" w:hAnsi="Times New Roman"/>
          <w:sz w:val="21"/>
          <w:szCs w:val="21"/>
          <w:color w:val="auto"/>
        </w:rPr>
        <w:t>Employees may deposit an eligible rollover distribution made by another employer-sponsored</w:t>
      </w:r>
    </w:p>
    <w:p>
      <w:pPr>
        <w:spacing w:after="0" w:line="1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qualified plan or from an individual retirement account whose assets were derived solely from the rollover from another qualified plan. Rollovers are accepted in cash only and are invested according to the participant’s current fund elections for contributions.</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An employee who is not contributing to the Plan must elect investment options at the time of the rollover. The current market values of amounts rolled over to the Plan can be withdrawn in whole or in part at any time.</w:t>
      </w:r>
    </w:p>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0F0F0F"/>
        </w:rPr>
        <w:t xml:space="preserve">Benefit Payment </w:t>
      </w:r>
      <w:r>
        <w:rPr>
          <w:rFonts w:ascii="Times New Roman" w:cs="Times New Roman" w:eastAsia="Times New Roman" w:hAnsi="Times New Roman"/>
          <w:sz w:val="21"/>
          <w:szCs w:val="21"/>
          <w:color w:val="0F0F0F"/>
        </w:rPr>
        <w:t>/</w:t>
      </w:r>
      <w:r>
        <w:rPr>
          <w:rFonts w:ascii="Times New Roman" w:cs="Times New Roman" w:eastAsia="Times New Roman" w:hAnsi="Times New Roman"/>
          <w:sz w:val="21"/>
          <w:szCs w:val="21"/>
          <w:b w:val="1"/>
          <w:bCs w:val="1"/>
          <w:color w:val="0F0F0F"/>
        </w:rPr>
        <w:t xml:space="preserve"> Distribution. </w:t>
      </w:r>
      <w:r>
        <w:rPr>
          <w:rFonts w:ascii="Times New Roman" w:cs="Times New Roman" w:eastAsia="Times New Roman" w:hAnsi="Times New Roman"/>
          <w:sz w:val="21"/>
          <w:szCs w:val="21"/>
          <w:color w:val="212121"/>
        </w:rPr>
        <w:t>Upon a withdrawal or distribution, the market value of a participant's investments in the Plan’s</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212121"/>
        </w:rPr>
        <w:t>investment securities, reduced for any outstanding loan balances, is paid in cash. The participant's investments in the Hess Corporation common stock fund are distributed either in shares of common stock of Hess Corporation (plus the cash equivalent of any fractional shares) or in cash, depending upon the employee’s election.</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212121"/>
        </w:rPr>
        <w:t>Participants who have attained age 59½ are permitted to make voluntary complete or partial withdrawals from before-tax and Roth contributions. Participants under age 59½ are generally not eligible to make such withdrawals, except in the case of hardship. For active employees under age 59½, only employee after-tax contributions and employer contributions made prior to January 1, 2002 are eligible for withdrawal, excluding hardship withdrawals and rollover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HESS 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EMPLOYEES' SAVINGS PLAN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w:t>
      </w:r>
      <w:r>
        <w:rPr>
          <w:rFonts w:ascii="Times New Roman" w:cs="Times New Roman" w:eastAsia="Times New Roman" w:hAnsi="Times New Roman"/>
          <w:sz w:val="20"/>
          <w:szCs w:val="20"/>
          <w:color w:val="auto"/>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NOTE 1 - Description of the Plan (Continued)</w:t>
      </w:r>
    </w:p>
    <w:p>
      <w:pPr>
        <w:spacing w:after="0" w:line="24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1"/>
          <w:szCs w:val="21"/>
          <w:color w:val="212121"/>
        </w:rPr>
        <w:t>Terminated employees may withdraw their entire balance at any time, except for balances of $1,000 or less, which are automatically distributed in a lump sum upon termination of employment. Employees may elect direct rollovers of the taxable portion of their distributions to an individual retirement account, individual retirement annuity, or a qualified plan of another employer. Distributions from the Plan that are not rolled over are generally subject to federal income tax withholding at 20% and may be subject to an additional 10% early withdrawal tax.</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b w:val="1"/>
          <w:bCs w:val="1"/>
          <w:color w:val="auto"/>
        </w:rPr>
        <w:t xml:space="preserve">Expenses. </w:t>
      </w:r>
      <w:r>
        <w:rPr>
          <w:rFonts w:ascii="Times New Roman" w:cs="Times New Roman" w:eastAsia="Times New Roman" w:hAnsi="Times New Roman"/>
          <w:sz w:val="21"/>
          <w:szCs w:val="21"/>
          <w:color w:val="auto"/>
        </w:rPr>
        <w:t>The Plan’s expenses represent costs to administer the Plan and include recordkeeping, legal and accounting services.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Administrative fees related to participant-directed transactions such as employee loans and certain investment fund redemptions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are charged directly to participant accounts. Expenses that are paid by the Company are excluded from these financial statements.</w:t>
      </w:r>
    </w:p>
    <w:p>
      <w:pPr>
        <w:spacing w:after="0" w:line="18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b w:val="1"/>
          <w:bCs w:val="1"/>
          <w:color w:val="auto"/>
        </w:rPr>
        <w:t xml:space="preserve">Party-in-interest. </w:t>
      </w:r>
      <w:r>
        <w:rPr>
          <w:rFonts w:ascii="Times New Roman" w:cs="Times New Roman" w:eastAsia="Times New Roman" w:hAnsi="Times New Roman"/>
          <w:sz w:val="21"/>
          <w:szCs w:val="21"/>
          <w:color w:val="auto"/>
        </w:rPr>
        <w:t>Funds that qualify as party-in-interest transactions include shares in the money market fund managed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Trustee and the Hess Corporation common stock fund (until July 17, 2025, and thereafter Chevron common stock).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receivable from participants also qualify as party-in-interest transactions.</w:t>
      </w:r>
    </w:p>
    <w:p>
      <w:pPr>
        <w:spacing w:after="0" w:line="19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Total net assets invested in Chevron common stock as of December 31, 2025, and in the Hess Corporation common stock fund as of December 31, 2024, were $0 and $167,316,698, respectively. Total net assets invested in Fidelity funds were $0 and $1,517,738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of December 31, 2025 and December 31, 2024,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of these transactions are exempt from ERISA’s prohibited transaction rules.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NOTE 2 - Summary of Significant Accounting Policies</w:t>
      </w:r>
    </w:p>
    <w:p>
      <w:pPr>
        <w:spacing w:after="0" w:line="25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b w:val="1"/>
          <w:bCs w:val="1"/>
          <w:color w:val="auto"/>
        </w:rPr>
        <w:t xml:space="preserve">Basis of Accounting. </w:t>
      </w:r>
      <w:r>
        <w:rPr>
          <w:rFonts w:ascii="Times New Roman" w:cs="Times New Roman" w:eastAsia="Times New Roman" w:hAnsi="Times New Roman"/>
          <w:sz w:val="21"/>
          <w:szCs w:val="21"/>
          <w:color w:val="auto"/>
        </w:rPr>
        <w:t>The accompanying financial statements for the Plan have been prepared in conformity with U.S. generally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accepted accounting principles (U.S. GAAP) on the accrual basis of accounting.</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Valuation of Investments. </w:t>
      </w:r>
      <w:r>
        <w:rPr>
          <w:rFonts w:ascii="Times New Roman" w:cs="Times New Roman" w:eastAsia="Times New Roman" w:hAnsi="Times New Roman"/>
          <w:sz w:val="21"/>
          <w:szCs w:val="21"/>
          <w:color w:val="auto"/>
        </w:rPr>
        <w:t>The Plan’s investments are stated at fair value in accordance with Accounting Standards Codification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Topic 820, Fair Value Measurement (ASC 820). Investment securities at December 31, 2024 are comprised of mutual funds that are valued at the quoted market price, which represents the net asset value of shares held by the Plan at year-end. These mutual funds are registered with the U.S. Securities and Exchange Commission and are required to publish their daily net asset value and to transact at that price. Investments traded on national securities exchanges are valued at closing prices on the last business day of the year. See Note 3, Fair Value Measurements.</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Sale of Investments. </w:t>
      </w:r>
      <w:r>
        <w:rPr>
          <w:rFonts w:ascii="Times New Roman" w:cs="Times New Roman" w:eastAsia="Times New Roman" w:hAnsi="Times New Roman"/>
          <w:sz w:val="21"/>
          <w:szCs w:val="21"/>
          <w:color w:val="auto"/>
        </w:rPr>
        <w:t>Purchases and sales of securities are recorded on a trade-date basis. Net appreciation/depreciation in the fair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value of investments includes gains and losses realized on investments bought and sold, as well as changes in the fair value of investments held during the year. Gains or losses on sales of the Hess Corporation common stock, the Chevron Corporation common stock and investment securities in the Plan are based on average cost.</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1"/>
          <w:szCs w:val="21"/>
          <w:b w:val="1"/>
          <w:bCs w:val="1"/>
          <w:color w:val="auto"/>
        </w:rPr>
        <w:t xml:space="preserve">Interest and Dividend Income. </w:t>
      </w:r>
      <w:r>
        <w:rPr>
          <w:rFonts w:ascii="Times New Roman" w:cs="Times New Roman" w:eastAsia="Times New Roman" w:hAnsi="Times New Roman"/>
          <w:sz w:val="21"/>
          <w:szCs w:val="21"/>
          <w:color w:val="auto"/>
        </w:rPr>
        <w:t>Interest and dividend income are recorded in participant accounts as earned. Dividends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recorded on the ex-dividend date.</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HESS 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EMPLOYEES' SAVINGS PLAN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w:t>
      </w:r>
      <w:r>
        <w:rPr>
          <w:rFonts w:ascii="Times New Roman" w:cs="Times New Roman" w:eastAsia="Times New Roman" w:hAnsi="Times New Roman"/>
          <w:sz w:val="20"/>
          <w:szCs w:val="20"/>
          <w:color w:val="auto"/>
        </w:rPr>
        <w: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NOTE 2 - Summary of Significant Accounting Policies (Continued)</w:t>
      </w:r>
    </w:p>
    <w:p>
      <w:pPr>
        <w:spacing w:after="0" w:line="2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Notes Receivable from Participants. </w:t>
      </w:r>
      <w:r>
        <w:rPr>
          <w:rFonts w:ascii="Times New Roman" w:cs="Times New Roman" w:eastAsia="Times New Roman" w:hAnsi="Times New Roman"/>
          <w:sz w:val="21"/>
          <w:szCs w:val="21"/>
          <w:color w:val="auto"/>
        </w:rPr>
        <w:t>Notes receivable from participants are stated at their outstanding principal balances plus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accrued but unpaid interest. Interest income is recorded on the accrual basis. Related fees are recorded as administrative expenses and are expensed when they are incurred. Delinquent participant loans are reclassified as a distribution based upon the terms of the Plan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Benefit Payments. </w:t>
      </w:r>
      <w:r>
        <w:rPr>
          <w:rFonts w:ascii="Times New Roman" w:cs="Times New Roman" w:eastAsia="Times New Roman" w:hAnsi="Times New Roman"/>
          <w:sz w:val="21"/>
          <w:szCs w:val="21"/>
          <w:color w:val="auto"/>
        </w:rPr>
        <w:t>Distributions of benefits to participants are recorded when paid.</w:t>
      </w:r>
    </w:p>
    <w:p>
      <w:pPr>
        <w:spacing w:after="0" w:line="2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b w:val="1"/>
          <w:bCs w:val="1"/>
          <w:color w:val="auto"/>
        </w:rPr>
        <w:t xml:space="preserve">Use of Estimates. </w:t>
      </w:r>
      <w:r>
        <w:rPr>
          <w:rFonts w:ascii="Times New Roman" w:cs="Times New Roman" w:eastAsia="Times New Roman" w:hAnsi="Times New Roman"/>
          <w:sz w:val="21"/>
          <w:szCs w:val="21"/>
          <w:color w:val="auto"/>
        </w:rPr>
        <w:t>The preparation of financial statements in conformity with U.S. GAAP requires management to make estimates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affect the amounts reported in the financial statements, accompanying notes and supplemental schedules. Actual results could differ from those estimates.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Risks and Uncertainties. </w:t>
      </w:r>
      <w:r>
        <w:rPr>
          <w:rFonts w:ascii="Times New Roman" w:cs="Times New Roman" w:eastAsia="Times New Roman" w:hAnsi="Times New Roman"/>
          <w:sz w:val="21"/>
          <w:szCs w:val="21"/>
          <w:color w:val="auto"/>
        </w:rPr>
        <w:t>The Plan invests in various investment securities and in Hess Corporation common stock until July 18,</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2025, when Hess Corporation common stock converted into Chevron Corporation common stock. Investment securities are exposed to various risks, such as overall market volatility, commodity prices, interest rates, foreign exchange rates,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NOTE 3 - Fair Value Measurements</w:t>
      </w:r>
    </w:p>
    <w:p>
      <w:pPr>
        <w:spacing w:after="0" w:line="2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provisions of ASC 820 establish a hierarchy for the inputs used to measure fair value based on the source of the input, which generally range from quoted prices for identical instruments in a principal trading market (Level 1) to estimates determined using related market data (Level 3). Measurements derived indirectly from observable inputs or from quoted prices from markets that are less liquid are considered Level 2. Multiple inputs may be used to measure fair value; however, the level of fair value for each financial asset presented below is based on the lowest level of any significant input.</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The following table provides the fair value hierarchy of the Plan’s financial assets:</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83"/>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21"/>
                <w:szCs w:val="21"/>
                <w:b w:val="1"/>
                <w:bCs w:val="1"/>
                <w:color w:val="auto"/>
              </w:rPr>
              <w:t>Level 1</w:t>
            </w:r>
          </w:p>
        </w:tc>
        <w:tc>
          <w:tcPr>
            <w:tcW w:w="18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Level 2</w:t>
            </w:r>
          </w:p>
        </w:tc>
        <w:tc>
          <w:tcPr>
            <w:tcW w:w="1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Level 3</w:t>
            </w:r>
          </w:p>
        </w:tc>
        <w:tc>
          <w:tcPr>
            <w:tcW w:w="360" w:type="dxa"/>
            <w:vAlign w:val="bottom"/>
          </w:tcPr>
          <w:p>
            <w:pPr>
              <w:spacing w:after="0"/>
              <w:rPr>
                <w:sz w:val="24"/>
                <w:szCs w:val="24"/>
                <w:color w:val="auto"/>
              </w:rPr>
            </w:pPr>
          </w:p>
        </w:tc>
        <w:tc>
          <w:tcPr>
            <w:tcW w:w="1460" w:type="dxa"/>
            <w:vAlign w:val="bottom"/>
          </w:tcPr>
          <w:p>
            <w:pPr>
              <w:jc w:val="right"/>
              <w:ind w:right="573"/>
              <w:spacing w:after="0"/>
              <w:rPr>
                <w:sz w:val="20"/>
                <w:szCs w:val="20"/>
                <w:color w:val="auto"/>
              </w:rPr>
            </w:pPr>
            <w:r>
              <w:rPr>
                <w:rFonts w:ascii="Times New Roman" w:cs="Times New Roman" w:eastAsia="Times New Roman" w:hAnsi="Times New Roman"/>
                <w:sz w:val="21"/>
                <w:szCs w:val="21"/>
                <w:b w:val="1"/>
                <w:bCs w:val="1"/>
                <w:color w:val="auto"/>
              </w:rPr>
              <w:t>Total</w:t>
            </w:r>
          </w:p>
        </w:tc>
        <w:tc>
          <w:tcPr>
            <w:tcW w:w="0" w:type="dxa"/>
            <w:vAlign w:val="bottom"/>
          </w:tcPr>
          <w:p>
            <w:pPr>
              <w:spacing w:after="0"/>
              <w:rPr>
                <w:sz w:val="1"/>
                <w:szCs w:val="1"/>
                <w:color w:val="auto"/>
              </w:rPr>
            </w:pPr>
          </w:p>
        </w:tc>
      </w:tr>
      <w:tr>
        <w:trPr>
          <w:trHeight w:val="5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rPr>
              <w:t xml:space="preserve">December 31, 2025 </w:t>
            </w:r>
            <w:r>
              <w:rPr>
                <w:rFonts w:ascii="Times New Roman" w:cs="Times New Roman" w:eastAsia="Times New Roman" w:hAnsi="Times New Roman"/>
                <w:sz w:val="27"/>
                <w:szCs w:val="27"/>
                <w:b w:val="1"/>
                <w:bCs w:val="1"/>
                <w:color w:val="auto"/>
                <w:vertAlign w:val="superscript"/>
              </w:rPr>
              <w:t>(1)</w:t>
            </w:r>
          </w:p>
        </w:tc>
        <w:tc>
          <w:tcPr>
            <w:tcW w:w="3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4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1"/>
                <w:szCs w:val="21"/>
                <w:color w:val="auto"/>
              </w:rPr>
              <w:t>Mutual funds</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21"/>
                <w:szCs w:val="21"/>
                <w:color w:val="auto"/>
              </w:rPr>
              <w:t>—</w:t>
            </w:r>
          </w:p>
        </w:tc>
        <w:tc>
          <w:tcPr>
            <w:tcW w:w="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21"/>
                <w:szCs w:val="21"/>
                <w:color w:val="auto"/>
                <w:w w:val="9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400"/>
        </w:trPr>
        <w:tc>
          <w:tcPr>
            <w:tcW w:w="41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21"/>
                <w:szCs w:val="21"/>
                <w:color w:val="auto"/>
              </w:rPr>
              <w:t>Chevron common stock</w:t>
            </w: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1"/>
                <w:szCs w:val="21"/>
                <w:color w:val="auto"/>
              </w:rPr>
              <w:t>—</w:t>
            </w: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1"/>
                <w:szCs w:val="21"/>
                <w:color w:val="auto"/>
                <w:w w:val="95"/>
              </w:rPr>
              <w:t>—</w:t>
            </w:r>
          </w:p>
        </w:tc>
        <w:tc>
          <w:tcPr>
            <w:tcW w:w="26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375"/>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1"/>
                <w:szCs w:val="21"/>
                <w:color w:val="auto"/>
              </w:rPr>
              <w:t>Total assets at fair value</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21"/>
                <w:szCs w:val="21"/>
                <w:color w:val="auto"/>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21"/>
                <w:szCs w:val="21"/>
                <w:color w:val="auto"/>
              </w:rPr>
              <w:t>—</w:t>
            </w:r>
          </w:p>
        </w:tc>
        <w:tc>
          <w:tcPr>
            <w:tcW w:w="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21"/>
                <w:szCs w:val="21"/>
                <w:color w:val="auto"/>
                <w:w w:val="9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rPr>
              <w:t>December 31, 2024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4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1"/>
                <w:szCs w:val="21"/>
                <w:color w:val="auto"/>
              </w:rPr>
              <w:t>Mutual funds</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948,419,046</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21"/>
                <w:szCs w:val="21"/>
                <w:color w:val="auto"/>
              </w:rPr>
              <w:t>—</w:t>
            </w:r>
          </w:p>
        </w:tc>
        <w:tc>
          <w:tcPr>
            <w:tcW w:w="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21"/>
                <w:szCs w:val="21"/>
                <w:color w:val="auto"/>
                <w:w w:val="9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948,419,046</w:t>
            </w:r>
          </w:p>
        </w:tc>
        <w:tc>
          <w:tcPr>
            <w:tcW w:w="0" w:type="dxa"/>
            <w:vAlign w:val="bottom"/>
          </w:tcPr>
          <w:p>
            <w:pPr>
              <w:spacing w:after="0"/>
              <w:rPr>
                <w:sz w:val="1"/>
                <w:szCs w:val="1"/>
                <w:color w:val="auto"/>
              </w:rPr>
            </w:pPr>
          </w:p>
        </w:tc>
      </w:tr>
      <w:tr>
        <w:trPr>
          <w:trHeight w:val="400"/>
        </w:trPr>
        <w:tc>
          <w:tcPr>
            <w:tcW w:w="41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21"/>
                <w:szCs w:val="21"/>
                <w:color w:val="auto"/>
              </w:rPr>
              <w:t>Hess Corporation common stock fund</w:t>
            </w: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167,316,698</w:t>
            </w:r>
          </w:p>
        </w:tc>
        <w:tc>
          <w:tcPr>
            <w:tcW w:w="2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1"/>
                <w:szCs w:val="21"/>
                <w:color w:val="auto"/>
              </w:rPr>
              <w:t>—</w:t>
            </w: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1"/>
                <w:szCs w:val="21"/>
                <w:color w:val="auto"/>
                <w:w w:val="95"/>
              </w:rPr>
              <w:t>—</w:t>
            </w:r>
          </w:p>
        </w:tc>
        <w:tc>
          <w:tcPr>
            <w:tcW w:w="26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167,316,698</w:t>
            </w:r>
          </w:p>
        </w:tc>
        <w:tc>
          <w:tcPr>
            <w:tcW w:w="0" w:type="dxa"/>
            <w:vAlign w:val="bottom"/>
          </w:tcPr>
          <w:p>
            <w:pPr>
              <w:spacing w:after="0"/>
              <w:rPr>
                <w:sz w:val="1"/>
                <w:szCs w:val="1"/>
                <w:color w:val="auto"/>
              </w:rPr>
            </w:pPr>
          </w:p>
        </w:tc>
      </w:tr>
      <w:tr>
        <w:trPr>
          <w:trHeight w:val="375"/>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1"/>
                <w:szCs w:val="21"/>
                <w:color w:val="auto"/>
              </w:rPr>
              <w:t>Total assets at fair value</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21"/>
                <w:szCs w:val="2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1,115,735,744</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21"/>
                <w:szCs w:val="21"/>
                <w:color w:val="auto"/>
              </w:rPr>
              <w:t>—</w:t>
            </w:r>
          </w:p>
        </w:tc>
        <w:tc>
          <w:tcPr>
            <w:tcW w:w="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21"/>
                <w:szCs w:val="21"/>
                <w:color w:val="auto"/>
                <w:w w:val="9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1,115,735,744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540" w:hanging="212"/>
        <w:spacing w:after="0"/>
        <w:tabs>
          <w:tab w:leader="none" w:pos="54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Investment fair value is zero as a result of the Plan Merger.</w:t>
      </w:r>
    </w:p>
    <w:p>
      <w:pPr>
        <w:sectPr>
          <w:pgSz w:w="11900" w:h="16838" w:orient="portrait"/>
          <w:cols w:equalWidth="0" w:num="1">
            <w:col w:w="11240"/>
          </w:cols>
          <w:pgMar w:left="320" w:top="139" w:right="339" w:bottom="10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 w:right="339" w:bottom="1051"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HESS 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EMPLOYEES' SAVINGS PLAN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w:t>
      </w:r>
      <w:r>
        <w:rPr>
          <w:rFonts w:ascii="Times New Roman" w:cs="Times New Roman" w:eastAsia="Times New Roman" w:hAnsi="Times New Roman"/>
          <w:sz w:val="20"/>
          <w:szCs w:val="20"/>
          <w:color w:val="auto"/>
        </w:rPr>
        <w:t>S</w:t>
      </w:r>
    </w:p>
    <w:p>
      <w:pPr>
        <w:spacing w:after="0" w:line="200" w:lineRule="exact"/>
        <w:rPr>
          <w:sz w:val="20"/>
          <w:szCs w:val="20"/>
          <w:color w:val="auto"/>
        </w:rPr>
      </w:pPr>
    </w:p>
    <w:p>
      <w:pPr>
        <w:spacing w:after="0" w:line="2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Mutual funds are valued at quoted market prices, which represent the net asset value of shares held by the Plan. Prior to the Merger, Hess Corporation common stock values were based on the closing market price on the NYSE, which was the primary exchange on which the stock was traded.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NOTE 4 – Tax Status</w:t>
      </w:r>
    </w:p>
    <w:p>
      <w:pPr>
        <w:spacing w:after="0" w:line="2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Plan received its most recent determination letter from the Internal Revenue Service (the IRS) dated January 9, 2014, stating that the Plan is qualified under Section 401(a) of the Internal Revenue Code (the Code) and therefore the Plan is exempt from taxation. The Plan was amended and restated subsequent to the receipt of the determination letter. Once qualified, the Plan is required to operate in conformity with the Code to maintain its qualification. The Plan administrator believes the Plan, as amended and restated, is being operated in compliance with the applicable requirements of the Code, and therefore believes the Plan is qualified and remains tax exempt under the Code.</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U.S. 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there are no uncertain positions taken. The Plan is subject to routine audits by regulatory authorities; however, there are currently no open audits for any tax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61"/>
        </w:trPr>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160" w:type="dxa"/>
            <w:vAlign w:val="bottom"/>
            <w:gridSpan w:val="3"/>
          </w:tcPr>
          <w:p>
            <w:pPr>
              <w:ind w:left="256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543"/>
        </w:trPr>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Exhibit</w:t>
            </w:r>
          </w:p>
        </w:tc>
        <w:tc>
          <w:tcPr>
            <w:tcW w:w="5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41"/>
        </w:trPr>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Number</w:t>
            </w: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75"/>
        </w:trPr>
        <w:tc>
          <w:tcPr>
            <w:tcW w:w="840" w:type="dxa"/>
            <w:vAlign w:val="bottom"/>
            <w:tcBorders>
              <w:top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color w:val="auto"/>
                <w:w w:val="98"/>
              </w:rPr>
              <w:t>23.1*</w:t>
            </w:r>
          </w:p>
        </w:tc>
        <w:tc>
          <w:tcPr>
            <w:tcW w:w="660" w:type="dxa"/>
            <w:vAlign w:val="bottom"/>
          </w:tcPr>
          <w:p>
            <w:pPr>
              <w:spacing w:after="0"/>
              <w:rPr>
                <w:sz w:val="23"/>
                <w:szCs w:val="23"/>
                <w:color w:val="auto"/>
              </w:rPr>
            </w:pPr>
          </w:p>
        </w:tc>
        <w:tc>
          <w:tcPr>
            <w:tcW w:w="624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Consent of WithumSmith+Brown, PC Independent Registered Public Accounting Firm</w:t>
            </w:r>
          </w:p>
        </w:tc>
        <w:tc>
          <w:tcPr>
            <w:tcW w:w="1920" w:type="dxa"/>
            <w:vAlign w:val="bottom"/>
            <w:tcBorders>
              <w:top w:val="single" w:sz="8" w:color="auto"/>
            </w:tcBorders>
          </w:tcPr>
          <w:p>
            <w:pPr>
              <w:spacing w:after="0"/>
              <w:rPr>
                <w:sz w:val="23"/>
                <w:szCs w:val="23"/>
                <w:color w:val="auto"/>
              </w:rPr>
            </w:pPr>
          </w:p>
        </w:tc>
      </w:tr>
      <w:tr>
        <w:trPr>
          <w:trHeight w:val="208"/>
        </w:trPr>
        <w:tc>
          <w:tcPr>
            <w:tcW w:w="84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8"/>
              </w:rPr>
              <w:t>23.2*</w:t>
            </w:r>
          </w:p>
        </w:tc>
        <w:tc>
          <w:tcPr>
            <w:tcW w:w="66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r>
      <w:tr>
        <w:trPr>
          <w:trHeight w:val="248"/>
        </w:trPr>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 Filed herewith.</w:t>
            </w:r>
          </w:p>
        </w:tc>
        <w:tc>
          <w:tcPr>
            <w:tcW w:w="5760" w:type="dxa"/>
            <w:vAlign w:val="bottom"/>
            <w:tcBorders>
              <w:top w:val="single" w:sz="8" w:color="0000FF"/>
            </w:tcBorders>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85090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660"/>
          </w:cols>
          <w:pgMar w:left="1120" w:top="1425" w:right="11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4" w:lineRule="exact"/>
        <w:rPr>
          <w:sz w:val="20"/>
          <w:szCs w:val="20"/>
          <w:color w:val="auto"/>
        </w:rPr>
      </w:pPr>
    </w:p>
    <w:p>
      <w:pPr>
        <w:ind w:right="380" w:firstLine="358"/>
        <w:spacing w:after="0" w:line="343"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have duly caused this annual report to be signed on its behalf by the undersigned thereunto duly authorized.</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Dated: June 24, 2026</w:t>
      </w:r>
    </w:p>
    <w:p>
      <w:pPr>
        <w:spacing w:after="0" w:line="8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HESS CORPORATION EMPLOYEES' SAVINGS PLAN</w:t>
      </w:r>
    </w:p>
    <w:p>
      <w:pPr>
        <w:spacing w:after="0" w:line="275" w:lineRule="exact"/>
        <w:rPr>
          <w:sz w:val="20"/>
          <w:szCs w:val="20"/>
          <w:color w:val="auto"/>
        </w:rPr>
      </w:pPr>
    </w:p>
    <w:tbl>
      <w:tblPr>
        <w:tblLayout w:type="fixed"/>
        <w:tblInd w:w="3220" w:type="dxa"/>
        <w:tblCellMar>
          <w:top w:w="0" w:type="dxa"/>
          <w:left w:w="0" w:type="dxa"/>
          <w:bottom w:w="0" w:type="dxa"/>
          <w:right w:w="0" w:type="dxa"/>
        </w:tblCellMar>
      </w:tblP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Chevron Corporation, Plan Administrator</w:t>
            </w:r>
          </w:p>
        </w:tc>
      </w:tr>
      <w:tr>
        <w:trPr>
          <w:trHeight w:val="49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Rose Z. Pierson</w:t>
            </w:r>
          </w:p>
        </w:tc>
      </w:tr>
      <w:tr>
        <w:trPr>
          <w:trHeight w:val="167"/>
        </w:trPr>
        <w:tc>
          <w:tcPr>
            <w:tcW w:w="1320" w:type="dxa"/>
            <w:vAlign w:val="bottom"/>
          </w:tcPr>
          <w:p>
            <w:pPr>
              <w:spacing w:after="0"/>
              <w:rPr>
                <w:sz w:val="14"/>
                <w:szCs w:val="14"/>
                <w:color w:val="auto"/>
              </w:rPr>
            </w:pPr>
          </w:p>
        </w:tc>
        <w:tc>
          <w:tcPr>
            <w:tcW w:w="6680" w:type="dxa"/>
            <w:vAlign w:val="bottom"/>
          </w:tcPr>
          <w:p>
            <w:pPr>
              <w:ind w:left="20"/>
              <w:spacing w:after="0" w:line="168" w:lineRule="exact"/>
              <w:rPr>
                <w:sz w:val="20"/>
                <w:szCs w:val="20"/>
                <w:color w:val="auto"/>
              </w:rPr>
            </w:pPr>
            <w:r>
              <w:rPr>
                <w:rFonts w:ascii="Times New Roman" w:cs="Times New Roman" w:eastAsia="Times New Roman" w:hAnsi="Times New Roman"/>
                <w:sz w:val="18"/>
                <w:szCs w:val="18"/>
                <w:color w:val="auto"/>
              </w:rPr>
              <w:t>Rose Z. Pierson</w:t>
            </w:r>
          </w:p>
        </w:tc>
      </w:tr>
      <w:tr>
        <w:trPr>
          <w:trHeight w:val="233"/>
        </w:trPr>
        <w:tc>
          <w:tcPr>
            <w:tcW w:w="13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Assistant Secretary, Chevron 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1416" w:right="35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We consent to the incorporation by reference in Registration Statement No. 333-288746 on Form S-8 of our report dated June 24, 2026, appearing in this Annual Report on Form 11-K of the Hess Corporation Employees' Savings Plan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WithumSmith+Brown, PC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Whippany, New Jersey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24, 2026</w:t>
      </w:r>
    </w:p>
    <w:p>
      <w:pPr>
        <w:sectPr>
          <w:pgSz w:w="11900" w:h="16838" w:orient="portrait"/>
          <w:cols w:equalWidth="0" w:num="1">
            <w:col w:w="11240"/>
          </w:cols>
          <w:pgMar w:left="320" w:top="929"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CONSENT OF INDEPENDENT REGISTERED PUBLIC ACCOUNTING FIRM</w:t>
      </w:r>
    </w:p>
    <w:p>
      <w:pPr>
        <w:spacing w:after="0" w:line="2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 (Form S-8 No. 333-288746) pertaining to the Hess Corporation Employees’ Savings Plan of our report dated June 4, 2025, with respect to the statement of net assets available for benefits of the Hess Corporation Employees’ Savings Plan and the related notes included in this Annual Report (Form 11-K)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Houston, Texas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24, 2026</w:t>
      </w:r>
    </w:p>
    <w:sectPr>
      <w:pgSz w:w="11900" w:h="16838" w:orient="portrait"/>
      <w:cols w:equalWidth="0" w:num="1">
        <w:col w:w="11240"/>
      </w:cols>
      <w:pgMar w:left="320" w:top="14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2026-06-24T17:15:59Z</dcterms:created>
  <dcterms:modified xsi:type="dcterms:W3CDTF">2026-06-24T17:15:59Z</dcterms:modified>
</cp:coreProperties>
</file>