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 R. Hewitt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SMITH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CHEVRON CORP</w:t>
              </w:r>
            </w:hyperlink>
            <w:r>
              <w:rPr/>
              <w:t xml:space="preserve"> [ </w:t>
            </w:r>
            <w:r>
              <w:rPr>
                <w:rFonts w:ascii="Times;serif" w:hAnsi="Times;serif"/>
                <w:color w:val="0000FF"/>
                <w:sz w:val="24"/>
                <w:shd w:fill="FFFFFF" w:val="clear"/>
              </w:rPr>
              <w:t>CVX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9"/>
        <w:gridCol w:w="925"/>
        <w:gridCol w:w="793"/>
        <w:gridCol w:w="614"/>
        <w:gridCol w:w="347"/>
        <w:gridCol w:w="833"/>
        <w:gridCol w:w="437"/>
        <w:gridCol w:w="1043"/>
        <w:gridCol w:w="1145"/>
        <w:gridCol w:w="98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205.1088</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10,794</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 Trust</w:t>
            </w:r>
            <w:r>
              <w:rPr>
                <w:rFonts w:ascii="Times;serif" w:hAnsi="Times;serif"/>
                <w:color w:val="008000"/>
                <w:position w:val="7"/>
                <w:sz w:val="16"/>
                <w:sz w:val="20"/>
                <w:shd w:fill="FFFFFF" w:val="clear"/>
              </w:rPr>
              <w:t>(1)</w:t>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8,719</w:t>
            </w:r>
            <w:r>
              <w:rPr>
                <w:rFonts w:ascii="Times;serif" w:hAnsi="Times;serif"/>
                <w:color w:val="008000"/>
                <w:position w:val="7"/>
                <w:sz w:val="16"/>
                <w:sz w:val="20"/>
                <w:shd w:fill="FFFFFF" w:val="clear"/>
              </w:rPr>
              <w:t>(2)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9,664</w:t>
            </w:r>
            <w:r>
              <w:rPr>
                <w:rFonts w:ascii="Times;serif" w:hAnsi="Times;serif"/>
                <w:color w:val="008000"/>
                <w:position w:val="7"/>
                <w:sz w:val="16"/>
                <w:sz w:val="20"/>
                <w:shd w:fill="FFFFFF" w:val="clear"/>
              </w:rPr>
              <w:t>(3)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r>
        <w:trPr/>
        <w:tc>
          <w:tcPr>
            <w:tcW w:w="21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Pate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 shares held by his spouse's trust, and this report should not be deemed an admission that the reporting person is the beneficial owner of the shares held by his spouse's trust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includes the acquisition of stock resulting from the reinvestment of dividends on vested stock units (81) issued under the Chevron Corporation 2022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March 31, 2026 and August 18, 2026, the reporting person acquired 90 shares of Chevron common stock under the Chevron Employee Savings Investment Plan, a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Z. Pierson, Attorney-in-Fact for R. Hewitt Pate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9419" TargetMode="External"/><Relationship Id="rId5" Type="http://schemas.openxmlformats.org/officeDocument/2006/relationships/hyperlink" Target="http://www.sec.gov/cgi-bin/browse-edgar?action=getcompany&amp;CIK=0000093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3721</Characters>
  <CharactersWithSpaces>4335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