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 2024</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Chevron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1771015</wp:posOffset>
            </wp:positionH>
            <wp:positionV relativeFrom="paragraph">
              <wp:posOffset>27940</wp:posOffset>
            </wp:positionV>
            <wp:extent cx="3600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001-00368</w:t>
            </w:r>
          </w:p>
        </w:tc>
        <w:tc>
          <w:tcPr>
            <w:tcW w:w="9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94-0890210</w:t>
            </w:r>
          </w:p>
        </w:tc>
        <w:tc>
          <w:tcPr>
            <w:tcW w:w="20" w:type="dxa"/>
            <w:vAlign w:val="bottom"/>
            <w:tcBorders>
              <w:bottom w:val="single" w:sz="8" w:color="auto"/>
            </w:tcBorders>
          </w:tcPr>
          <w:p>
            <w:pPr>
              <w:spacing w:after="0"/>
              <w:rPr>
                <w:sz w:val="20"/>
                <w:szCs w:val="20"/>
                <w:color w:val="auto"/>
              </w:rPr>
            </w:pPr>
          </w:p>
        </w:tc>
      </w:tr>
      <w:tr>
        <w:trPr>
          <w:trHeight w:val="169"/>
        </w:trPr>
        <w:tc>
          <w:tcPr>
            <w:tcW w:w="3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80" w:type="dxa"/>
            <w:vAlign w:val="bottom"/>
            <w:gridSpan w:val="3"/>
          </w:tcPr>
          <w:p>
            <w:pPr>
              <w:jc w:val="center"/>
              <w:ind w:right="460"/>
              <w:spacing w:after="0" w:line="169"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660" w:type="dxa"/>
            <w:vAlign w:val="bottom"/>
          </w:tcPr>
          <w:p>
            <w:pPr>
              <w:spacing w:after="0"/>
              <w:rPr>
                <w:sz w:val="14"/>
                <w:szCs w:val="14"/>
                <w:color w:val="auto"/>
              </w:rPr>
            </w:pPr>
          </w:p>
        </w:tc>
        <w:tc>
          <w:tcPr>
            <w:tcW w:w="346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900"/>
        </w:trPr>
        <w:tc>
          <w:tcPr>
            <w:tcW w:w="35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5001 Executive Parkway, Suite 200</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San Ramon,</w:t>
            </w:r>
          </w:p>
        </w:tc>
        <w:tc>
          <w:tcPr>
            <w:tcW w:w="31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CA</w:t>
            </w:r>
          </w:p>
        </w:tc>
        <w:tc>
          <w:tcPr>
            <w:tcW w:w="3440" w:type="dxa"/>
            <w:vAlign w:val="bottom"/>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94583</w:t>
            </w:r>
          </w:p>
        </w:tc>
        <w:tc>
          <w:tcPr>
            <w:tcW w:w="20" w:type="dxa"/>
            <w:vAlign w:val="bottom"/>
          </w:tcPr>
          <w:p>
            <w:pPr>
              <w:spacing w:after="0"/>
              <w:rPr>
                <w:sz w:val="24"/>
                <w:szCs w:val="24"/>
                <w:color w:val="auto"/>
              </w:rPr>
            </w:pPr>
          </w:p>
        </w:tc>
      </w:tr>
      <w:tr>
        <w:trPr>
          <w:trHeight w:val="228"/>
        </w:trPr>
        <w:tc>
          <w:tcPr>
            <w:tcW w:w="4640" w:type="dxa"/>
            <w:vAlign w:val="bottom"/>
            <w:tcBorders>
              <w:top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tcPr>
          <w:p>
            <w:pPr>
              <w:jc w:val="center"/>
              <w:ind w:right="147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(925) 842-1000</w:t>
      </w:r>
    </w:p>
    <w:p>
      <w:pPr>
        <w:spacing w:after="0" w:line="36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19685</wp:posOffset>
            </wp:positionV>
            <wp:extent cx="3780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71"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2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6"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2"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6"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51"/>
        </w:trPr>
        <w:tc>
          <w:tcPr>
            <w:tcW w:w="46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$.75 per share</w:t>
            </w:r>
          </w:p>
        </w:tc>
        <w:tc>
          <w:tcPr>
            <w:tcW w:w="64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CVX</w:t>
            </w:r>
          </w:p>
        </w:tc>
        <w:tc>
          <w:tcPr>
            <w:tcW w:w="4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25" w:lineRule="exact"/>
        <w:rPr>
          <w:sz w:val="24"/>
          <w:szCs w:val="24"/>
          <w:color w:val="auto"/>
        </w:rPr>
      </w:pPr>
    </w:p>
    <w:p>
      <w:pPr>
        <w:ind w:left="20"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w:t>
      </w:r>
      <w:r>
        <w:rPr>
          <w:rFonts w:ascii="Times New Roman" w:cs="Times New Roman" w:eastAsia="Times New Roman" w:hAnsi="Times New Roman"/>
          <w:sz w:val="18"/>
          <w:szCs w:val="18"/>
          <w:color w:val="211D1E"/>
        </w:rPr>
        <w:t>§230.405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chapter) or Rule 12b-2 of the Securities Exchange Act of 1934 (§240.12b-2 of this chapter</w:t>
      </w:r>
      <w:r>
        <w:rPr>
          <w:rFonts w:ascii="Times New Roman" w:cs="Times New Roman" w:eastAsia="Times New Roman" w:hAnsi="Times New Roman"/>
          <w:sz w:val="18"/>
          <w:szCs w:val="18"/>
          <w:color w:val="000000"/>
        </w:rPr>
        <w:t>).</w:t>
      </w:r>
    </w:p>
    <w:p>
      <w:pPr>
        <w:ind w:left="8980"/>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70" w:lineRule="exact"/>
        <w:rPr>
          <w:sz w:val="24"/>
          <w:szCs w:val="24"/>
          <w:color w:val="auto"/>
        </w:rPr>
      </w:pPr>
    </w:p>
    <w:p>
      <w:pPr>
        <w:ind w:left="20" w:right="80"/>
        <w:spacing w:after="0" w:line="20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November 1, 2024, Chevron Corporation (the “Company”) issued a news release announcing unaudited third quarter 2024 earnings of $4.5 billion. The news release is attached hereto as Exhibit 99.1 and incorporated herein by reference.</w:t>
      </w:r>
    </w:p>
    <w:p>
      <w:pPr>
        <w:spacing w:after="0" w:line="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included herein and in Exhibit 99.1 shall not be deemed “filed” for purposes of Section 18 of the Securities Exchange Act of 1934, nor shall it be deemed incorporated by reference in any filing under the Securities Act of 1933, as amended.</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p>
      <w:pPr>
        <w:ind w:left="440" w:hanging="392"/>
        <w:spacing w:after="0"/>
        <w:tabs>
          <w:tab w:leader="none" w:pos="4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0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18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News release issued by Chevron Corporation, dated November 1, 2024.</w:t>
            </w:r>
          </w:p>
        </w:tc>
        <w:tc>
          <w:tcPr>
            <w:tcW w:w="360" w:type="dxa"/>
            <w:vAlign w:val="bottom"/>
            <w:tcBorders>
              <w:top w:val="single" w:sz="8" w:color="auto"/>
            </w:tcBorders>
          </w:tcPr>
          <w:p>
            <w:pPr>
              <w:spacing w:after="0"/>
              <w:rPr>
                <w:sz w:val="15"/>
                <w:szCs w:val="15"/>
                <w:color w:val="auto"/>
              </w:rPr>
            </w:pPr>
          </w:p>
        </w:tc>
        <w:tc>
          <w:tcPr>
            <w:tcW w:w="3060" w:type="dxa"/>
            <w:vAlign w:val="bottom"/>
          </w:tcPr>
          <w:p>
            <w:pPr>
              <w:spacing w:after="0"/>
              <w:rPr>
                <w:sz w:val="15"/>
                <w:szCs w:val="15"/>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(contained in Exhibit 101)</w:t>
            </w:r>
          </w:p>
        </w:tc>
      </w:tr>
      <w:tr>
        <w:trPr>
          <w:trHeight w:val="979"/>
        </w:trPr>
        <w:tc>
          <w:tcPr>
            <w:tcW w:w="2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CHEVRON CORPORATION</w:t>
      </w:r>
    </w:p>
    <w:p>
      <w:pPr>
        <w:spacing w:after="0" w:line="293" w:lineRule="exact"/>
        <w:rPr>
          <w:sz w:val="20"/>
          <w:szCs w:val="20"/>
          <w:color w:val="auto"/>
        </w:rPr>
      </w:pPr>
    </w:p>
    <w:tbl>
      <w:tblPr>
        <w:tblLayout w:type="fixed"/>
        <w:tblInd w:w="53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Alana K. Knowles</w:t>
            </w:r>
          </w:p>
        </w:tc>
      </w:tr>
      <w:tr>
        <w:trPr>
          <w:trHeight w:val="218"/>
        </w:trPr>
        <w:tc>
          <w:tcPr>
            <w:tcW w:w="6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Alana K. Knowles</w:t>
            </w:r>
          </w:p>
        </w:tc>
      </w:tr>
      <w:tr>
        <w:trPr>
          <w:trHeight w:val="229"/>
        </w:trPr>
        <w:tc>
          <w:tcPr>
            <w:tcW w:w="6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30"/>
        </w:trPr>
        <w:tc>
          <w:tcPr>
            <w:tcW w:w="6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 and</w:t>
            </w:r>
          </w:p>
        </w:tc>
      </w:tr>
      <w:tr>
        <w:trPr>
          <w:trHeight w:val="234"/>
        </w:trPr>
        <w:tc>
          <w:tcPr>
            <w:tcW w:w="68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Duly Authorized Officer)</w:t>
            </w:r>
          </w:p>
        </w:tc>
      </w:tr>
    </w:tbl>
    <w:p>
      <w:pPr>
        <w:sectPr>
          <w:pgSz w:w="11900" w:h="16838" w:orient="portrait"/>
          <w:cols w:equalWidth="0" w:num="1">
            <w:col w:w="11200"/>
          </w:cols>
          <w:pgMar w:left="320" w:top="88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3345815</wp:posOffset>
            </wp:positionH>
            <wp:positionV relativeFrom="page">
              <wp:posOffset>680720</wp:posOffset>
            </wp:positionV>
            <wp:extent cx="840105"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401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447"/>
        </w:trPr>
        <w:tc>
          <w:tcPr>
            <w:tcW w:w="3740" w:type="dxa"/>
            <w:vAlign w:val="bottom"/>
          </w:tcPr>
          <w:p>
            <w:pPr>
              <w:spacing w:after="0"/>
              <w:rPr>
                <w:sz w:val="24"/>
                <w:szCs w:val="24"/>
                <w:color w:val="auto"/>
              </w:rPr>
            </w:pPr>
          </w:p>
        </w:tc>
        <w:tc>
          <w:tcPr>
            <w:tcW w:w="7500" w:type="dxa"/>
            <w:vAlign w:val="bottom"/>
          </w:tcPr>
          <w:p>
            <w:pPr>
              <w:ind w:left="860"/>
              <w:spacing w:after="0"/>
              <w:rPr>
                <w:sz w:val="20"/>
                <w:szCs w:val="20"/>
                <w:color w:val="auto"/>
              </w:rPr>
            </w:pPr>
            <w:r>
              <w:rPr>
                <w:rFonts w:ascii="Arial" w:cs="Arial" w:eastAsia="Arial" w:hAnsi="Arial"/>
                <w:sz w:val="32"/>
                <w:szCs w:val="32"/>
                <w:b w:val="1"/>
                <w:bCs w:val="1"/>
                <w:color w:val="009DD9"/>
              </w:rPr>
              <w:t>news release</w:t>
            </w:r>
          </w:p>
        </w:tc>
      </w:tr>
      <w:tr>
        <w:trPr>
          <w:trHeight w:val="329"/>
        </w:trPr>
        <w:tc>
          <w:tcPr>
            <w:tcW w:w="3740" w:type="dxa"/>
            <w:vAlign w:val="bottom"/>
          </w:tcPr>
          <w:p>
            <w:pPr>
              <w:ind w:left="20"/>
              <w:spacing w:after="0"/>
              <w:rPr>
                <w:sz w:val="20"/>
                <w:szCs w:val="20"/>
                <w:color w:val="auto"/>
              </w:rPr>
            </w:pPr>
            <w:r>
              <w:rPr>
                <w:rFonts w:ascii="Arial" w:cs="Arial" w:eastAsia="Arial" w:hAnsi="Arial"/>
                <w:sz w:val="20"/>
                <w:szCs w:val="20"/>
                <w:b w:val="1"/>
                <w:bCs w:val="1"/>
                <w:color w:val="auto"/>
              </w:rPr>
              <w:t>FOR RELEASE AT 3:15 AM PT</w:t>
            </w:r>
          </w:p>
        </w:tc>
        <w:tc>
          <w:tcPr>
            <w:tcW w:w="7500" w:type="dxa"/>
            <w:vAlign w:val="bottom"/>
          </w:tcPr>
          <w:p>
            <w:pPr>
              <w:ind w:left="6260"/>
              <w:spacing w:after="0"/>
              <w:rPr>
                <w:sz w:val="20"/>
                <w:szCs w:val="20"/>
                <w:color w:val="auto"/>
              </w:rPr>
            </w:pPr>
            <w:r>
              <w:rPr>
                <w:rFonts w:ascii="Arial" w:cs="Arial" w:eastAsia="Arial" w:hAnsi="Arial"/>
                <w:sz w:val="20"/>
                <w:szCs w:val="20"/>
                <w:b w:val="1"/>
                <w:bCs w:val="1"/>
                <w:color w:val="auto"/>
                <w:w w:val="98"/>
              </w:rPr>
              <w:t>EXHIBIT 99.1</w:t>
            </w:r>
          </w:p>
        </w:tc>
      </w:tr>
      <w:tr>
        <w:trPr>
          <w:trHeight w:val="267"/>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NOVEMBER 1, 2024</w:t>
            </w:r>
          </w:p>
        </w:tc>
        <w:tc>
          <w:tcPr>
            <w:tcW w:w="7500" w:type="dxa"/>
            <w:vAlign w:val="bottom"/>
            <w:tcBorders>
              <w:bottom w:val="single" w:sz="8" w:color="auto"/>
            </w:tcBorders>
          </w:tcPr>
          <w:p>
            <w:pPr>
              <w:spacing w:after="0"/>
              <w:rPr>
                <w:sz w:val="23"/>
                <w:szCs w:val="23"/>
                <w:color w:val="auto"/>
              </w:rPr>
            </w:pPr>
          </w:p>
        </w:tc>
      </w:tr>
    </w:tbl>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009DD9"/>
        </w:rPr>
        <w:t>Chevron Reports Third Quarter 2024 Results</w:t>
      </w:r>
    </w:p>
    <w:p>
      <w:pPr>
        <w:spacing w:after="0" w:line="116" w:lineRule="exact"/>
        <w:rPr>
          <w:sz w:val="20"/>
          <w:szCs w:val="20"/>
          <w:color w:val="auto"/>
        </w:rPr>
      </w:pPr>
    </w:p>
    <w:p>
      <w:pPr>
        <w:ind w:left="360" w:hanging="239"/>
        <w:spacing w:after="0"/>
        <w:tabs>
          <w:tab w:leader="none" w:pos="360" w:val="left"/>
        </w:tabs>
        <w:numPr>
          <w:ilvl w:val="0"/>
          <w:numId w:val="3"/>
        </w:numPr>
        <w:rPr>
          <w:rFonts w:ascii="Arial" w:cs="Arial" w:eastAsia="Arial" w:hAnsi="Arial"/>
          <w:sz w:val="22"/>
          <w:szCs w:val="22"/>
          <w:color w:val="009DD9"/>
        </w:rPr>
      </w:pPr>
      <w:r>
        <w:rPr>
          <w:rFonts w:ascii="Arial" w:cs="Arial" w:eastAsia="Arial" w:hAnsi="Arial"/>
          <w:sz w:val="22"/>
          <w:szCs w:val="22"/>
          <w:color w:val="009DD9"/>
        </w:rPr>
        <w:t>Reported earnings of $4.5 billion; cash flow from operations of $9.7 billion</w:t>
      </w:r>
    </w:p>
    <w:p>
      <w:pPr>
        <w:spacing w:after="0" w:line="23" w:lineRule="exact"/>
        <w:rPr>
          <w:rFonts w:ascii="Arial" w:cs="Arial" w:eastAsia="Arial" w:hAnsi="Arial"/>
          <w:sz w:val="22"/>
          <w:szCs w:val="22"/>
          <w:color w:val="009DD9"/>
        </w:rPr>
      </w:pPr>
    </w:p>
    <w:p>
      <w:pPr>
        <w:ind w:left="360" w:hanging="239"/>
        <w:spacing w:after="0"/>
        <w:tabs>
          <w:tab w:leader="none" w:pos="360" w:val="left"/>
        </w:tabs>
        <w:numPr>
          <w:ilvl w:val="0"/>
          <w:numId w:val="3"/>
        </w:numPr>
        <w:rPr>
          <w:rFonts w:ascii="Arial" w:cs="Arial" w:eastAsia="Arial" w:hAnsi="Arial"/>
          <w:sz w:val="22"/>
          <w:szCs w:val="22"/>
          <w:color w:val="009DD9"/>
        </w:rPr>
      </w:pPr>
      <w:r>
        <w:rPr>
          <w:rFonts w:ascii="Arial" w:cs="Arial" w:eastAsia="Arial" w:hAnsi="Arial"/>
          <w:sz w:val="22"/>
          <w:szCs w:val="22"/>
          <w:color w:val="009DD9"/>
        </w:rPr>
        <w:t>Returned record $7.7 billion cash to shareholders</w:t>
      </w:r>
    </w:p>
    <w:p>
      <w:pPr>
        <w:spacing w:after="0" w:line="3" w:lineRule="exact"/>
        <w:rPr>
          <w:rFonts w:ascii="Arial" w:cs="Arial" w:eastAsia="Arial" w:hAnsi="Arial"/>
          <w:sz w:val="22"/>
          <w:szCs w:val="22"/>
          <w:color w:val="009DD9"/>
        </w:rPr>
      </w:pPr>
    </w:p>
    <w:p>
      <w:pPr>
        <w:ind w:left="360" w:hanging="239"/>
        <w:spacing w:after="0"/>
        <w:tabs>
          <w:tab w:leader="none" w:pos="360" w:val="left"/>
        </w:tabs>
        <w:numPr>
          <w:ilvl w:val="0"/>
          <w:numId w:val="3"/>
        </w:numPr>
        <w:rPr>
          <w:rFonts w:ascii="Arial" w:cs="Arial" w:eastAsia="Arial" w:hAnsi="Arial"/>
          <w:sz w:val="22"/>
          <w:szCs w:val="22"/>
          <w:color w:val="009DD9"/>
        </w:rPr>
      </w:pPr>
      <w:r>
        <w:rPr>
          <w:rFonts w:ascii="Arial" w:cs="Arial" w:eastAsia="Arial" w:hAnsi="Arial"/>
          <w:sz w:val="22"/>
          <w:szCs w:val="22"/>
          <w:color w:val="009DD9"/>
        </w:rPr>
        <w:t>Started up key U.S. Gulf of Mexico projects</w:t>
      </w:r>
    </w:p>
    <w:p>
      <w:pPr>
        <w:spacing w:after="0" w:line="10" w:lineRule="exact"/>
        <w:rPr>
          <w:rFonts w:ascii="Arial" w:cs="Arial" w:eastAsia="Arial" w:hAnsi="Arial"/>
          <w:sz w:val="22"/>
          <w:szCs w:val="22"/>
          <w:color w:val="009DD9"/>
        </w:rPr>
      </w:pPr>
    </w:p>
    <w:p>
      <w:pPr>
        <w:ind w:left="360" w:hanging="239"/>
        <w:spacing w:after="0"/>
        <w:tabs>
          <w:tab w:leader="none" w:pos="360" w:val="left"/>
        </w:tabs>
        <w:numPr>
          <w:ilvl w:val="0"/>
          <w:numId w:val="3"/>
        </w:numPr>
        <w:rPr>
          <w:rFonts w:ascii="Arial" w:cs="Arial" w:eastAsia="Arial" w:hAnsi="Arial"/>
          <w:sz w:val="22"/>
          <w:szCs w:val="22"/>
          <w:color w:val="009DD9"/>
        </w:rPr>
      </w:pPr>
      <w:r>
        <w:rPr>
          <w:rFonts w:ascii="Arial" w:cs="Arial" w:eastAsia="Arial" w:hAnsi="Arial"/>
          <w:sz w:val="22"/>
          <w:szCs w:val="22"/>
          <w:color w:val="009DD9"/>
        </w:rPr>
        <w:t>Optimizing portfolio with announced $6.5 billion sale of Canadian assets</w:t>
      </w:r>
    </w:p>
    <w:p>
      <w:pPr>
        <w:spacing w:after="0" w:line="141"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 xml:space="preserve">San Ramon, Calif., November 1, 2024 </w:t>
      </w:r>
      <w:r>
        <w:rPr>
          <w:rFonts w:ascii="Arial" w:cs="Arial" w:eastAsia="Arial" w:hAnsi="Arial"/>
          <w:sz w:val="20"/>
          <w:szCs w:val="20"/>
          <w:color w:val="auto"/>
        </w:rPr>
        <w:t>– Chevron Corporation (NYSE: CVX) reported earnings of $4.5 billion ($2.48 per share -</w:t>
      </w:r>
      <w:r>
        <w:rPr>
          <w:rFonts w:ascii="Arial" w:cs="Arial" w:eastAsia="Arial" w:hAnsi="Arial"/>
          <w:sz w:val="20"/>
          <w:szCs w:val="20"/>
          <w:b w:val="1"/>
          <w:bCs w:val="1"/>
          <w:color w:val="auto"/>
        </w:rPr>
        <w:t xml:space="preserve"> </w:t>
      </w:r>
      <w:r>
        <w:rPr>
          <w:rFonts w:ascii="Arial" w:cs="Arial" w:eastAsia="Arial" w:hAnsi="Arial"/>
          <w:sz w:val="20"/>
          <w:szCs w:val="20"/>
          <w:color w:val="auto"/>
        </w:rPr>
        <w:t>diluted) for third quarter 2024, compared with $6.5 billion ($3.48 per share - diluted) in third quarter 2023. Foreign currency effects decreased earnings by $ 44 million. Adjusted earnings of $4.5 billion ($ 2.51 per share - diluted) in third quarter 2024 compared to adjusted earnings of $5.7 billion ($3.05 per share - diluted) in third quarter 2023. See Attachment 4 for a reconciliation of adjusted earnings.</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Earnings &amp; Cash Flow Summary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YTD</w:t>
            </w:r>
          </w:p>
        </w:tc>
        <w:tc>
          <w:tcPr>
            <w:tcW w:w="880" w:type="dxa"/>
            <w:vAlign w:val="bottom"/>
            <w:tcBorders>
              <w:bottom w:val="single" w:sz="8" w:color="auto"/>
            </w:tcBorders>
          </w:tcPr>
          <w:p>
            <w:pPr>
              <w:spacing w:after="0"/>
              <w:rPr>
                <w:sz w:val="18"/>
                <w:szCs w:val="18"/>
                <w:color w:val="auto"/>
              </w:rPr>
            </w:pPr>
          </w:p>
        </w:tc>
      </w:tr>
      <w:tr>
        <w:trPr>
          <w:trHeight w:val="210"/>
        </w:trPr>
        <w:tc>
          <w:tcPr>
            <w:tcW w:w="40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Unit</w:t>
            </w: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 2024</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r>
      <w:tr>
        <w:trPr>
          <w:trHeight w:val="20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Earnings / (Loss)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MM</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4,487</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4,434</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6,526</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14,422</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19,110</w:t>
            </w:r>
          </w:p>
        </w:tc>
      </w:tr>
      <w:tr>
        <w:trPr>
          <w:trHeight w:val="208"/>
        </w:trPr>
        <w:tc>
          <w:tcPr>
            <w:tcW w:w="4000" w:type="dxa"/>
            <w:vAlign w:val="bottom"/>
          </w:tcPr>
          <w:p>
            <w:pPr>
              <w:ind w:left="240"/>
              <w:spacing w:after="0"/>
              <w:rPr>
                <w:sz w:val="20"/>
                <w:szCs w:val="20"/>
                <w:color w:val="auto"/>
              </w:rPr>
            </w:pPr>
            <w:r>
              <w:rPr>
                <w:rFonts w:ascii="Arial" w:cs="Arial" w:eastAsia="Arial" w:hAnsi="Arial"/>
                <w:sz w:val="16"/>
                <w:szCs w:val="16"/>
                <w:i w:val="1"/>
                <w:iCs w:val="1"/>
                <w:color w:val="6D6D6D"/>
              </w:rPr>
              <w:t>Upstream</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i w:val="1"/>
                <w:iCs w:val="1"/>
                <w:color w:val="6D6D6D"/>
                <w:w w:val="99"/>
              </w:rPr>
              <w:t>$ MM</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i w:val="1"/>
                <w:iCs w:val="1"/>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i w:val="1"/>
                <w:iCs w:val="1"/>
                <w:color w:val="auto"/>
              </w:rPr>
              <w:t>4,589</w:t>
            </w:r>
          </w:p>
        </w:tc>
        <w:tc>
          <w:tcPr>
            <w:tcW w:w="320" w:type="dxa"/>
            <w:vAlign w:val="bottom"/>
          </w:tcPr>
          <w:p>
            <w:pPr>
              <w:jc w:val="right"/>
              <w:ind w:right="139"/>
              <w:spacing w:after="0"/>
              <w:rPr>
                <w:sz w:val="20"/>
                <w:szCs w:val="20"/>
                <w:color w:val="auto"/>
              </w:rPr>
            </w:pPr>
            <w:r>
              <w:rPr>
                <w:rFonts w:ascii="Arial" w:cs="Arial" w:eastAsia="Arial" w:hAnsi="Arial"/>
                <w:sz w:val="16"/>
                <w:szCs w:val="16"/>
                <w:i w:val="1"/>
                <w:iCs w:val="1"/>
                <w:color w:val="6D6D6D"/>
                <w:w w:val="89"/>
              </w:rPr>
              <w:t>$</w:t>
            </w:r>
          </w:p>
        </w:tc>
        <w:tc>
          <w:tcPr>
            <w:tcW w:w="880" w:type="dxa"/>
            <w:vAlign w:val="bottom"/>
          </w:tcPr>
          <w:p>
            <w:pPr>
              <w:jc w:val="right"/>
              <w:spacing w:after="0"/>
              <w:rPr>
                <w:sz w:val="20"/>
                <w:szCs w:val="20"/>
                <w:color w:val="auto"/>
              </w:rPr>
            </w:pPr>
            <w:r>
              <w:rPr>
                <w:rFonts w:ascii="Arial" w:cs="Arial" w:eastAsia="Arial" w:hAnsi="Arial"/>
                <w:sz w:val="16"/>
                <w:szCs w:val="16"/>
                <w:i w:val="1"/>
                <w:iCs w:val="1"/>
                <w:color w:val="6D6D6D"/>
              </w:rPr>
              <w:t>4,470</w:t>
            </w:r>
          </w:p>
        </w:tc>
        <w:tc>
          <w:tcPr>
            <w:tcW w:w="340" w:type="dxa"/>
            <w:vAlign w:val="bottom"/>
          </w:tcPr>
          <w:p>
            <w:pPr>
              <w:jc w:val="right"/>
              <w:ind w:right="159"/>
              <w:spacing w:after="0"/>
              <w:rPr>
                <w:sz w:val="20"/>
                <w:szCs w:val="20"/>
                <w:color w:val="auto"/>
              </w:rPr>
            </w:pPr>
            <w:r>
              <w:rPr>
                <w:rFonts w:ascii="Arial" w:cs="Arial" w:eastAsia="Arial" w:hAnsi="Arial"/>
                <w:sz w:val="16"/>
                <w:szCs w:val="16"/>
                <w:i w:val="1"/>
                <w:iCs w:val="1"/>
                <w:color w:val="6D6D6D"/>
                <w:w w:val="89"/>
              </w:rPr>
              <w:t>$</w:t>
            </w: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i w:val="1"/>
                <w:iCs w:val="1"/>
                <w:color w:val="6D6D6D"/>
              </w:rPr>
              <w:t>5,755</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i w:val="1"/>
                <w:iCs w:val="1"/>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i w:val="1"/>
                <w:iCs w:val="1"/>
                <w:color w:val="auto"/>
              </w:rPr>
              <w:t>14,298</w:t>
            </w:r>
          </w:p>
        </w:tc>
        <w:tc>
          <w:tcPr>
            <w:tcW w:w="360" w:type="dxa"/>
            <w:vAlign w:val="bottom"/>
          </w:tcPr>
          <w:p>
            <w:pPr>
              <w:jc w:val="right"/>
              <w:ind w:right="179"/>
              <w:spacing w:after="0"/>
              <w:rPr>
                <w:sz w:val="20"/>
                <w:szCs w:val="20"/>
                <w:color w:val="auto"/>
              </w:rPr>
            </w:pPr>
            <w:r>
              <w:rPr>
                <w:rFonts w:ascii="Arial" w:cs="Arial" w:eastAsia="Arial" w:hAnsi="Arial"/>
                <w:sz w:val="16"/>
                <w:szCs w:val="16"/>
                <w:i w:val="1"/>
                <w:iCs w:val="1"/>
                <w:color w:val="6D6D6D"/>
                <w:w w:val="89"/>
              </w:rPr>
              <w:t>$</w:t>
            </w: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i w:val="1"/>
                <w:iCs w:val="1"/>
                <w:color w:val="6D6D6D"/>
              </w:rPr>
              <w:t>15,852</w:t>
            </w:r>
          </w:p>
        </w:tc>
      </w:tr>
      <w:tr>
        <w:trPr>
          <w:trHeight w:val="216"/>
        </w:trPr>
        <w:tc>
          <w:tcPr>
            <w:tcW w:w="4000" w:type="dxa"/>
            <w:vAlign w:val="bottom"/>
          </w:tcPr>
          <w:p>
            <w:pPr>
              <w:ind w:left="240"/>
              <w:spacing w:after="0"/>
              <w:rPr>
                <w:sz w:val="20"/>
                <w:szCs w:val="20"/>
                <w:color w:val="auto"/>
              </w:rPr>
            </w:pPr>
            <w:r>
              <w:rPr>
                <w:rFonts w:ascii="Arial" w:cs="Arial" w:eastAsia="Arial" w:hAnsi="Arial"/>
                <w:sz w:val="16"/>
                <w:szCs w:val="16"/>
                <w:i w:val="1"/>
                <w:iCs w:val="1"/>
                <w:color w:val="6D6D6D"/>
              </w:rPr>
              <w:t>Downstream</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i w:val="1"/>
                <w:iCs w:val="1"/>
                <w:color w:val="6D6D6D"/>
                <w:w w:val="99"/>
              </w:rPr>
              <w:t>$ MM</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i w:val="1"/>
                <w:iCs w:val="1"/>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i w:val="1"/>
                <w:iCs w:val="1"/>
                <w:color w:val="auto"/>
              </w:rPr>
              <w:t>595</w:t>
            </w:r>
          </w:p>
        </w:tc>
        <w:tc>
          <w:tcPr>
            <w:tcW w:w="320" w:type="dxa"/>
            <w:vAlign w:val="bottom"/>
          </w:tcPr>
          <w:p>
            <w:pPr>
              <w:jc w:val="right"/>
              <w:ind w:right="139"/>
              <w:spacing w:after="0"/>
              <w:rPr>
                <w:sz w:val="20"/>
                <w:szCs w:val="20"/>
                <w:color w:val="auto"/>
              </w:rPr>
            </w:pPr>
            <w:r>
              <w:rPr>
                <w:rFonts w:ascii="Arial" w:cs="Arial" w:eastAsia="Arial" w:hAnsi="Arial"/>
                <w:sz w:val="16"/>
                <w:szCs w:val="16"/>
                <w:i w:val="1"/>
                <w:iCs w:val="1"/>
                <w:color w:val="6D6D6D"/>
                <w:w w:val="89"/>
              </w:rPr>
              <w:t>$</w:t>
            </w:r>
          </w:p>
        </w:tc>
        <w:tc>
          <w:tcPr>
            <w:tcW w:w="880" w:type="dxa"/>
            <w:vAlign w:val="bottom"/>
          </w:tcPr>
          <w:p>
            <w:pPr>
              <w:jc w:val="right"/>
              <w:spacing w:after="0"/>
              <w:rPr>
                <w:sz w:val="20"/>
                <w:szCs w:val="20"/>
                <w:color w:val="auto"/>
              </w:rPr>
            </w:pPr>
            <w:r>
              <w:rPr>
                <w:rFonts w:ascii="Arial" w:cs="Arial" w:eastAsia="Arial" w:hAnsi="Arial"/>
                <w:sz w:val="16"/>
                <w:szCs w:val="16"/>
                <w:i w:val="1"/>
                <w:iCs w:val="1"/>
                <w:color w:val="6D6D6D"/>
              </w:rPr>
              <w:t>597</w:t>
            </w:r>
          </w:p>
        </w:tc>
        <w:tc>
          <w:tcPr>
            <w:tcW w:w="340" w:type="dxa"/>
            <w:vAlign w:val="bottom"/>
          </w:tcPr>
          <w:p>
            <w:pPr>
              <w:jc w:val="right"/>
              <w:ind w:right="159"/>
              <w:spacing w:after="0"/>
              <w:rPr>
                <w:sz w:val="20"/>
                <w:szCs w:val="20"/>
                <w:color w:val="auto"/>
              </w:rPr>
            </w:pPr>
            <w:r>
              <w:rPr>
                <w:rFonts w:ascii="Arial" w:cs="Arial" w:eastAsia="Arial" w:hAnsi="Arial"/>
                <w:sz w:val="16"/>
                <w:szCs w:val="16"/>
                <w:i w:val="1"/>
                <w:iCs w:val="1"/>
                <w:color w:val="6D6D6D"/>
                <w:w w:val="89"/>
              </w:rPr>
              <w:t>$</w:t>
            </w: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i w:val="1"/>
                <w:iCs w:val="1"/>
                <w:color w:val="6D6D6D"/>
              </w:rPr>
              <w:t>1,683</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i w:val="1"/>
                <w:iCs w:val="1"/>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i w:val="1"/>
                <w:iCs w:val="1"/>
                <w:color w:val="auto"/>
              </w:rPr>
              <w:t>1,975</w:t>
            </w:r>
          </w:p>
        </w:tc>
        <w:tc>
          <w:tcPr>
            <w:tcW w:w="360" w:type="dxa"/>
            <w:vAlign w:val="bottom"/>
          </w:tcPr>
          <w:p>
            <w:pPr>
              <w:jc w:val="right"/>
              <w:ind w:right="179"/>
              <w:spacing w:after="0"/>
              <w:rPr>
                <w:sz w:val="20"/>
                <w:szCs w:val="20"/>
                <w:color w:val="auto"/>
              </w:rPr>
            </w:pPr>
            <w:r>
              <w:rPr>
                <w:rFonts w:ascii="Arial" w:cs="Arial" w:eastAsia="Arial" w:hAnsi="Arial"/>
                <w:sz w:val="16"/>
                <w:szCs w:val="16"/>
                <w:i w:val="1"/>
                <w:iCs w:val="1"/>
                <w:color w:val="6D6D6D"/>
                <w:w w:val="89"/>
              </w:rPr>
              <w:t>$</w:t>
            </w: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i w:val="1"/>
                <w:iCs w:val="1"/>
                <w:color w:val="6D6D6D"/>
              </w:rPr>
              <w:t>4,990</w:t>
            </w:r>
          </w:p>
        </w:tc>
      </w:tr>
      <w:tr>
        <w:trPr>
          <w:trHeight w:val="216"/>
        </w:trPr>
        <w:tc>
          <w:tcPr>
            <w:tcW w:w="4000" w:type="dxa"/>
            <w:vAlign w:val="bottom"/>
          </w:tcPr>
          <w:p>
            <w:pPr>
              <w:ind w:left="240"/>
              <w:spacing w:after="0"/>
              <w:rPr>
                <w:sz w:val="20"/>
                <w:szCs w:val="20"/>
                <w:color w:val="auto"/>
              </w:rPr>
            </w:pPr>
            <w:r>
              <w:rPr>
                <w:rFonts w:ascii="Arial" w:cs="Arial" w:eastAsia="Arial" w:hAnsi="Arial"/>
                <w:sz w:val="16"/>
                <w:szCs w:val="16"/>
                <w:i w:val="1"/>
                <w:iCs w:val="1"/>
                <w:color w:val="6D6D6D"/>
              </w:rPr>
              <w:t>All Other</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i w:val="1"/>
                <w:iCs w:val="1"/>
                <w:color w:val="6D6D6D"/>
                <w:w w:val="99"/>
              </w:rPr>
              <w:t>$ MM</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i w:val="1"/>
                <w:iCs w:val="1"/>
                <w:color w:val="auto"/>
                <w:w w:val="89"/>
              </w:rPr>
              <w:t>$</w:t>
            </w:r>
          </w:p>
        </w:tc>
        <w:tc>
          <w:tcPr>
            <w:tcW w:w="11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i w:val="1"/>
                <w:iCs w:val="1"/>
                <w:color w:val="auto"/>
              </w:rPr>
              <w:t>(697)</w:t>
            </w:r>
          </w:p>
        </w:tc>
        <w:tc>
          <w:tcPr>
            <w:tcW w:w="320" w:type="dxa"/>
            <w:vAlign w:val="bottom"/>
          </w:tcPr>
          <w:p>
            <w:pPr>
              <w:jc w:val="right"/>
              <w:ind w:right="139"/>
              <w:spacing w:after="0"/>
              <w:rPr>
                <w:sz w:val="20"/>
                <w:szCs w:val="20"/>
                <w:color w:val="auto"/>
              </w:rPr>
            </w:pPr>
            <w:r>
              <w:rPr>
                <w:rFonts w:ascii="Arial" w:cs="Arial" w:eastAsia="Arial" w:hAnsi="Arial"/>
                <w:sz w:val="16"/>
                <w:szCs w:val="16"/>
                <w:i w:val="1"/>
                <w:iCs w:val="1"/>
                <w:color w:val="6D6D6D"/>
                <w:w w:val="89"/>
              </w:rPr>
              <w:t>$</w:t>
            </w:r>
          </w:p>
        </w:tc>
        <w:tc>
          <w:tcPr>
            <w:tcW w:w="880" w:type="dxa"/>
            <w:vAlign w:val="bottom"/>
          </w:tcPr>
          <w:p>
            <w:pPr>
              <w:jc w:val="right"/>
              <w:spacing w:after="0"/>
              <w:rPr>
                <w:sz w:val="20"/>
                <w:szCs w:val="20"/>
                <w:color w:val="auto"/>
              </w:rPr>
            </w:pPr>
            <w:r>
              <w:rPr>
                <w:rFonts w:ascii="Arial" w:cs="Arial" w:eastAsia="Arial" w:hAnsi="Arial"/>
                <w:sz w:val="16"/>
                <w:szCs w:val="16"/>
                <w:i w:val="1"/>
                <w:iCs w:val="1"/>
                <w:color w:val="6D6D6D"/>
              </w:rPr>
              <w:t>(633)</w:t>
            </w:r>
          </w:p>
        </w:tc>
        <w:tc>
          <w:tcPr>
            <w:tcW w:w="340" w:type="dxa"/>
            <w:vAlign w:val="bottom"/>
          </w:tcPr>
          <w:p>
            <w:pPr>
              <w:jc w:val="right"/>
              <w:ind w:right="159"/>
              <w:spacing w:after="0"/>
              <w:rPr>
                <w:sz w:val="20"/>
                <w:szCs w:val="20"/>
                <w:color w:val="auto"/>
              </w:rPr>
            </w:pPr>
            <w:r>
              <w:rPr>
                <w:rFonts w:ascii="Arial" w:cs="Arial" w:eastAsia="Arial" w:hAnsi="Arial"/>
                <w:sz w:val="16"/>
                <w:szCs w:val="16"/>
                <w:i w:val="1"/>
                <w:iCs w:val="1"/>
                <w:color w:val="6D6D6D"/>
                <w:w w:val="89"/>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6D6D6D"/>
              </w:rPr>
              <w:t>(912)</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i w:val="1"/>
                <w:iCs w:val="1"/>
                <w:color w:val="auto"/>
                <w:w w:val="89"/>
              </w:rPr>
              <w:t>$</w:t>
            </w:r>
          </w:p>
        </w:tc>
        <w:tc>
          <w:tcPr>
            <w:tcW w:w="11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i w:val="1"/>
                <w:iCs w:val="1"/>
                <w:color w:val="auto"/>
              </w:rPr>
              <w:t>(1,851)</w:t>
            </w:r>
          </w:p>
        </w:tc>
        <w:tc>
          <w:tcPr>
            <w:tcW w:w="360" w:type="dxa"/>
            <w:vAlign w:val="bottom"/>
          </w:tcPr>
          <w:p>
            <w:pPr>
              <w:jc w:val="right"/>
              <w:ind w:right="179"/>
              <w:spacing w:after="0"/>
              <w:rPr>
                <w:sz w:val="20"/>
                <w:szCs w:val="20"/>
                <w:color w:val="auto"/>
              </w:rPr>
            </w:pPr>
            <w:r>
              <w:rPr>
                <w:rFonts w:ascii="Arial" w:cs="Arial" w:eastAsia="Arial" w:hAnsi="Arial"/>
                <w:sz w:val="16"/>
                <w:szCs w:val="16"/>
                <w:i w:val="1"/>
                <w:iCs w:val="1"/>
                <w:color w:val="6D6D6D"/>
                <w:w w:val="89"/>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6D6D6D"/>
              </w:rPr>
              <w:t>(1,732)</w:t>
            </w:r>
          </w:p>
        </w:tc>
      </w:tr>
      <w:tr>
        <w:trPr>
          <w:trHeight w:val="216"/>
        </w:trPr>
        <w:tc>
          <w:tcPr>
            <w:tcW w:w="4000" w:type="dxa"/>
            <w:vAlign w:val="bottom"/>
          </w:tcPr>
          <w:p>
            <w:pPr>
              <w:ind w:left="20"/>
              <w:spacing w:after="0"/>
              <w:rPr>
                <w:sz w:val="20"/>
                <w:szCs w:val="20"/>
                <w:color w:val="auto"/>
              </w:rPr>
            </w:pPr>
            <w:r>
              <w:rPr>
                <w:rFonts w:ascii="Arial" w:cs="Arial" w:eastAsia="Arial" w:hAnsi="Arial"/>
                <w:sz w:val="16"/>
                <w:szCs w:val="16"/>
                <w:color w:val="auto"/>
              </w:rPr>
              <w:t>Earnings Per Share - Diluted</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$/Share</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2.48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2.43</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7.88</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10.14</w:t>
            </w:r>
          </w:p>
        </w:tc>
      </w:tr>
      <w:tr>
        <w:trPr>
          <w:trHeight w:val="217"/>
        </w:trPr>
        <w:tc>
          <w:tcPr>
            <w:tcW w:w="4000" w:type="dxa"/>
            <w:vAlign w:val="bottom"/>
          </w:tcPr>
          <w:p>
            <w:pPr>
              <w:ind w:left="20"/>
              <w:spacing w:after="0" w:line="218" w:lineRule="exact"/>
              <w:rPr>
                <w:sz w:val="20"/>
                <w:szCs w:val="20"/>
                <w:color w:val="auto"/>
              </w:rPr>
            </w:pPr>
            <w:r>
              <w:rPr>
                <w:rFonts w:ascii="Arial" w:cs="Arial" w:eastAsia="Arial" w:hAnsi="Arial"/>
                <w:sz w:val="16"/>
                <w:szCs w:val="16"/>
                <w:color w:val="6D6D6D"/>
              </w:rPr>
              <w:t xml:space="preserve">Adjusted Earnings </w:t>
            </w:r>
            <w:r>
              <w:rPr>
                <w:rFonts w:ascii="Arial" w:cs="Arial" w:eastAsia="Arial" w:hAnsi="Arial"/>
                <w:sz w:val="21"/>
                <w:szCs w:val="21"/>
                <w:color w:val="6D6D6D"/>
                <w:vertAlign w:val="superscript"/>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6D6D6D"/>
                <w:w w:val="99"/>
              </w:rPr>
              <w:t>$ MM</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4,531</w:t>
            </w:r>
          </w:p>
        </w:tc>
        <w:tc>
          <w:tcPr>
            <w:tcW w:w="320" w:type="dxa"/>
            <w:vAlign w:val="bottom"/>
          </w:tcPr>
          <w:p>
            <w:pPr>
              <w:jc w:val="right"/>
              <w:ind w:right="139"/>
              <w:spacing w:after="0"/>
              <w:rPr>
                <w:sz w:val="20"/>
                <w:szCs w:val="20"/>
                <w:color w:val="auto"/>
              </w:rPr>
            </w:pPr>
            <w:r>
              <w:rPr>
                <w:rFonts w:ascii="Arial" w:cs="Arial" w:eastAsia="Arial" w:hAnsi="Arial"/>
                <w:sz w:val="16"/>
                <w:szCs w:val="16"/>
                <w:color w:val="6D6D6D"/>
                <w:w w:val="89"/>
              </w:rPr>
              <w:t>$</w:t>
            </w:r>
          </w:p>
        </w:tc>
        <w:tc>
          <w:tcPr>
            <w:tcW w:w="880" w:type="dxa"/>
            <w:vAlign w:val="bottom"/>
          </w:tcPr>
          <w:p>
            <w:pPr>
              <w:jc w:val="right"/>
              <w:spacing w:after="0"/>
              <w:rPr>
                <w:sz w:val="20"/>
                <w:szCs w:val="20"/>
                <w:color w:val="auto"/>
              </w:rPr>
            </w:pPr>
            <w:r>
              <w:rPr>
                <w:rFonts w:ascii="Arial" w:cs="Arial" w:eastAsia="Arial" w:hAnsi="Arial"/>
                <w:sz w:val="16"/>
                <w:szCs w:val="16"/>
                <w:color w:val="6D6D6D"/>
              </w:rPr>
              <w:t>4,677</w:t>
            </w:r>
          </w:p>
        </w:tc>
        <w:tc>
          <w:tcPr>
            <w:tcW w:w="340" w:type="dxa"/>
            <w:vAlign w:val="bottom"/>
          </w:tcPr>
          <w:p>
            <w:pPr>
              <w:jc w:val="right"/>
              <w:ind w:right="159"/>
              <w:spacing w:after="0"/>
              <w:rPr>
                <w:sz w:val="20"/>
                <w:szCs w:val="20"/>
                <w:color w:val="auto"/>
              </w:rPr>
            </w:pPr>
            <w:r>
              <w:rPr>
                <w:rFonts w:ascii="Arial" w:cs="Arial" w:eastAsia="Arial" w:hAnsi="Arial"/>
                <w:sz w:val="16"/>
                <w:szCs w:val="16"/>
                <w:color w:val="6D6D6D"/>
                <w:w w:val="89"/>
              </w:rPr>
              <w:t>$</w:t>
            </w: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6D6D6D"/>
              </w:rPr>
              <w:t>5,721</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14,624</w:t>
            </w:r>
          </w:p>
        </w:tc>
        <w:tc>
          <w:tcPr>
            <w:tcW w:w="360" w:type="dxa"/>
            <w:vAlign w:val="bottom"/>
          </w:tcPr>
          <w:p>
            <w:pPr>
              <w:jc w:val="right"/>
              <w:ind w:right="179"/>
              <w:spacing w:after="0"/>
              <w:rPr>
                <w:sz w:val="20"/>
                <w:szCs w:val="20"/>
                <w:color w:val="auto"/>
              </w:rPr>
            </w:pPr>
            <w:r>
              <w:rPr>
                <w:rFonts w:ascii="Arial" w:cs="Arial" w:eastAsia="Arial" w:hAnsi="Arial"/>
                <w:sz w:val="16"/>
                <w:szCs w:val="16"/>
                <w:color w:val="6D6D6D"/>
                <w:w w:val="89"/>
              </w:rPr>
              <w:t>$</w:t>
            </w: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6D6D6D"/>
              </w:rPr>
              <w:t>18,240</w:t>
            </w:r>
          </w:p>
        </w:tc>
      </w:tr>
      <w:tr>
        <w:trPr>
          <w:trHeight w:val="216"/>
        </w:trPr>
        <w:tc>
          <w:tcPr>
            <w:tcW w:w="4000" w:type="dxa"/>
            <w:vAlign w:val="bottom"/>
          </w:tcPr>
          <w:p>
            <w:pPr>
              <w:ind w:left="20"/>
              <w:spacing w:after="0" w:line="216" w:lineRule="exact"/>
              <w:rPr>
                <w:sz w:val="20"/>
                <w:szCs w:val="20"/>
                <w:color w:val="auto"/>
              </w:rPr>
            </w:pPr>
            <w:r>
              <w:rPr>
                <w:rFonts w:ascii="Arial" w:cs="Arial" w:eastAsia="Arial" w:hAnsi="Arial"/>
                <w:sz w:val="16"/>
                <w:szCs w:val="16"/>
                <w:color w:val="6D6D6D"/>
              </w:rPr>
              <w:t xml:space="preserve">Adjusted Earnings Per Share - Diluted </w:t>
            </w:r>
            <w:r>
              <w:rPr>
                <w:rFonts w:ascii="Arial" w:cs="Arial" w:eastAsia="Arial" w:hAnsi="Arial"/>
                <w:sz w:val="21"/>
                <w:szCs w:val="21"/>
                <w:color w:val="6D6D6D"/>
                <w:vertAlign w:val="superscript"/>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6D6D6D"/>
                <w:w w:val="99"/>
              </w:rPr>
              <w:t>$/Share</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2.51</w:t>
            </w:r>
          </w:p>
        </w:tc>
        <w:tc>
          <w:tcPr>
            <w:tcW w:w="320" w:type="dxa"/>
            <w:vAlign w:val="bottom"/>
          </w:tcPr>
          <w:p>
            <w:pPr>
              <w:jc w:val="right"/>
              <w:ind w:right="139"/>
              <w:spacing w:after="0"/>
              <w:rPr>
                <w:sz w:val="20"/>
                <w:szCs w:val="20"/>
                <w:color w:val="auto"/>
              </w:rPr>
            </w:pPr>
            <w:r>
              <w:rPr>
                <w:rFonts w:ascii="Arial" w:cs="Arial" w:eastAsia="Arial" w:hAnsi="Arial"/>
                <w:sz w:val="16"/>
                <w:szCs w:val="16"/>
                <w:color w:val="6D6D6D"/>
                <w:w w:val="89"/>
              </w:rPr>
              <w:t>$</w:t>
            </w:r>
          </w:p>
        </w:tc>
        <w:tc>
          <w:tcPr>
            <w:tcW w:w="880" w:type="dxa"/>
            <w:vAlign w:val="bottom"/>
          </w:tcPr>
          <w:p>
            <w:pPr>
              <w:jc w:val="right"/>
              <w:spacing w:after="0"/>
              <w:rPr>
                <w:sz w:val="20"/>
                <w:szCs w:val="20"/>
                <w:color w:val="auto"/>
              </w:rPr>
            </w:pPr>
            <w:r>
              <w:rPr>
                <w:rFonts w:ascii="Arial" w:cs="Arial" w:eastAsia="Arial" w:hAnsi="Arial"/>
                <w:sz w:val="16"/>
                <w:szCs w:val="16"/>
                <w:color w:val="6D6D6D"/>
              </w:rPr>
              <w:t>2.55</w:t>
            </w:r>
          </w:p>
        </w:tc>
        <w:tc>
          <w:tcPr>
            <w:tcW w:w="340" w:type="dxa"/>
            <w:vAlign w:val="bottom"/>
          </w:tcPr>
          <w:p>
            <w:pPr>
              <w:jc w:val="right"/>
              <w:ind w:right="159"/>
              <w:spacing w:after="0"/>
              <w:rPr>
                <w:sz w:val="20"/>
                <w:szCs w:val="20"/>
                <w:color w:val="auto"/>
              </w:rPr>
            </w:pPr>
            <w:r>
              <w:rPr>
                <w:rFonts w:ascii="Arial" w:cs="Arial" w:eastAsia="Arial" w:hAnsi="Arial"/>
                <w:sz w:val="16"/>
                <w:szCs w:val="16"/>
                <w:color w:val="6D6D6D"/>
                <w:w w:val="89"/>
              </w:rPr>
              <w:t>$</w:t>
            </w: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6D6D6D"/>
              </w:rPr>
              <w:t>3.05</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7.99</w:t>
            </w:r>
          </w:p>
        </w:tc>
        <w:tc>
          <w:tcPr>
            <w:tcW w:w="360" w:type="dxa"/>
            <w:vAlign w:val="bottom"/>
          </w:tcPr>
          <w:p>
            <w:pPr>
              <w:jc w:val="right"/>
              <w:ind w:right="179"/>
              <w:spacing w:after="0"/>
              <w:rPr>
                <w:sz w:val="20"/>
                <w:szCs w:val="20"/>
                <w:color w:val="auto"/>
              </w:rPr>
            </w:pPr>
            <w:r>
              <w:rPr>
                <w:rFonts w:ascii="Arial" w:cs="Arial" w:eastAsia="Arial" w:hAnsi="Arial"/>
                <w:sz w:val="16"/>
                <w:szCs w:val="16"/>
                <w:color w:val="6D6D6D"/>
                <w:w w:val="89"/>
              </w:rPr>
              <w:t>$</w:t>
            </w: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6D6D6D"/>
              </w:rPr>
              <w:t>9.68</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Cash Flow From Operations (CFFO)</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 B</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9.7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22.8</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23.2</w:t>
            </w:r>
          </w:p>
        </w:tc>
      </w:tr>
      <w:tr>
        <w:trPr>
          <w:trHeight w:val="218"/>
        </w:trPr>
        <w:tc>
          <w:tcPr>
            <w:tcW w:w="4000" w:type="dxa"/>
            <w:vAlign w:val="bottom"/>
            <w:tcBorders>
              <w:bottom w:val="single" w:sz="8" w:color="auto"/>
            </w:tcBorders>
          </w:tcPr>
          <w:p>
            <w:pPr>
              <w:ind w:left="20"/>
              <w:spacing w:after="0" w:line="218" w:lineRule="exact"/>
              <w:rPr>
                <w:sz w:val="20"/>
                <w:szCs w:val="20"/>
                <w:color w:val="auto"/>
              </w:rPr>
            </w:pPr>
            <w:r>
              <w:rPr>
                <w:rFonts w:ascii="Arial" w:cs="Arial" w:eastAsia="Arial" w:hAnsi="Arial"/>
                <w:sz w:val="16"/>
                <w:szCs w:val="16"/>
                <w:color w:val="auto"/>
              </w:rPr>
              <w:t xml:space="preserve">CFFO Excluding Working Capital </w:t>
            </w:r>
            <w:r>
              <w:rPr>
                <w:rFonts w:ascii="Arial" w:cs="Arial" w:eastAsia="Arial" w:hAnsi="Arial"/>
                <w:sz w:val="21"/>
                <w:szCs w:val="21"/>
                <w:color w:val="auto"/>
                <w:vertAlign w:val="superscript"/>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B</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8.3</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25.0</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27.4</w:t>
            </w:r>
          </w:p>
        </w:tc>
      </w:tr>
    </w:tbl>
    <w:p>
      <w:pPr>
        <w:ind w:left="200" w:hanging="174"/>
        <w:spacing w:after="0" w:line="212" w:lineRule="auto"/>
        <w:tabs>
          <w:tab w:leader="none" w:pos="20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See non-GAAP reconciliation in attachments</w:t>
      </w:r>
    </w:p>
    <w:p>
      <w:pPr>
        <w:spacing w:after="0" w:line="130" w:lineRule="exact"/>
        <w:rPr>
          <w:sz w:val="20"/>
          <w:szCs w:val="20"/>
          <w:color w:val="auto"/>
        </w:rPr>
      </w:pPr>
    </w:p>
    <w:p>
      <w:pPr>
        <w:jc w:val="both"/>
        <w:ind w:right="20"/>
        <w:spacing w:after="0" w:line="254" w:lineRule="auto"/>
        <w:rPr>
          <w:sz w:val="20"/>
          <w:szCs w:val="20"/>
          <w:color w:val="auto"/>
        </w:rPr>
      </w:pPr>
      <w:r>
        <w:rPr>
          <w:rFonts w:ascii="Arial" w:cs="Arial" w:eastAsia="Arial" w:hAnsi="Arial"/>
          <w:sz w:val="20"/>
          <w:szCs w:val="20"/>
          <w:color w:val="auto"/>
        </w:rPr>
        <w:t>“We delivered strong financial and operational results, started up key projects in the U.S. Gulf of Mexico and returned record cash to shareholders this quarter,” said Mike Wirth, Chevron’s chairman and chief executive officer. Worldwide net oil-equivalent production increased 7 percent from last year as U.S. and Permian Basin production set another quarterly record. Chevron started up key projects in Anchor, Jack/St. Malo and Tahiti fields this quarter. These projects, combined with additional project start-ups through 2025, are expected to grow U.S. Gulf of Mexico production to 300,000 barrels of net oil-equivalent per day by 2026.</w:t>
      </w:r>
    </w:p>
    <w:p>
      <w:pPr>
        <w:spacing w:after="0" w:line="79"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“We are also taking steps to optimize our portfolio and reduce operating costs to deliver superior long-term value to shareholders,” Wirth concluded. The company expects to close asset sales in Canada, Congo and Alaska in fourth quarter 2024, as part of its plan to divest $10-15 billion of</w:t>
      </w:r>
    </w:p>
    <w:p>
      <w:pPr>
        <w:spacing w:after="0" w:line="57" w:lineRule="exact"/>
        <w:rPr>
          <w:sz w:val="20"/>
          <w:szCs w:val="20"/>
          <w:color w:val="auto"/>
        </w:rPr>
      </w:pPr>
    </w:p>
    <w:p>
      <w:pPr>
        <w:jc w:val="both"/>
        <w:ind w:right="40"/>
        <w:spacing w:after="0" w:line="286" w:lineRule="auto"/>
        <w:rPr>
          <w:sz w:val="20"/>
          <w:szCs w:val="20"/>
          <w:color w:val="auto"/>
        </w:rPr>
      </w:pPr>
      <w:r>
        <w:rPr>
          <w:rFonts w:ascii="Arial" w:cs="Arial" w:eastAsia="Arial" w:hAnsi="Arial"/>
          <w:sz w:val="20"/>
          <w:szCs w:val="20"/>
          <w:color w:val="auto"/>
        </w:rPr>
        <w:t>assets by 2028. Additionally, cost reduction efforts are underway, and the company is targeting $2-3 billion of structural cost reductions from 2024 by the end of 2026.</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Financial and Business Highlights</w:t>
      </w:r>
    </w:p>
    <w:p>
      <w:pPr>
        <w:spacing w:after="0" w:line="64"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w w:val="93"/>
              </w:rPr>
              <w:t>YTD</w:t>
            </w:r>
          </w:p>
        </w:tc>
        <w:tc>
          <w:tcPr>
            <w:tcW w:w="920" w:type="dxa"/>
            <w:vAlign w:val="bottom"/>
            <w:tcBorders>
              <w:bottom w:val="single" w:sz="8" w:color="auto"/>
            </w:tcBorders>
          </w:tcPr>
          <w:p>
            <w:pPr>
              <w:spacing w:after="0"/>
              <w:rPr>
                <w:sz w:val="18"/>
                <w:szCs w:val="18"/>
                <w:color w:val="auto"/>
              </w:rPr>
            </w:pPr>
          </w:p>
        </w:tc>
      </w:tr>
      <w:tr>
        <w:trPr>
          <w:trHeight w:val="210"/>
        </w:trPr>
        <w:tc>
          <w:tcPr>
            <w:tcW w:w="34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Unit</w:t>
            </w:r>
          </w:p>
        </w:tc>
        <w:tc>
          <w:tcPr>
            <w:tcW w:w="12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 2024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10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right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r>
      <w:tr>
        <w:trPr>
          <w:trHeight w:val="208"/>
        </w:trPr>
        <w:tc>
          <w:tcPr>
            <w:tcW w:w="3440" w:type="dxa"/>
            <w:vAlign w:val="bottom"/>
          </w:tcPr>
          <w:p>
            <w:pPr>
              <w:ind w:left="20"/>
              <w:spacing w:after="0"/>
              <w:rPr>
                <w:sz w:val="20"/>
                <w:szCs w:val="20"/>
                <w:color w:val="auto"/>
              </w:rPr>
            </w:pPr>
            <w:r>
              <w:rPr>
                <w:rFonts w:ascii="Arial" w:cs="Arial" w:eastAsia="Arial" w:hAnsi="Arial"/>
                <w:sz w:val="16"/>
                <w:szCs w:val="16"/>
                <w:color w:val="auto"/>
              </w:rPr>
              <w:t>Return on Capital Employed (ROCE)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DBDBDB"/>
          </w:tcPr>
          <w:p>
            <w:pPr>
              <w:spacing w:after="0"/>
              <w:rPr>
                <w:sz w:val="18"/>
                <w:szCs w:val="18"/>
                <w:color w:val="auto"/>
              </w:rPr>
            </w:pPr>
          </w:p>
        </w:tc>
        <w:tc>
          <w:tcPr>
            <w:tcW w:w="118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10.1 %</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9.9 %</w:t>
            </w:r>
          </w:p>
        </w:tc>
        <w:tc>
          <w:tcPr>
            <w:tcW w:w="3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14.5 %</w:t>
            </w:r>
          </w:p>
        </w:tc>
        <w:tc>
          <w:tcPr>
            <w:tcW w:w="100" w:type="dxa"/>
            <w:vAlign w:val="bottom"/>
            <w:shd w:val="clear" w:color="auto" w:fill="DBDBDB"/>
          </w:tcPr>
          <w:p>
            <w:pPr>
              <w:spacing w:after="0"/>
              <w:rPr>
                <w:sz w:val="18"/>
                <w:szCs w:val="18"/>
                <w:color w:val="auto"/>
              </w:rPr>
            </w:pPr>
          </w:p>
        </w:tc>
        <w:tc>
          <w:tcPr>
            <w:tcW w:w="1200" w:type="dxa"/>
            <w:vAlign w:val="bottom"/>
            <w:tcBorders>
              <w:right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10.8 %</w:t>
            </w:r>
          </w:p>
        </w:tc>
        <w:tc>
          <w:tcPr>
            <w:tcW w:w="40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14.0 %</w:t>
            </w:r>
          </w:p>
        </w:tc>
      </w:tr>
      <w:tr>
        <w:trPr>
          <w:trHeight w:val="215"/>
        </w:trPr>
        <w:tc>
          <w:tcPr>
            <w:tcW w:w="3440" w:type="dxa"/>
            <w:vAlign w:val="bottom"/>
          </w:tcPr>
          <w:p>
            <w:pPr>
              <w:ind w:left="20"/>
              <w:spacing w:after="0"/>
              <w:rPr>
                <w:sz w:val="20"/>
                <w:szCs w:val="20"/>
                <w:color w:val="auto"/>
              </w:rPr>
            </w:pPr>
            <w:r>
              <w:rPr>
                <w:rFonts w:ascii="Arial" w:cs="Arial" w:eastAsia="Arial" w:hAnsi="Arial"/>
                <w:sz w:val="16"/>
                <w:szCs w:val="16"/>
                <w:color w:val="auto"/>
              </w:rPr>
              <w:t>Capital Expenditures (Capex)</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 B</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w:t>
            </w:r>
          </w:p>
        </w:tc>
        <w:tc>
          <w:tcPr>
            <w:tcW w:w="180" w:type="dxa"/>
            <w:vAlign w:val="bottom"/>
            <w:tcBorders>
              <w:right w:val="single" w:sz="8" w:color="auto"/>
            </w:tcBorders>
            <w:shd w:val="clear" w:color="auto" w:fill="DBDBDB"/>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w:t>
            </w:r>
          </w:p>
        </w:tc>
        <w:tc>
          <w:tcPr>
            <w:tcW w:w="180" w:type="dxa"/>
            <w:vAlign w:val="bottom"/>
            <w:tcBorders>
              <w:right w:val="single" w:sz="8" w:color="auto"/>
            </w:tcBorders>
            <w:shd w:val="clear" w:color="auto" w:fill="DBDBDB"/>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11.5</w:t>
            </w:r>
          </w:p>
        </w:tc>
      </w:tr>
      <w:tr>
        <w:trPr>
          <w:trHeight w:val="216"/>
        </w:trPr>
        <w:tc>
          <w:tcPr>
            <w:tcW w:w="3440" w:type="dxa"/>
            <w:vAlign w:val="bottom"/>
          </w:tcPr>
          <w:p>
            <w:pPr>
              <w:ind w:left="20"/>
              <w:spacing w:after="0"/>
              <w:rPr>
                <w:sz w:val="20"/>
                <w:szCs w:val="20"/>
                <w:color w:val="auto"/>
              </w:rPr>
            </w:pPr>
            <w:r>
              <w:rPr>
                <w:rFonts w:ascii="Arial" w:cs="Arial" w:eastAsia="Arial" w:hAnsi="Arial"/>
                <w:sz w:val="16"/>
                <w:szCs w:val="16"/>
                <w:color w:val="auto"/>
              </w:rPr>
              <w:t>Affiliate Capex</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 B</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0.6</w:t>
            </w:r>
          </w:p>
        </w:tc>
        <w:tc>
          <w:tcPr>
            <w:tcW w:w="180" w:type="dxa"/>
            <w:vAlign w:val="bottom"/>
            <w:tcBorders>
              <w:right w:val="single" w:sz="8" w:color="auto"/>
            </w:tcBorders>
            <w:shd w:val="clear" w:color="auto" w:fill="DBDBDB"/>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0.6</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right w:val="single" w:sz="8" w:color="auto"/>
            </w:tcBorders>
            <w:shd w:val="clear" w:color="auto" w:fill="DBDBDB"/>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2.7</w:t>
            </w:r>
          </w:p>
        </w:tc>
      </w:tr>
      <w:tr>
        <w:trPr>
          <w:trHeight w:val="217"/>
        </w:trPr>
        <w:tc>
          <w:tcPr>
            <w:tcW w:w="3440" w:type="dxa"/>
            <w:vAlign w:val="bottom"/>
          </w:tcPr>
          <w:p>
            <w:pPr>
              <w:ind w:left="20"/>
              <w:spacing w:after="0" w:line="218"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 B</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w:t>
            </w:r>
          </w:p>
        </w:tc>
        <w:tc>
          <w:tcPr>
            <w:tcW w:w="180" w:type="dxa"/>
            <w:vAlign w:val="bottom"/>
            <w:tcBorders>
              <w:right w:val="single" w:sz="8" w:color="auto"/>
            </w:tcBorders>
            <w:shd w:val="clear" w:color="auto" w:fill="DBDBDB"/>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w:t>
            </w:r>
          </w:p>
        </w:tc>
        <w:tc>
          <w:tcPr>
            <w:tcW w:w="180" w:type="dxa"/>
            <w:vAlign w:val="bottom"/>
            <w:tcBorders>
              <w:right w:val="single" w:sz="8" w:color="auto"/>
            </w:tcBorders>
            <w:shd w:val="clear" w:color="auto" w:fill="DBDBDB"/>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11.7</w:t>
            </w:r>
          </w:p>
        </w:tc>
      </w:tr>
      <w:tr>
        <w:trPr>
          <w:trHeight w:val="217"/>
        </w:trPr>
        <w:tc>
          <w:tcPr>
            <w:tcW w:w="344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Free Cash Flow ex. working capital </w:t>
            </w:r>
            <w:r>
              <w:rPr>
                <w:rFonts w:ascii="Arial" w:cs="Arial" w:eastAsia="Arial" w:hAnsi="Arial"/>
                <w:sz w:val="21"/>
                <w:szCs w:val="21"/>
                <w:color w:val="auto"/>
                <w:vertAlign w:val="superscript"/>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 B</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w:t>
            </w:r>
          </w:p>
        </w:tc>
        <w:tc>
          <w:tcPr>
            <w:tcW w:w="180" w:type="dxa"/>
            <w:vAlign w:val="bottom"/>
            <w:tcBorders>
              <w:right w:val="single" w:sz="8" w:color="auto"/>
            </w:tcBorders>
            <w:shd w:val="clear" w:color="auto" w:fill="DBDBDB"/>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4.8</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w:t>
            </w:r>
          </w:p>
        </w:tc>
        <w:tc>
          <w:tcPr>
            <w:tcW w:w="180" w:type="dxa"/>
            <w:vAlign w:val="bottom"/>
            <w:tcBorders>
              <w:right w:val="single" w:sz="8" w:color="auto"/>
            </w:tcBorders>
            <w:shd w:val="clear" w:color="auto" w:fill="DBDBDB"/>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15.9</w:t>
            </w:r>
          </w:p>
        </w:tc>
      </w:tr>
      <w:tr>
        <w:trPr>
          <w:trHeight w:val="215"/>
        </w:trPr>
        <w:tc>
          <w:tcPr>
            <w:tcW w:w="3440" w:type="dxa"/>
            <w:vAlign w:val="bottom"/>
          </w:tcPr>
          <w:p>
            <w:pPr>
              <w:ind w:left="20"/>
              <w:spacing w:after="0"/>
              <w:rPr>
                <w:sz w:val="20"/>
                <w:szCs w:val="20"/>
                <w:color w:val="auto"/>
              </w:rPr>
            </w:pPr>
            <w:r>
              <w:rPr>
                <w:rFonts w:ascii="Arial" w:cs="Arial" w:eastAsia="Arial" w:hAnsi="Arial"/>
                <w:sz w:val="16"/>
                <w:szCs w:val="16"/>
                <w:color w:val="auto"/>
              </w:rPr>
              <w:t>Debt Ratio (end of period)</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w:t>
            </w:r>
          </w:p>
        </w:tc>
        <w:tc>
          <w:tcPr>
            <w:tcW w:w="18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4"/>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12.7 %</w:t>
            </w:r>
          </w:p>
        </w:tc>
        <w:tc>
          <w:tcPr>
            <w:tcW w:w="3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11.1 %</w:t>
            </w: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w:t>
            </w:r>
          </w:p>
        </w:tc>
        <w:tc>
          <w:tcPr>
            <w:tcW w:w="18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4"/>
              </w:rPr>
              <w:t>%</w:t>
            </w:r>
          </w:p>
        </w:tc>
        <w:tc>
          <w:tcPr>
            <w:tcW w:w="40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11.1 %</w:t>
            </w:r>
          </w:p>
        </w:tc>
      </w:tr>
      <w:tr>
        <w:trPr>
          <w:trHeight w:val="217"/>
        </w:trPr>
        <w:tc>
          <w:tcPr>
            <w:tcW w:w="344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Net Debt Ratio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(end of period)</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w:t>
            </w:r>
          </w:p>
        </w:tc>
        <w:tc>
          <w:tcPr>
            <w:tcW w:w="18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4"/>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10.7 %</w:t>
            </w:r>
          </w:p>
        </w:tc>
        <w:tc>
          <w:tcPr>
            <w:tcW w:w="3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w:t>
            </w:r>
          </w:p>
        </w:tc>
        <w:tc>
          <w:tcPr>
            <w:tcW w:w="18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4"/>
              </w:rPr>
              <w:t>%</w:t>
            </w:r>
          </w:p>
        </w:tc>
        <w:tc>
          <w:tcPr>
            <w:tcW w:w="40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8.1 %</w:t>
            </w:r>
          </w:p>
        </w:tc>
      </w:tr>
      <w:tr>
        <w:trPr>
          <w:trHeight w:val="21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Oil-Equivalent Production</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MBOED</w:t>
            </w: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3,364</w:t>
            </w:r>
          </w:p>
        </w:tc>
        <w:tc>
          <w:tcPr>
            <w:tcW w:w="180" w:type="dxa"/>
            <w:vAlign w:val="bottom"/>
            <w:tcBorders>
              <w:bottom w:val="single" w:sz="8" w:color="auto"/>
              <w:right w:val="single" w:sz="8" w:color="auto"/>
            </w:tcBorders>
            <w:shd w:val="clear" w:color="auto" w:fill="DBDBDB"/>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3,292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3,146</w:t>
            </w:r>
          </w:p>
        </w:tc>
        <w:tc>
          <w:tcPr>
            <w:tcW w:w="1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3,334</w:t>
            </w:r>
          </w:p>
        </w:tc>
        <w:tc>
          <w:tcPr>
            <w:tcW w:w="180" w:type="dxa"/>
            <w:vAlign w:val="bottom"/>
            <w:tcBorders>
              <w:bottom w:val="single" w:sz="8" w:color="auto"/>
              <w:right w:val="single" w:sz="8" w:color="auto"/>
            </w:tcBorders>
            <w:shd w:val="clear" w:color="auto" w:fill="DBDBDB"/>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3,028</w:t>
            </w:r>
          </w:p>
        </w:tc>
      </w:tr>
    </w:tbl>
    <w:p>
      <w:pPr>
        <w:ind w:left="360" w:hanging="179"/>
        <w:spacing w:after="0" w:line="212" w:lineRule="auto"/>
        <w:tabs>
          <w:tab w:leader="none" w:pos="36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See non-GAAP reconciliation in attachments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56" w:lineRule="exact"/>
        <w:rPr>
          <w:sz w:val="20"/>
          <w:szCs w:val="20"/>
          <w:color w:val="auto"/>
        </w:rPr>
      </w:pPr>
    </w:p>
    <w:p>
      <w:pPr>
        <w:ind w:left="340" w:right="20" w:hanging="251"/>
        <w:spacing w:after="0" w:line="286" w:lineRule="auto"/>
        <w:tabs>
          <w:tab w:leader="none" w:pos="32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Third quarter 2024 earnings decreased compared to last year primarily due to lower margins on refined product sales, lower realizations and the absence of prior year favorable tax items.</w:t>
      </w:r>
    </w:p>
    <w:p>
      <w:pPr>
        <w:sectPr>
          <w:pgSz w:w="11900" w:h="16838" w:orient="portrait"/>
          <w:cols w:equalWidth="0" w:num="1">
            <w:col w:w="11260"/>
          </w:cols>
          <w:pgMar w:left="320" w:top="1440" w:right="319" w:bottom="0" w:gutter="0" w:footer="0" w:header="0"/>
        </w:sectPr>
      </w:pPr>
    </w:p>
    <w:bookmarkStart w:id="4" w:name="page5"/>
    <w:bookmarkEnd w:id="4"/>
    <w:p>
      <w:pPr>
        <w:ind w:left="340" w:right="40" w:hanging="251"/>
        <w:spacing w:after="0" w:line="267"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Worldwide net oil-equivalent production was up 7 percent from a year ago primarily due to record production in the Permian Basin and the acquisition of PDC Energy, Inc. (PDC).</w:t>
      </w:r>
    </w:p>
    <w:p>
      <w:pPr>
        <w:spacing w:after="0" w:line="1" w:lineRule="exact"/>
        <w:rPr>
          <w:rFonts w:ascii="Arial" w:cs="Arial" w:eastAsia="Arial" w:hAnsi="Arial"/>
          <w:sz w:val="20"/>
          <w:szCs w:val="20"/>
          <w:color w:val="auto"/>
        </w:rPr>
      </w:pPr>
    </w:p>
    <w:p>
      <w:pPr>
        <w:ind w:left="340" w:right="40" w:hanging="251"/>
        <w:spacing w:after="0" w:line="267"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Capex in third quarter 2024 was down from last year largely due to the absence of the third quarter 2023 acquisition of a majority stake in ACES Delta, LLC.</w:t>
      </w:r>
    </w:p>
    <w:p>
      <w:pPr>
        <w:spacing w:after="0" w:line="1" w:lineRule="exact"/>
        <w:rPr>
          <w:rFonts w:ascii="Arial" w:cs="Arial" w:eastAsia="Arial" w:hAnsi="Arial"/>
          <w:sz w:val="20"/>
          <w:szCs w:val="20"/>
          <w:color w:val="auto"/>
        </w:rPr>
      </w:pPr>
    </w:p>
    <w:p>
      <w:pPr>
        <w:ind w:left="340" w:right="20" w:hanging="251"/>
        <w:spacing w:after="0" w:line="267"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Cash flow from operations was in line with the year ago period mainly as lower earnings and a one-time payment for ceased operations were offset by higher dividends from equity affiliates and favorable working capital effects.</w:t>
      </w:r>
    </w:p>
    <w:p>
      <w:pPr>
        <w:spacing w:after="0" w:line="1" w:lineRule="exact"/>
        <w:rPr>
          <w:rFonts w:ascii="Arial" w:cs="Arial" w:eastAsia="Arial" w:hAnsi="Arial"/>
          <w:sz w:val="20"/>
          <w:szCs w:val="20"/>
          <w:color w:val="auto"/>
        </w:rPr>
      </w:pPr>
    </w:p>
    <w:p>
      <w:pPr>
        <w:ind w:left="340" w:right="20" w:hanging="251"/>
        <w:spacing w:after="0" w:line="260"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returned a record $7.7 billion of cash to shareholders during the quarter, including share repurchases of $4.7 billion and dividends of $2.9 billion.</w:t>
      </w:r>
    </w:p>
    <w:p>
      <w:pPr>
        <w:spacing w:after="0" w:line="1" w:lineRule="exact"/>
        <w:rPr>
          <w:rFonts w:ascii="Arial" w:cs="Arial" w:eastAsia="Arial" w:hAnsi="Arial"/>
          <w:sz w:val="20"/>
          <w:szCs w:val="20"/>
          <w:color w:val="auto"/>
        </w:rPr>
      </w:pPr>
    </w:p>
    <w:p>
      <w:pPr>
        <w:jc w:val="both"/>
        <w:ind w:left="340" w:right="20" w:hanging="251"/>
        <w:spacing w:after="0" w:line="269"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company’s Board of Directors declared a quarterly dividend of one dollar and sixty-three cents ($1.63) per share, payable December 10, 2024, to all holders of common stock as shown on the transfer records of the corporation at the close of business on November 18, 2024.</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Highlights and Milestones</w:t>
      </w:r>
    </w:p>
    <w:p>
      <w:pPr>
        <w:spacing w:after="0" w:line="69" w:lineRule="exact"/>
        <w:rPr>
          <w:sz w:val="20"/>
          <w:szCs w:val="20"/>
          <w:color w:val="auto"/>
        </w:rPr>
      </w:pPr>
    </w:p>
    <w:p>
      <w:pPr>
        <w:ind w:left="340" w:right="20" w:hanging="251"/>
        <w:spacing w:after="0" w:line="267"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Started production at the Anchor project in the U.S. Gulf of Mexico, marking successful delivery of an industry-first high-pressure deepwater technology.</w:t>
      </w:r>
    </w:p>
    <w:p>
      <w:pPr>
        <w:spacing w:after="0" w:line="1" w:lineRule="exact"/>
        <w:rPr>
          <w:rFonts w:ascii="Arial" w:cs="Arial" w:eastAsia="Arial" w:hAnsi="Arial"/>
          <w:sz w:val="20"/>
          <w:szCs w:val="20"/>
          <w:color w:val="auto"/>
        </w:rPr>
      </w:pPr>
    </w:p>
    <w:p>
      <w:pPr>
        <w:ind w:left="340" w:right="20" w:hanging="251"/>
        <w:spacing w:after="0" w:line="260"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Began water injection operations to boost production from company operated Jack/St. Malo and Tahiti fields in the U.S. Gulf of Mexico.</w:t>
      </w:r>
    </w:p>
    <w:p>
      <w:pPr>
        <w:spacing w:after="0" w:line="1" w:lineRule="exact"/>
        <w:rPr>
          <w:rFonts w:ascii="Arial" w:cs="Arial" w:eastAsia="Arial" w:hAnsi="Arial"/>
          <w:sz w:val="20"/>
          <w:szCs w:val="20"/>
          <w:color w:val="auto"/>
        </w:rPr>
      </w:pPr>
    </w:p>
    <w:p>
      <w:pPr>
        <w:ind w:left="340" w:right="20" w:hanging="251"/>
        <w:spacing w:after="0" w:line="267"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Achieved start-up of the final pressure boost compressor at the Wellhead Pressure Management Project at the company’s affiliate Tengizchevroil (TCO) in Kazakhstan.</w:t>
      </w:r>
    </w:p>
    <w:p>
      <w:pPr>
        <w:spacing w:after="0" w:line="1" w:lineRule="exact"/>
        <w:rPr>
          <w:rFonts w:ascii="Arial" w:cs="Arial" w:eastAsia="Arial" w:hAnsi="Arial"/>
          <w:sz w:val="20"/>
          <w:szCs w:val="20"/>
          <w:color w:val="auto"/>
        </w:rPr>
      </w:pPr>
    </w:p>
    <w:p>
      <w:pPr>
        <w:ind w:left="320" w:hanging="231"/>
        <w:spacing w:after="0"/>
        <w:tabs>
          <w:tab w:leader="none" w:pos="3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Completed major turnarounds at TCO’s Complex Technology Line (KTL-1) and Gorgon’s Train 2 plants ahead of schedule.</w:t>
      </w:r>
    </w:p>
    <w:p>
      <w:pPr>
        <w:spacing w:after="0" w:line="53" w:lineRule="exact"/>
        <w:rPr>
          <w:rFonts w:ascii="Arial" w:cs="Arial" w:eastAsia="Arial" w:hAnsi="Arial"/>
          <w:sz w:val="20"/>
          <w:szCs w:val="20"/>
          <w:color w:val="auto"/>
        </w:rPr>
      </w:pPr>
    </w:p>
    <w:p>
      <w:pPr>
        <w:ind w:left="340" w:right="40" w:hanging="251"/>
        <w:spacing w:after="0" w:line="260"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Announced a $6.5 billion sale of the company’s interest in the Athabasca Oil Sands Project and Duvernay shale assets in Canada that is expected to close in fourth quarter 2024.</w:t>
      </w:r>
    </w:p>
    <w:p>
      <w:pPr>
        <w:spacing w:after="0" w:line="1" w:lineRule="exact"/>
        <w:rPr>
          <w:rFonts w:ascii="Arial" w:cs="Arial" w:eastAsia="Arial" w:hAnsi="Arial"/>
          <w:sz w:val="20"/>
          <w:szCs w:val="20"/>
          <w:color w:val="auto"/>
        </w:rPr>
      </w:pPr>
    </w:p>
    <w:p>
      <w:pPr>
        <w:ind w:left="340" w:right="20" w:hanging="251"/>
        <w:spacing w:after="0" w:line="267"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Cleared Federal Trade Commission antitrust review of the company’s pending merger with Hess Corporation, satisfying a key closing condition for the transaction.</w:t>
      </w:r>
    </w:p>
    <w:p>
      <w:pPr>
        <w:spacing w:after="0" w:line="1" w:lineRule="exact"/>
        <w:rPr>
          <w:rFonts w:ascii="Arial" w:cs="Arial" w:eastAsia="Arial" w:hAnsi="Arial"/>
          <w:sz w:val="20"/>
          <w:szCs w:val="20"/>
          <w:color w:val="auto"/>
        </w:rPr>
      </w:pPr>
    </w:p>
    <w:p>
      <w:pPr>
        <w:ind w:left="340" w:right="40" w:hanging="251"/>
        <w:spacing w:after="0" w:line="267"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Realized approximately 30 percent greater-than-projected capital expenditure and cost synergies since acquiring PDC. These assets, along with our other assets in Colorado, are among the lowest carbon intensity in the industry.</w:t>
      </w:r>
    </w:p>
    <w:p>
      <w:pPr>
        <w:spacing w:after="0" w:line="1" w:lineRule="exact"/>
        <w:rPr>
          <w:rFonts w:ascii="Arial" w:cs="Arial" w:eastAsia="Arial" w:hAnsi="Arial"/>
          <w:sz w:val="20"/>
          <w:szCs w:val="20"/>
          <w:color w:val="auto"/>
        </w:rPr>
      </w:pPr>
    </w:p>
    <w:p>
      <w:pPr>
        <w:ind w:left="320" w:hanging="231"/>
        <w:spacing w:after="0"/>
        <w:tabs>
          <w:tab w:leader="none" w:pos="3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Successfully extended the Meji field offshore Nigeria with a near-field discovery.</w:t>
      </w:r>
    </w:p>
    <w:p>
      <w:pPr>
        <w:spacing w:after="0" w:line="39" w:lineRule="exact"/>
        <w:rPr>
          <w:rFonts w:ascii="Times New Roman" w:cs="Times New Roman" w:eastAsia="Times New Roman" w:hAnsi="Times New Roman"/>
          <w:sz w:val="20"/>
          <w:szCs w:val="20"/>
          <w:color w:val="auto"/>
        </w:rPr>
      </w:pPr>
    </w:p>
    <w:p>
      <w:pPr>
        <w:ind w:left="340" w:right="20" w:hanging="251"/>
        <w:spacing w:after="0" w:line="267"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Announced the establishment of an engineering and innovation center in India to provide technical and digital solutions for the enterprise.</w:t>
      </w:r>
    </w:p>
    <w:p>
      <w:pPr>
        <w:spacing w:after="0" w:line="1" w:lineRule="exact"/>
        <w:rPr>
          <w:rFonts w:ascii="Arial" w:cs="Arial" w:eastAsia="Arial" w:hAnsi="Arial"/>
          <w:sz w:val="20"/>
          <w:szCs w:val="20"/>
          <w:color w:val="auto"/>
        </w:rPr>
      </w:pPr>
    </w:p>
    <w:p>
      <w:pPr>
        <w:ind w:left="340" w:right="20" w:hanging="251"/>
        <w:spacing w:after="0" w:line="211"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Received an offshore Australia greenhouse gas assessment permit, covering an area of approximately 8,467 km</w:t>
      </w:r>
      <w:r>
        <w:rPr>
          <w:rFonts w:ascii="Arial" w:cs="Arial" w:eastAsia="Arial" w:hAnsi="Arial"/>
          <w:sz w:val="25"/>
          <w:szCs w:val="25"/>
          <w:color w:val="auto"/>
          <w:vertAlign w:val="superscript"/>
        </w:rPr>
        <w:t>2</w:t>
      </w:r>
      <w:r>
        <w:rPr>
          <w:rFonts w:ascii="Arial" w:cs="Arial" w:eastAsia="Arial" w:hAnsi="Arial"/>
          <w:sz w:val="20"/>
          <w:szCs w:val="20"/>
          <w:color w:val="auto"/>
        </w:rPr>
        <w:t>, to assess future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storage.</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Segment Highlights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Upstream</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U.S. Upstream</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6"/>
                <w:szCs w:val="16"/>
                <w:b w:val="1"/>
                <w:bCs w:val="1"/>
                <w:color w:val="auto"/>
              </w:rPr>
              <w:t>YTD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Unit</w:t>
            </w:r>
          </w:p>
        </w:tc>
        <w:tc>
          <w:tcPr>
            <w:tcW w:w="10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 2024</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12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0" w:type="dxa"/>
            <w:vAlign w:val="bottom"/>
          </w:tcPr>
          <w:p>
            <w:pPr>
              <w:spacing w:after="0"/>
              <w:rPr>
                <w:sz w:val="1"/>
                <w:szCs w:val="1"/>
                <w:color w:val="auto"/>
              </w:rPr>
            </w:pPr>
          </w:p>
        </w:tc>
      </w:tr>
      <w:tr>
        <w:trPr>
          <w:trHeight w:val="208"/>
        </w:trPr>
        <w:tc>
          <w:tcPr>
            <w:tcW w:w="3540" w:type="dxa"/>
            <w:vAlign w:val="bottom"/>
          </w:tcPr>
          <w:p>
            <w:pPr>
              <w:ind w:left="20"/>
              <w:spacing w:after="0"/>
              <w:rPr>
                <w:sz w:val="20"/>
                <w:szCs w:val="20"/>
                <w:color w:val="auto"/>
              </w:rPr>
            </w:pPr>
            <w:r>
              <w:rPr>
                <w:rFonts w:ascii="Arial" w:cs="Arial" w:eastAsia="Arial" w:hAnsi="Arial"/>
                <w:sz w:val="16"/>
                <w:szCs w:val="16"/>
                <w:color w:val="auto"/>
              </w:rPr>
              <w:t>Earnings / (Loss)</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 MM</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1,946</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2,161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2,074</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6,182</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5,495</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Net Oil-Equivalent Production</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MBOED</w:t>
            </w:r>
          </w:p>
        </w:tc>
        <w:tc>
          <w:tcPr>
            <w:tcW w:w="100" w:type="dxa"/>
            <w:vAlign w:val="bottom"/>
            <w:shd w:val="clear" w:color="auto" w:fill="DBDBDB"/>
          </w:tcPr>
          <w:p>
            <w:pPr>
              <w:spacing w:after="0"/>
              <w:rPr>
                <w:sz w:val="18"/>
                <w:szCs w:val="18"/>
                <w:color w:val="auto"/>
              </w:rPr>
            </w:pPr>
          </w:p>
        </w:tc>
        <w:tc>
          <w:tcPr>
            <w:tcW w:w="12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1,572</w:t>
            </w:r>
          </w:p>
        </w:tc>
        <w:tc>
          <w:tcPr>
            <w:tcW w:w="4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1,584</w:t>
            </w:r>
          </w:p>
        </w:tc>
        <w:tc>
          <w:tcPr>
            <w:tcW w:w="340" w:type="dxa"/>
            <w:vAlign w:val="bottom"/>
          </w:tcPr>
          <w:p>
            <w:pPr>
              <w:spacing w:after="0"/>
              <w:rPr>
                <w:sz w:val="18"/>
                <w:szCs w:val="18"/>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6"/>
                <w:szCs w:val="16"/>
                <w:i w:val="1"/>
                <w:iCs w:val="1"/>
                <w:color w:val="6D6D6D"/>
              </w:rPr>
              <w:t>Liquids Production</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i w:val="1"/>
                <w:iCs w:val="1"/>
                <w:color w:val="6D6D6D"/>
              </w:rPr>
              <w:t>MBD</w:t>
            </w:r>
          </w:p>
        </w:tc>
        <w:tc>
          <w:tcPr>
            <w:tcW w:w="100" w:type="dxa"/>
            <w:vAlign w:val="bottom"/>
            <w:shd w:val="clear" w:color="auto" w:fill="DBDBDB"/>
          </w:tcPr>
          <w:p>
            <w:pPr>
              <w:spacing w:after="0"/>
              <w:rPr>
                <w:sz w:val="18"/>
                <w:szCs w:val="18"/>
                <w:color w:val="auto"/>
              </w:rPr>
            </w:pPr>
          </w:p>
        </w:tc>
        <w:tc>
          <w:tcPr>
            <w:tcW w:w="12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i w:val="1"/>
                <w:iCs w:val="1"/>
                <w:color w:val="auto"/>
              </w:rPr>
              <w:t>1,156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6D6D6D"/>
              </w:rPr>
              <w:t>1,132</w:t>
            </w:r>
          </w:p>
        </w:tc>
        <w:tc>
          <w:tcPr>
            <w:tcW w:w="4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6D6D6D"/>
              </w:rPr>
              <w:t>1,028</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i w:val="1"/>
                <w:iCs w:val="1"/>
                <w:color w:val="auto"/>
              </w:rPr>
              <w:t>1,139</w:t>
            </w:r>
          </w:p>
        </w:tc>
        <w:tc>
          <w:tcPr>
            <w:tcW w:w="340" w:type="dxa"/>
            <w:vAlign w:val="bottom"/>
          </w:tcPr>
          <w:p>
            <w:pPr>
              <w:spacing w:after="0"/>
              <w:rPr>
                <w:sz w:val="18"/>
                <w:szCs w:val="18"/>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i w:val="1"/>
                <w:iCs w:val="1"/>
                <w:color w:val="6D6D6D"/>
              </w:rPr>
              <w:t>941</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6"/>
                <w:szCs w:val="16"/>
                <w:i w:val="1"/>
                <w:iCs w:val="1"/>
                <w:color w:val="6D6D6D"/>
              </w:rPr>
              <w:t>Natural Gas Production</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i w:val="1"/>
                <w:iCs w:val="1"/>
                <w:color w:val="6D6D6D"/>
              </w:rPr>
              <w:t>MMCFD</w:t>
            </w:r>
          </w:p>
        </w:tc>
        <w:tc>
          <w:tcPr>
            <w:tcW w:w="100" w:type="dxa"/>
            <w:vAlign w:val="bottom"/>
            <w:shd w:val="clear" w:color="auto" w:fill="DBDBDB"/>
          </w:tcPr>
          <w:p>
            <w:pPr>
              <w:spacing w:after="0"/>
              <w:rPr>
                <w:sz w:val="18"/>
                <w:szCs w:val="18"/>
                <w:color w:val="auto"/>
              </w:rPr>
            </w:pPr>
          </w:p>
        </w:tc>
        <w:tc>
          <w:tcPr>
            <w:tcW w:w="12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i w:val="1"/>
                <w:iCs w:val="1"/>
                <w:color w:val="auto"/>
              </w:rPr>
              <w:t>2,694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6D6D6D"/>
              </w:rPr>
              <w:t>2,643</w:t>
            </w:r>
          </w:p>
        </w:tc>
        <w:tc>
          <w:tcPr>
            <w:tcW w:w="4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i w:val="1"/>
                <w:iCs w:val="1"/>
                <w:color w:val="6D6D6D"/>
              </w:rPr>
              <w:t>2,275</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i w:val="1"/>
                <w:iCs w:val="1"/>
                <w:color w:val="auto"/>
              </w:rPr>
              <w:t>2,665</w:t>
            </w:r>
          </w:p>
        </w:tc>
        <w:tc>
          <w:tcPr>
            <w:tcW w:w="340" w:type="dxa"/>
            <w:vAlign w:val="bottom"/>
          </w:tcPr>
          <w:p>
            <w:pPr>
              <w:spacing w:after="0"/>
              <w:rPr>
                <w:sz w:val="18"/>
                <w:szCs w:val="18"/>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i w:val="1"/>
                <w:iCs w:val="1"/>
                <w:color w:val="6D6D6D"/>
              </w:rPr>
              <w:t>1,947</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Liquids Realization</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$/BBL</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54.86</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59.85</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62.42</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57.33</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59.40</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Natural Gas Realization</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$/MCF</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0.55</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0.76</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0.85</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660" w:right="20" w:hanging="328"/>
        <w:spacing w:after="0" w:line="262"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U.S. upstream earnings were slightly lower than the year-ago period as lower realizations and higher depreciation, depletion and amortization, mainly from higher production, were nearly offset by higher sales volumes and lower operating expenses.</w:t>
      </w:r>
    </w:p>
    <w:p>
      <w:pPr>
        <w:spacing w:after="0" w:line="70" w:lineRule="exact"/>
        <w:rPr>
          <w:rFonts w:ascii="Arial" w:cs="Arial" w:eastAsia="Arial" w:hAnsi="Arial"/>
          <w:sz w:val="20"/>
          <w:szCs w:val="20"/>
          <w:color w:val="auto"/>
        </w:rPr>
      </w:pPr>
    </w:p>
    <w:p>
      <w:pPr>
        <w:jc w:val="both"/>
        <w:ind w:left="660" w:right="20" w:hanging="328"/>
        <w:spacing w:after="0" w:line="262"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U.S. net oil-equivalent production was up 198,000 barrels per day from a year earlier and set a new quarterly record, primarily due to record high production in the Permian Basin and the acquisition of PDC, partly offset by hurricane impacts in the U.S. Gulf of Mexico that reduced production by 17,000 barrels per day.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International Upstream</w:t>
            </w: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16"/>
                <w:szCs w:val="16"/>
                <w:b w:val="1"/>
                <w:bCs w:val="1"/>
                <w:color w:val="auto"/>
              </w:rPr>
              <w:t>YTD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Unit</w:t>
            </w:r>
          </w:p>
        </w:tc>
        <w:tc>
          <w:tcPr>
            <w:tcW w:w="12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 2024</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12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Earnings / (Loss) </w:t>
            </w:r>
            <w:r>
              <w:rPr>
                <w:rFonts w:ascii="Arial" w:cs="Arial" w:eastAsia="Arial" w:hAnsi="Arial"/>
                <w:sz w:val="21"/>
                <w:szCs w:val="21"/>
                <w:color w:val="auto"/>
                <w:vertAlign w:val="superscript"/>
              </w:rPr>
              <w:t>(1)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 MM</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color w:val="auto"/>
              </w:rPr>
              <w:t>2,643</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2,309</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3,681</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color w:val="auto"/>
              </w:rPr>
              <w:t>8,116</w:t>
            </w:r>
          </w:p>
        </w:tc>
        <w:tc>
          <w:tcPr>
            <w:tcW w:w="380" w:type="dxa"/>
            <w:vAlign w:val="bottom"/>
          </w:tcPr>
          <w:p>
            <w:pPr>
              <w:jc w:val="right"/>
              <w:ind w:right="206"/>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10,357</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6"/>
                <w:szCs w:val="16"/>
                <w:color w:val="auto"/>
              </w:rPr>
              <w:t>Net Oil-Equivalent Production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MBOED</w:t>
            </w:r>
          </w:p>
        </w:tc>
        <w:tc>
          <w:tcPr>
            <w:tcW w:w="120" w:type="dxa"/>
            <w:vAlign w:val="bottom"/>
            <w:shd w:val="clear" w:color="auto" w:fill="DBDBDB"/>
          </w:tcPr>
          <w:p>
            <w:pPr>
              <w:spacing w:after="0"/>
              <w:rPr>
                <w:sz w:val="18"/>
                <w:szCs w:val="18"/>
                <w:color w:val="auto"/>
              </w:rPr>
            </w:pPr>
          </w:p>
        </w:tc>
        <w:tc>
          <w:tcPr>
            <w:tcW w:w="1200" w:type="dxa"/>
            <w:vAlign w:val="bottom"/>
            <w:tcBorders>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color w:val="auto"/>
              </w:rPr>
              <w:t>1,759</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1,720</w:t>
            </w:r>
          </w:p>
        </w:tc>
        <w:tc>
          <w:tcPr>
            <w:tcW w:w="380" w:type="dxa"/>
            <w:vAlign w:val="bottom"/>
          </w:tcPr>
          <w:p>
            <w:pPr>
              <w:spacing w:after="0"/>
              <w:rPr>
                <w:sz w:val="18"/>
                <w:szCs w:val="18"/>
                <w:color w:val="auto"/>
              </w:rPr>
            </w:pPr>
          </w:p>
        </w:tc>
        <w:tc>
          <w:tcPr>
            <w:tcW w:w="9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1,739</w:t>
            </w:r>
          </w:p>
        </w:tc>
        <w:tc>
          <w:tcPr>
            <w:tcW w:w="120" w:type="dxa"/>
            <w:vAlign w:val="bottom"/>
            <w:shd w:val="clear" w:color="auto" w:fill="DBDBDB"/>
          </w:tcPr>
          <w:p>
            <w:pPr>
              <w:spacing w:after="0"/>
              <w:rPr>
                <w:sz w:val="18"/>
                <w:szCs w:val="18"/>
                <w:color w:val="auto"/>
              </w:rPr>
            </w:pPr>
          </w:p>
        </w:tc>
        <w:tc>
          <w:tcPr>
            <w:tcW w:w="1200" w:type="dxa"/>
            <w:vAlign w:val="bottom"/>
            <w:tcBorders>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color w:val="auto"/>
              </w:rPr>
              <w:t>1,750</w:t>
            </w:r>
          </w:p>
        </w:tc>
        <w:tc>
          <w:tcPr>
            <w:tcW w:w="380" w:type="dxa"/>
            <w:vAlign w:val="bottom"/>
          </w:tcPr>
          <w:p>
            <w:pPr>
              <w:spacing w:after="0"/>
              <w:rPr>
                <w:sz w:val="18"/>
                <w:szCs w:val="18"/>
                <w:color w:val="auto"/>
              </w:rPr>
            </w:pPr>
          </w:p>
        </w:tc>
        <w:tc>
          <w:tcPr>
            <w:tcW w:w="92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15"/>
        </w:trPr>
        <w:tc>
          <w:tcPr>
            <w:tcW w:w="3460" w:type="dxa"/>
            <w:vAlign w:val="bottom"/>
          </w:tcPr>
          <w:p>
            <w:pPr>
              <w:ind w:left="260"/>
              <w:spacing w:after="0"/>
              <w:rPr>
                <w:sz w:val="20"/>
                <w:szCs w:val="20"/>
                <w:color w:val="auto"/>
              </w:rPr>
            </w:pPr>
            <w:r>
              <w:rPr>
                <w:rFonts w:ascii="Arial" w:cs="Arial" w:eastAsia="Arial" w:hAnsi="Arial"/>
                <w:sz w:val="16"/>
                <w:szCs w:val="16"/>
                <w:i w:val="1"/>
                <w:iCs w:val="1"/>
                <w:color w:val="6D6D6D"/>
              </w:rPr>
              <w:t>Liquids Production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i w:val="1"/>
                <w:iCs w:val="1"/>
                <w:color w:val="6D6D6D"/>
              </w:rPr>
              <w:t>MBD</w:t>
            </w:r>
          </w:p>
        </w:tc>
        <w:tc>
          <w:tcPr>
            <w:tcW w:w="120" w:type="dxa"/>
            <w:vAlign w:val="bottom"/>
            <w:shd w:val="clear" w:color="auto" w:fill="DBDBDB"/>
          </w:tcPr>
          <w:p>
            <w:pPr>
              <w:spacing w:after="0"/>
              <w:rPr>
                <w:sz w:val="18"/>
                <w:szCs w:val="18"/>
                <w:color w:val="auto"/>
              </w:rPr>
            </w:pPr>
          </w:p>
        </w:tc>
        <w:tc>
          <w:tcPr>
            <w:tcW w:w="1200" w:type="dxa"/>
            <w:vAlign w:val="bottom"/>
            <w:tcBorders>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i w:val="1"/>
                <w:iCs w:val="1"/>
                <w:color w:val="auto"/>
              </w:rPr>
              <w:t>834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6D6D6D"/>
              </w:rPr>
              <w:t>823</w:t>
            </w:r>
          </w:p>
        </w:tc>
        <w:tc>
          <w:tcPr>
            <w:tcW w:w="380" w:type="dxa"/>
            <w:vAlign w:val="bottom"/>
          </w:tcPr>
          <w:p>
            <w:pPr>
              <w:spacing w:after="0"/>
              <w:rPr>
                <w:sz w:val="18"/>
                <w:szCs w:val="18"/>
                <w:color w:val="auto"/>
              </w:rPr>
            </w:pPr>
          </w:p>
        </w:tc>
        <w:tc>
          <w:tcPr>
            <w:tcW w:w="9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i w:val="1"/>
                <w:iCs w:val="1"/>
                <w:color w:val="6D6D6D"/>
              </w:rPr>
              <w:t>803</w:t>
            </w:r>
          </w:p>
        </w:tc>
        <w:tc>
          <w:tcPr>
            <w:tcW w:w="120" w:type="dxa"/>
            <w:vAlign w:val="bottom"/>
            <w:shd w:val="clear" w:color="auto" w:fill="DBDBDB"/>
          </w:tcPr>
          <w:p>
            <w:pPr>
              <w:spacing w:after="0"/>
              <w:rPr>
                <w:sz w:val="18"/>
                <w:szCs w:val="18"/>
                <w:color w:val="auto"/>
              </w:rPr>
            </w:pPr>
          </w:p>
        </w:tc>
        <w:tc>
          <w:tcPr>
            <w:tcW w:w="1200" w:type="dxa"/>
            <w:vAlign w:val="bottom"/>
            <w:tcBorders>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i w:val="1"/>
                <w:iCs w:val="1"/>
                <w:color w:val="auto"/>
              </w:rPr>
              <w:t>832</w:t>
            </w:r>
          </w:p>
        </w:tc>
        <w:tc>
          <w:tcPr>
            <w:tcW w:w="380" w:type="dxa"/>
            <w:vAlign w:val="bottom"/>
          </w:tcPr>
          <w:p>
            <w:pPr>
              <w:spacing w:after="0"/>
              <w:rPr>
                <w:sz w:val="18"/>
                <w:szCs w:val="18"/>
                <w:color w:val="auto"/>
              </w:rPr>
            </w:pPr>
          </w:p>
        </w:tc>
        <w:tc>
          <w:tcPr>
            <w:tcW w:w="92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i w:val="1"/>
                <w:iCs w:val="1"/>
                <w:color w:val="6D6D6D"/>
              </w:rPr>
              <w:t>826</w:t>
            </w:r>
          </w:p>
        </w:tc>
        <w:tc>
          <w:tcPr>
            <w:tcW w:w="0" w:type="dxa"/>
            <w:vAlign w:val="bottom"/>
          </w:tcPr>
          <w:p>
            <w:pPr>
              <w:spacing w:after="0"/>
              <w:rPr>
                <w:sz w:val="1"/>
                <w:szCs w:val="1"/>
                <w:color w:val="auto"/>
              </w:rPr>
            </w:pPr>
          </w:p>
        </w:tc>
      </w:tr>
      <w:tr>
        <w:trPr>
          <w:trHeight w:val="216"/>
        </w:trPr>
        <w:tc>
          <w:tcPr>
            <w:tcW w:w="3460" w:type="dxa"/>
            <w:vAlign w:val="bottom"/>
          </w:tcPr>
          <w:p>
            <w:pPr>
              <w:ind w:left="260"/>
              <w:spacing w:after="0"/>
              <w:rPr>
                <w:sz w:val="20"/>
                <w:szCs w:val="20"/>
                <w:color w:val="auto"/>
              </w:rPr>
            </w:pPr>
            <w:r>
              <w:rPr>
                <w:rFonts w:ascii="Arial" w:cs="Arial" w:eastAsia="Arial" w:hAnsi="Arial"/>
                <w:sz w:val="16"/>
                <w:szCs w:val="16"/>
                <w:i w:val="1"/>
                <w:iCs w:val="1"/>
                <w:color w:val="6D6D6D"/>
              </w:rPr>
              <w:t>Natural Gas Production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i w:val="1"/>
                <w:iCs w:val="1"/>
                <w:color w:val="6D6D6D"/>
              </w:rPr>
              <w:t>MMCFD</w:t>
            </w:r>
          </w:p>
        </w:tc>
        <w:tc>
          <w:tcPr>
            <w:tcW w:w="120" w:type="dxa"/>
            <w:vAlign w:val="bottom"/>
            <w:shd w:val="clear" w:color="auto" w:fill="DBDBDB"/>
          </w:tcPr>
          <w:p>
            <w:pPr>
              <w:spacing w:after="0"/>
              <w:rPr>
                <w:sz w:val="18"/>
                <w:szCs w:val="18"/>
                <w:color w:val="auto"/>
              </w:rPr>
            </w:pPr>
          </w:p>
        </w:tc>
        <w:tc>
          <w:tcPr>
            <w:tcW w:w="1200" w:type="dxa"/>
            <w:vAlign w:val="bottom"/>
            <w:tcBorders>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i w:val="1"/>
                <w:iCs w:val="1"/>
                <w:color w:val="auto"/>
              </w:rPr>
              <w:t>5,550</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6D6D6D"/>
              </w:rPr>
              <w:t>5,378</w:t>
            </w:r>
          </w:p>
        </w:tc>
        <w:tc>
          <w:tcPr>
            <w:tcW w:w="380" w:type="dxa"/>
            <w:vAlign w:val="bottom"/>
          </w:tcPr>
          <w:p>
            <w:pPr>
              <w:spacing w:after="0"/>
              <w:rPr>
                <w:sz w:val="18"/>
                <w:szCs w:val="18"/>
                <w:color w:val="auto"/>
              </w:rPr>
            </w:pPr>
          </w:p>
        </w:tc>
        <w:tc>
          <w:tcPr>
            <w:tcW w:w="9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i w:val="1"/>
                <w:iCs w:val="1"/>
                <w:color w:val="6D6D6D"/>
              </w:rPr>
              <w:t>5,616</w:t>
            </w:r>
          </w:p>
        </w:tc>
        <w:tc>
          <w:tcPr>
            <w:tcW w:w="120" w:type="dxa"/>
            <w:vAlign w:val="bottom"/>
            <w:shd w:val="clear" w:color="auto" w:fill="DBDBDB"/>
          </w:tcPr>
          <w:p>
            <w:pPr>
              <w:spacing w:after="0"/>
              <w:rPr>
                <w:sz w:val="18"/>
                <w:szCs w:val="18"/>
                <w:color w:val="auto"/>
              </w:rPr>
            </w:pPr>
          </w:p>
        </w:tc>
        <w:tc>
          <w:tcPr>
            <w:tcW w:w="1200" w:type="dxa"/>
            <w:vAlign w:val="bottom"/>
            <w:tcBorders>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i w:val="1"/>
                <w:iCs w:val="1"/>
                <w:color w:val="auto"/>
              </w:rPr>
              <w:t>5,513</w:t>
            </w:r>
          </w:p>
        </w:tc>
        <w:tc>
          <w:tcPr>
            <w:tcW w:w="380" w:type="dxa"/>
            <w:vAlign w:val="bottom"/>
          </w:tcPr>
          <w:p>
            <w:pPr>
              <w:spacing w:after="0"/>
              <w:rPr>
                <w:sz w:val="18"/>
                <w:szCs w:val="18"/>
                <w:color w:val="auto"/>
              </w:rPr>
            </w:pPr>
          </w:p>
        </w:tc>
        <w:tc>
          <w:tcPr>
            <w:tcW w:w="92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i w:val="1"/>
                <w:iCs w:val="1"/>
                <w:color w:val="6D6D6D"/>
              </w:rPr>
              <w:t>5,621</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6"/>
                <w:szCs w:val="16"/>
                <w:color w:val="auto"/>
              </w:rPr>
              <w:t>Liquids Realization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$/BBL</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color w:val="auto"/>
              </w:rPr>
              <w:t>70.59</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74.92</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75.64</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color w:val="auto"/>
              </w:rPr>
              <w:t>72.70</w:t>
            </w:r>
          </w:p>
        </w:tc>
        <w:tc>
          <w:tcPr>
            <w:tcW w:w="380" w:type="dxa"/>
            <w:vAlign w:val="bottom"/>
          </w:tcPr>
          <w:p>
            <w:pPr>
              <w:jc w:val="right"/>
              <w:ind w:right="206"/>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70.78</w:t>
            </w:r>
          </w:p>
        </w:tc>
        <w:tc>
          <w:tcPr>
            <w:tcW w:w="0" w:type="dxa"/>
            <w:vAlign w:val="bottom"/>
          </w:tcPr>
          <w:p>
            <w:pPr>
              <w:spacing w:after="0"/>
              <w:rPr>
                <w:sz w:val="1"/>
                <w:szCs w:val="1"/>
                <w:color w:val="auto"/>
              </w:rPr>
            </w:pPr>
          </w:p>
        </w:tc>
      </w:tr>
      <w:tr>
        <w:trPr>
          <w:trHeight w:val="217"/>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Natural Gas Realization</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$/MCF</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color w:val="auto"/>
              </w:rPr>
              <w:t>7.46</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right w:val="single" w:sz="8" w:color="auto"/>
            </w:tcBorders>
            <w:shd w:val="clear" w:color="auto" w:fill="DBDBDB"/>
          </w:tcPr>
          <w:p>
            <w:pPr>
              <w:jc w:val="right"/>
              <w:ind w:right="20"/>
              <w:spacing w:after="0"/>
              <w:rPr>
                <w:sz w:val="20"/>
                <w:szCs w:val="20"/>
                <w:color w:val="auto"/>
              </w:rPr>
            </w:pPr>
            <w:r>
              <w:rPr>
                <w:rFonts w:ascii="Arial" w:cs="Arial" w:eastAsia="Arial" w:hAnsi="Arial"/>
                <w:sz w:val="16"/>
                <w:szCs w:val="16"/>
                <w:color w:val="auto"/>
              </w:rPr>
              <w:t>7.20</w:t>
            </w:r>
          </w:p>
        </w:tc>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46"/>
        </w:trPr>
        <w:tc>
          <w:tcPr>
            <w:tcW w:w="3460" w:type="dxa"/>
            <w:vAlign w:val="bottom"/>
          </w:tcPr>
          <w:p>
            <w:pPr>
              <w:ind w:left="20"/>
              <w:spacing w:after="0"/>
              <w:rPr>
                <w:sz w:val="20"/>
                <w:szCs w:val="20"/>
                <w:color w:val="auto"/>
              </w:rPr>
            </w:pPr>
            <w:r>
              <w:rPr>
                <w:rFonts w:ascii="Arial" w:cs="Arial" w:eastAsia="Arial" w:hAnsi="Arial"/>
                <w:sz w:val="18"/>
                <w:szCs w:val="18"/>
                <w:i w:val="1"/>
                <w:iCs w:val="1"/>
                <w:color w:val="6D6D6D"/>
                <w:vertAlign w:val="superscript"/>
              </w:rPr>
              <w:t>(1)</w:t>
            </w:r>
            <w:r>
              <w:rPr>
                <w:rFonts w:ascii="Arial" w:cs="Arial" w:eastAsia="Arial" w:hAnsi="Arial"/>
                <w:sz w:val="14"/>
                <w:szCs w:val="14"/>
                <w:i w:val="1"/>
                <w:iCs w:val="1"/>
                <w:color w:val="6D6D6D"/>
              </w:rPr>
              <w:t xml:space="preserve"> Includes foreign currency effects</w:t>
            </w:r>
          </w:p>
        </w:tc>
        <w:tc>
          <w:tcPr>
            <w:tcW w:w="1260" w:type="dxa"/>
            <w:vAlign w:val="bottom"/>
          </w:tcPr>
          <w:p>
            <w:pPr>
              <w:jc w:val="center"/>
              <w:spacing w:after="0"/>
              <w:rPr>
                <w:sz w:val="20"/>
                <w:szCs w:val="20"/>
                <w:color w:val="auto"/>
              </w:rPr>
            </w:pPr>
            <w:r>
              <w:rPr>
                <w:rFonts w:ascii="Arial" w:cs="Arial" w:eastAsia="Arial" w:hAnsi="Arial"/>
                <w:sz w:val="14"/>
                <w:szCs w:val="14"/>
                <w:i w:val="1"/>
                <w:iCs w:val="1"/>
                <w:color w:val="6D6D6D"/>
              </w:rPr>
              <w:t>$ MM</w:t>
            </w:r>
          </w:p>
        </w:tc>
        <w:tc>
          <w:tcPr>
            <w:tcW w:w="120" w:type="dxa"/>
            <w:vAlign w:val="bottom"/>
          </w:tcPr>
          <w:p>
            <w:pPr>
              <w:jc w:val="right"/>
              <w:spacing w:after="0"/>
              <w:rPr>
                <w:sz w:val="20"/>
                <w:szCs w:val="20"/>
                <w:color w:val="auto"/>
              </w:rPr>
            </w:pPr>
            <w:r>
              <w:rPr>
                <w:rFonts w:ascii="Arial" w:cs="Arial" w:eastAsia="Arial" w:hAnsi="Arial"/>
                <w:sz w:val="14"/>
                <w:szCs w:val="14"/>
                <w:i w:val="1"/>
                <w:iCs w:val="1"/>
                <w:color w:val="6D6D6D"/>
                <w:w w:val="76"/>
              </w:rPr>
              <w:t>$</w:t>
            </w:r>
          </w:p>
        </w:tc>
        <w:tc>
          <w:tcPr>
            <w:tcW w:w="1200" w:type="dxa"/>
            <w:vAlign w:val="bottom"/>
          </w:tcPr>
          <w:p>
            <w:pPr>
              <w:jc w:val="right"/>
              <w:ind w:right="20"/>
              <w:spacing w:after="0"/>
              <w:rPr>
                <w:sz w:val="20"/>
                <w:szCs w:val="20"/>
                <w:color w:val="auto"/>
              </w:rPr>
            </w:pPr>
            <w:r>
              <w:rPr>
                <w:rFonts w:ascii="Arial" w:cs="Arial" w:eastAsia="Arial" w:hAnsi="Arial"/>
                <w:sz w:val="14"/>
                <w:szCs w:val="14"/>
                <w:i w:val="1"/>
                <w:iCs w:val="1"/>
                <w:color w:val="6D6D6D"/>
              </w:rPr>
              <w:t>13</w:t>
            </w:r>
          </w:p>
        </w:tc>
        <w:tc>
          <w:tcPr>
            <w:tcW w:w="380" w:type="dxa"/>
            <w:vAlign w:val="bottom"/>
          </w:tcPr>
          <w:p>
            <w:pPr>
              <w:jc w:val="right"/>
              <w:ind w:right="221"/>
              <w:spacing w:after="0"/>
              <w:rPr>
                <w:sz w:val="20"/>
                <w:szCs w:val="20"/>
                <w:color w:val="auto"/>
              </w:rPr>
            </w:pPr>
            <w:r>
              <w:rPr>
                <w:rFonts w:ascii="Arial" w:cs="Arial" w:eastAsia="Arial" w:hAnsi="Arial"/>
                <w:sz w:val="14"/>
                <w:szCs w:val="14"/>
                <w:i w:val="1"/>
                <w:iCs w:val="1"/>
                <w:color w:val="6D6D6D"/>
                <w:w w:val="76"/>
              </w:rPr>
              <w:t>$</w:t>
            </w:r>
          </w:p>
        </w:tc>
        <w:tc>
          <w:tcPr>
            <w:tcW w:w="900" w:type="dxa"/>
            <w:vAlign w:val="bottom"/>
          </w:tcPr>
          <w:p>
            <w:pPr>
              <w:jc w:val="right"/>
              <w:spacing w:after="0"/>
              <w:rPr>
                <w:sz w:val="20"/>
                <w:szCs w:val="20"/>
                <w:color w:val="auto"/>
              </w:rPr>
            </w:pPr>
            <w:r>
              <w:rPr>
                <w:rFonts w:ascii="Arial" w:cs="Arial" w:eastAsia="Arial" w:hAnsi="Arial"/>
                <w:sz w:val="14"/>
                <w:szCs w:val="14"/>
                <w:i w:val="1"/>
                <w:iCs w:val="1"/>
                <w:color w:val="6D6D6D"/>
              </w:rPr>
              <w:t>(237)</w:t>
            </w:r>
          </w:p>
        </w:tc>
        <w:tc>
          <w:tcPr>
            <w:tcW w:w="380" w:type="dxa"/>
            <w:vAlign w:val="bottom"/>
          </w:tcPr>
          <w:p>
            <w:pPr>
              <w:ind w:left="20"/>
              <w:spacing w:after="0"/>
              <w:rPr>
                <w:sz w:val="20"/>
                <w:szCs w:val="20"/>
                <w:color w:val="auto"/>
              </w:rPr>
            </w:pPr>
            <w:r>
              <w:rPr>
                <w:rFonts w:ascii="Arial" w:cs="Arial" w:eastAsia="Arial" w:hAnsi="Arial"/>
                <w:sz w:val="14"/>
                <w:szCs w:val="14"/>
                <w:i w:val="1"/>
                <w:iCs w:val="1"/>
                <w:color w:val="6D6D6D"/>
              </w:rPr>
              <w:t>$</w:t>
            </w:r>
          </w:p>
        </w:tc>
        <w:tc>
          <w:tcPr>
            <w:tcW w:w="940" w:type="dxa"/>
            <w:vAlign w:val="bottom"/>
          </w:tcPr>
          <w:p>
            <w:pPr>
              <w:jc w:val="right"/>
              <w:spacing w:after="0"/>
              <w:rPr>
                <w:sz w:val="20"/>
                <w:szCs w:val="20"/>
                <w:color w:val="auto"/>
              </w:rPr>
            </w:pPr>
            <w:r>
              <w:rPr>
                <w:rFonts w:ascii="Arial" w:cs="Arial" w:eastAsia="Arial" w:hAnsi="Arial"/>
                <w:sz w:val="14"/>
                <w:szCs w:val="14"/>
                <w:i w:val="1"/>
                <w:iCs w:val="1"/>
                <w:color w:val="6D6D6D"/>
              </w:rPr>
              <w:t>584</w:t>
            </w:r>
          </w:p>
        </w:tc>
        <w:tc>
          <w:tcPr>
            <w:tcW w:w="120" w:type="dxa"/>
            <w:vAlign w:val="bottom"/>
          </w:tcPr>
          <w:p>
            <w:pPr>
              <w:jc w:val="right"/>
              <w:spacing w:after="0"/>
              <w:rPr>
                <w:sz w:val="20"/>
                <w:szCs w:val="20"/>
                <w:color w:val="auto"/>
              </w:rPr>
            </w:pPr>
            <w:r>
              <w:rPr>
                <w:rFonts w:ascii="Arial" w:cs="Arial" w:eastAsia="Arial" w:hAnsi="Arial"/>
                <w:sz w:val="14"/>
                <w:szCs w:val="14"/>
                <w:i w:val="1"/>
                <w:iCs w:val="1"/>
                <w:color w:val="6D6D6D"/>
                <w:w w:val="76"/>
              </w:rPr>
              <w:t>$</w:t>
            </w:r>
          </w:p>
        </w:tc>
        <w:tc>
          <w:tcPr>
            <w:tcW w:w="1200" w:type="dxa"/>
            <w:vAlign w:val="bottom"/>
          </w:tcPr>
          <w:p>
            <w:pPr>
              <w:jc w:val="right"/>
              <w:spacing w:after="0"/>
              <w:rPr>
                <w:sz w:val="20"/>
                <w:szCs w:val="20"/>
                <w:color w:val="auto"/>
              </w:rPr>
            </w:pPr>
            <w:r>
              <w:rPr>
                <w:rFonts w:ascii="Arial" w:cs="Arial" w:eastAsia="Arial" w:hAnsi="Arial"/>
                <w:sz w:val="14"/>
                <w:szCs w:val="14"/>
                <w:i w:val="1"/>
                <w:iCs w:val="1"/>
                <w:color w:val="6D6D6D"/>
              </w:rPr>
              <w:t>(202)</w:t>
            </w:r>
          </w:p>
        </w:tc>
        <w:tc>
          <w:tcPr>
            <w:tcW w:w="380" w:type="dxa"/>
            <w:vAlign w:val="bottom"/>
          </w:tcPr>
          <w:p>
            <w:pPr>
              <w:jc w:val="right"/>
              <w:ind w:right="246"/>
              <w:spacing w:after="0"/>
              <w:rPr>
                <w:sz w:val="20"/>
                <w:szCs w:val="20"/>
                <w:color w:val="auto"/>
              </w:rPr>
            </w:pPr>
            <w:r>
              <w:rPr>
                <w:rFonts w:ascii="Arial" w:cs="Arial" w:eastAsia="Arial" w:hAnsi="Arial"/>
                <w:sz w:val="10"/>
                <w:szCs w:val="10"/>
                <w:i w:val="1"/>
                <w:iCs w:val="1"/>
                <w:color w:val="6D6D6D"/>
                <w:w w:val="71"/>
              </w:rPr>
              <w:t>$</w:t>
            </w:r>
          </w:p>
        </w:tc>
        <w:tc>
          <w:tcPr>
            <w:tcW w:w="920" w:type="dxa"/>
            <w:vAlign w:val="bottom"/>
          </w:tcPr>
          <w:p>
            <w:pPr>
              <w:jc w:val="right"/>
              <w:spacing w:after="0"/>
              <w:rPr>
                <w:sz w:val="20"/>
                <w:szCs w:val="20"/>
                <w:color w:val="auto"/>
              </w:rPr>
            </w:pPr>
            <w:r>
              <w:rPr>
                <w:rFonts w:ascii="Arial" w:cs="Arial" w:eastAsia="Arial" w:hAnsi="Arial"/>
                <w:sz w:val="14"/>
                <w:szCs w:val="14"/>
                <w:i w:val="1"/>
                <w:iCs w:val="1"/>
                <w:color w:val="6D6D6D"/>
              </w:rPr>
              <w:t>538</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660" w:right="20" w:hanging="328"/>
        <w:spacing w:after="0" w:line="286"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International upstream earnings were lower than a year ago primarily due to the absence of prior year favorable tax effects and absence of prior year favorable foreign currency effects.</w:t>
      </w:r>
    </w:p>
    <w:p>
      <w:pPr>
        <w:spacing w:after="0" w:line="45" w:lineRule="exact"/>
        <w:rPr>
          <w:rFonts w:ascii="Arial" w:cs="Arial" w:eastAsia="Arial" w:hAnsi="Arial"/>
          <w:sz w:val="20"/>
          <w:szCs w:val="20"/>
          <w:color w:val="auto"/>
        </w:rPr>
      </w:pPr>
    </w:p>
    <w:p>
      <w:pPr>
        <w:ind w:left="660" w:right="40" w:hanging="328"/>
        <w:spacing w:after="0" w:line="271"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Net oil-equivalent production during the quarter was up 20,000 barrels per day from a year earlier primarily due to entitlement effects.</w:t>
      </w:r>
    </w:p>
    <w:p>
      <w:pPr>
        <w:sectPr>
          <w:pgSz w:w="11900" w:h="16838" w:orient="portrait"/>
          <w:cols w:equalWidth="0" w:num="1">
            <w:col w:w="11260"/>
          </w:cols>
          <w:pgMar w:left="320" w:top="118" w:right="319" w:bottom="341"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9019"/>
          </w:cols>
          <w:pgMar w:left="1440" w:top="193" w:right="1440"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Downstream</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8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U.S. Downstream</w:t>
            </w: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YTD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Unit</w:t>
            </w:r>
          </w:p>
        </w:tc>
        <w:tc>
          <w:tcPr>
            <w:tcW w:w="38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 2024</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38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0" w:type="dxa"/>
            <w:vAlign w:val="bottom"/>
          </w:tcPr>
          <w:p>
            <w:pPr>
              <w:spacing w:after="0"/>
              <w:rPr>
                <w:sz w:val="1"/>
                <w:szCs w:val="1"/>
                <w:color w:val="auto"/>
              </w:rPr>
            </w:pPr>
          </w:p>
        </w:tc>
      </w:tr>
      <w:tr>
        <w:trPr>
          <w:trHeight w:val="208"/>
        </w:trPr>
        <w:tc>
          <w:tcPr>
            <w:tcW w:w="3480" w:type="dxa"/>
            <w:vAlign w:val="bottom"/>
          </w:tcPr>
          <w:p>
            <w:pPr>
              <w:ind w:left="20"/>
              <w:spacing w:after="0"/>
              <w:rPr>
                <w:sz w:val="20"/>
                <w:szCs w:val="20"/>
                <w:color w:val="auto"/>
              </w:rPr>
            </w:pPr>
            <w:r>
              <w:rPr>
                <w:rFonts w:ascii="Arial" w:cs="Arial" w:eastAsia="Arial" w:hAnsi="Arial"/>
                <w:sz w:val="16"/>
                <w:szCs w:val="16"/>
                <w:color w:val="auto"/>
              </w:rPr>
              <w:t>Earnings / (Loss)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 MM</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146</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1,376</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879</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3,434</w:t>
            </w:r>
          </w:p>
        </w:tc>
        <w:tc>
          <w:tcPr>
            <w:tcW w:w="0" w:type="dxa"/>
            <w:vAlign w:val="bottom"/>
          </w:tcPr>
          <w:p>
            <w:pPr>
              <w:spacing w:after="0"/>
              <w:rPr>
                <w:sz w:val="1"/>
                <w:szCs w:val="1"/>
                <w:color w:val="auto"/>
              </w:rPr>
            </w:pP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Refinery Crude Unit Inputs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MBD</w:t>
            </w:r>
          </w:p>
        </w:tc>
        <w:tc>
          <w:tcPr>
            <w:tcW w:w="380" w:type="dxa"/>
            <w:vAlign w:val="bottom"/>
            <w:shd w:val="clear" w:color="auto" w:fill="DBDBDB"/>
          </w:tcPr>
          <w:p>
            <w:pPr>
              <w:spacing w:after="0"/>
              <w:rPr>
                <w:sz w:val="18"/>
                <w:szCs w:val="18"/>
                <w:color w:val="auto"/>
              </w:rPr>
            </w:pPr>
          </w:p>
        </w:tc>
        <w:tc>
          <w:tcPr>
            <w:tcW w:w="96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995</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900</w:t>
            </w:r>
          </w:p>
        </w:tc>
        <w:tc>
          <w:tcPr>
            <w:tcW w:w="380" w:type="dxa"/>
            <w:vAlign w:val="bottom"/>
          </w:tcPr>
          <w:p>
            <w:pPr>
              <w:spacing w:after="0"/>
              <w:rPr>
                <w:sz w:val="18"/>
                <w:szCs w:val="18"/>
                <w:color w:val="auto"/>
              </w:rPr>
            </w:pPr>
          </w:p>
        </w:tc>
        <w:tc>
          <w:tcPr>
            <w:tcW w:w="9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980</w:t>
            </w:r>
          </w:p>
        </w:tc>
        <w:tc>
          <w:tcPr>
            <w:tcW w:w="380" w:type="dxa"/>
            <w:vAlign w:val="bottom"/>
            <w:shd w:val="clear" w:color="auto" w:fill="DBDBDB"/>
          </w:tcPr>
          <w:p>
            <w:pPr>
              <w:spacing w:after="0"/>
              <w:rPr>
                <w:sz w:val="18"/>
                <w:szCs w:val="18"/>
                <w:color w:val="auto"/>
              </w:rPr>
            </w:pPr>
          </w:p>
        </w:tc>
        <w:tc>
          <w:tcPr>
            <w:tcW w:w="9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925</w:t>
            </w:r>
          </w:p>
        </w:tc>
        <w:tc>
          <w:tcPr>
            <w:tcW w:w="4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1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Refined Product Sales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MBD</w:t>
            </w:r>
          </w:p>
        </w:tc>
        <w:tc>
          <w:tcPr>
            <w:tcW w:w="3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1,312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1,303</w:t>
            </w:r>
          </w:p>
        </w:tc>
        <w:tc>
          <w:tcPr>
            <w:tcW w:w="38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1,296</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60" w:right="20" w:hanging="328"/>
        <w:spacing w:after="0" w:line="271"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U.S. downstream earnings were lower compared to last year primarily due to lower margins on refined product sales, partly offset by higher earnings from the 50 percent-owned affiliate, CPChem.</w:t>
      </w:r>
    </w:p>
    <w:p>
      <w:pPr>
        <w:spacing w:after="0" w:line="7" w:lineRule="exact"/>
        <w:rPr>
          <w:rFonts w:ascii="Arial" w:cs="Arial" w:eastAsia="Arial" w:hAnsi="Arial"/>
          <w:sz w:val="20"/>
          <w:szCs w:val="20"/>
          <w:color w:val="auto"/>
        </w:rPr>
      </w:pPr>
    </w:p>
    <w:p>
      <w:pPr>
        <w:jc w:val="both"/>
        <w:ind w:left="660" w:right="20" w:hanging="328"/>
        <w:spacing w:after="0" w:line="262"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Refinery crude unit inputs, including crude oil and other inputs, increased 2 percent from the year-ago period primarily due to the absence of planned turnaround at the Richmond, California refinery, partly offset by hurricane impacts at the Pasadena, Texas refinery.</w:t>
      </w:r>
    </w:p>
    <w:p>
      <w:pPr>
        <w:spacing w:after="0" w:line="16"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Refined product sales increased 1 percent compared to the year-ago period primarily due to higher demand for gasoline.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International Downstream</w:t>
            </w: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YTD</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Unit</w:t>
            </w:r>
          </w:p>
        </w:tc>
        <w:tc>
          <w:tcPr>
            <w:tcW w:w="40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 2024</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40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Earnings / (Loss) </w:t>
            </w:r>
            <w:r>
              <w:rPr>
                <w:rFonts w:ascii="Arial" w:cs="Arial" w:eastAsia="Arial" w:hAnsi="Arial"/>
                <w:sz w:val="21"/>
                <w:szCs w:val="21"/>
                <w:color w:val="auto"/>
                <w:vertAlign w:val="superscript"/>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 MM</w:t>
            </w:r>
          </w:p>
        </w:tc>
        <w:tc>
          <w:tcPr>
            <w:tcW w:w="400" w:type="dxa"/>
            <w:vAlign w:val="bottom"/>
            <w:shd w:val="clear" w:color="auto" w:fill="DBDBDB"/>
          </w:tcPr>
          <w:p>
            <w:pPr>
              <w:jc w:val="right"/>
              <w:ind w:right="224"/>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shd w:val="clear" w:color="auto" w:fill="DBDBDB"/>
          </w:tcPr>
          <w:p>
            <w:pPr>
              <w:jc w:val="right"/>
              <w:ind w:right="21"/>
              <w:spacing w:after="0"/>
              <w:rPr>
                <w:sz w:val="20"/>
                <w:szCs w:val="20"/>
                <w:color w:val="auto"/>
              </w:rPr>
            </w:pPr>
            <w:r>
              <w:rPr>
                <w:rFonts w:ascii="Arial" w:cs="Arial" w:eastAsia="Arial" w:hAnsi="Arial"/>
                <w:sz w:val="16"/>
                <w:szCs w:val="16"/>
                <w:color w:val="auto"/>
              </w:rPr>
              <w:t>449</w:t>
            </w:r>
          </w:p>
        </w:tc>
        <w:tc>
          <w:tcPr>
            <w:tcW w:w="400" w:type="dxa"/>
            <w:vAlign w:val="bottom"/>
          </w:tcPr>
          <w:p>
            <w:pPr>
              <w:jc w:val="right"/>
              <w:ind w:right="22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317</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307</w:t>
            </w:r>
          </w:p>
        </w:tc>
        <w:tc>
          <w:tcPr>
            <w:tcW w:w="400" w:type="dxa"/>
            <w:vAlign w:val="bottom"/>
            <w:shd w:val="clear" w:color="auto" w:fill="DBDBDB"/>
          </w:tcPr>
          <w:p>
            <w:pPr>
              <w:jc w:val="right"/>
              <w:ind w:right="222"/>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1,096</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Refinery Crude Unit Inputs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MBD</w:t>
            </w:r>
          </w:p>
        </w:tc>
        <w:tc>
          <w:tcPr>
            <w:tcW w:w="400" w:type="dxa"/>
            <w:vAlign w:val="bottom"/>
            <w:shd w:val="clear" w:color="auto" w:fill="DBDBDB"/>
          </w:tcPr>
          <w:p>
            <w:pPr>
              <w:spacing w:after="0"/>
              <w:rPr>
                <w:sz w:val="18"/>
                <w:szCs w:val="18"/>
                <w:color w:val="auto"/>
              </w:rPr>
            </w:pPr>
          </w:p>
        </w:tc>
        <w:tc>
          <w:tcPr>
            <w:tcW w:w="960" w:type="dxa"/>
            <w:vAlign w:val="bottom"/>
            <w:tcBorders>
              <w:right w:val="single" w:sz="8" w:color="auto"/>
            </w:tcBorders>
            <w:shd w:val="clear" w:color="auto" w:fill="DBDBDB"/>
          </w:tcPr>
          <w:p>
            <w:pPr>
              <w:jc w:val="right"/>
              <w:ind w:right="21"/>
              <w:spacing w:after="0"/>
              <w:rPr>
                <w:sz w:val="20"/>
                <w:szCs w:val="20"/>
                <w:color w:val="auto"/>
              </w:rPr>
            </w:pPr>
            <w:r>
              <w:rPr>
                <w:rFonts w:ascii="Arial" w:cs="Arial" w:eastAsia="Arial" w:hAnsi="Arial"/>
                <w:sz w:val="16"/>
                <w:szCs w:val="16"/>
                <w:color w:val="auto"/>
              </w:rPr>
              <w:t>628</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650</w:t>
            </w:r>
          </w:p>
        </w:tc>
        <w:tc>
          <w:tcPr>
            <w:tcW w:w="420" w:type="dxa"/>
            <w:vAlign w:val="bottom"/>
          </w:tcPr>
          <w:p>
            <w:pPr>
              <w:spacing w:after="0"/>
              <w:rPr>
                <w:sz w:val="18"/>
                <w:szCs w:val="18"/>
                <w:color w:val="auto"/>
              </w:rPr>
            </w:pPr>
          </w:p>
        </w:tc>
        <w:tc>
          <w:tcPr>
            <w:tcW w:w="96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637</w:t>
            </w:r>
          </w:p>
        </w:tc>
        <w:tc>
          <w:tcPr>
            <w:tcW w:w="400" w:type="dxa"/>
            <w:vAlign w:val="bottom"/>
            <w:shd w:val="clear" w:color="auto" w:fill="DBDBDB"/>
          </w:tcPr>
          <w:p>
            <w:pPr>
              <w:spacing w:after="0"/>
              <w:rPr>
                <w:sz w:val="18"/>
                <w:szCs w:val="18"/>
                <w:color w:val="auto"/>
              </w:rPr>
            </w:pPr>
          </w:p>
        </w:tc>
        <w:tc>
          <w:tcPr>
            <w:tcW w:w="960" w:type="dxa"/>
            <w:vAlign w:val="bottom"/>
            <w:tcBorders>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643</w:t>
            </w:r>
          </w:p>
        </w:tc>
        <w:tc>
          <w:tcPr>
            <w:tcW w:w="420" w:type="dxa"/>
            <w:vAlign w:val="bottom"/>
          </w:tcPr>
          <w:p>
            <w:pPr>
              <w:spacing w:after="0"/>
              <w:rPr>
                <w:sz w:val="18"/>
                <w:szCs w:val="18"/>
                <w:color w:val="auto"/>
              </w:rPr>
            </w:pP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Refined Product Sales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MBD</w:t>
            </w:r>
          </w:p>
        </w:tc>
        <w:tc>
          <w:tcPr>
            <w:tcW w:w="40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jc w:val="right"/>
              <w:ind w:right="21"/>
              <w:spacing w:after="0"/>
              <w:rPr>
                <w:sz w:val="20"/>
                <w:szCs w:val="20"/>
                <w:color w:val="auto"/>
              </w:rPr>
            </w:pPr>
            <w:r>
              <w:rPr>
                <w:rFonts w:ascii="Arial" w:cs="Arial" w:eastAsia="Arial" w:hAnsi="Arial"/>
                <w:sz w:val="16"/>
                <w:szCs w:val="16"/>
                <w:color w:val="auto"/>
              </w:rPr>
              <w:t>1,507</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1,431</w:t>
            </w:r>
          </w:p>
        </w:tc>
        <w:tc>
          <w:tcPr>
            <w:tcW w:w="40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1,473</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246"/>
        </w:trPr>
        <w:tc>
          <w:tcPr>
            <w:tcW w:w="3360" w:type="dxa"/>
            <w:vAlign w:val="bottom"/>
          </w:tcPr>
          <w:p>
            <w:pPr>
              <w:ind w:left="20"/>
              <w:spacing w:after="0"/>
              <w:rPr>
                <w:sz w:val="20"/>
                <w:szCs w:val="20"/>
                <w:color w:val="auto"/>
              </w:rPr>
            </w:pPr>
            <w:r>
              <w:rPr>
                <w:rFonts w:ascii="Arial" w:cs="Arial" w:eastAsia="Arial" w:hAnsi="Arial"/>
                <w:sz w:val="18"/>
                <w:szCs w:val="18"/>
                <w:i w:val="1"/>
                <w:iCs w:val="1"/>
                <w:color w:val="6D6D6D"/>
                <w:vertAlign w:val="superscript"/>
              </w:rPr>
              <w:t>(1)</w:t>
            </w:r>
            <w:r>
              <w:rPr>
                <w:rFonts w:ascii="Arial" w:cs="Arial" w:eastAsia="Arial" w:hAnsi="Arial"/>
                <w:sz w:val="14"/>
                <w:szCs w:val="14"/>
                <w:i w:val="1"/>
                <w:iCs w:val="1"/>
                <w:color w:val="6D6D6D"/>
              </w:rPr>
              <w:t xml:space="preserve"> Includes foreign currency effects</w:t>
            </w:r>
          </w:p>
        </w:tc>
        <w:tc>
          <w:tcPr>
            <w:tcW w:w="1100" w:type="dxa"/>
            <w:vAlign w:val="bottom"/>
          </w:tcPr>
          <w:p>
            <w:pPr>
              <w:jc w:val="center"/>
              <w:spacing w:after="0"/>
              <w:rPr>
                <w:sz w:val="20"/>
                <w:szCs w:val="20"/>
                <w:color w:val="auto"/>
              </w:rPr>
            </w:pPr>
            <w:r>
              <w:rPr>
                <w:rFonts w:ascii="Arial" w:cs="Arial" w:eastAsia="Arial" w:hAnsi="Arial"/>
                <w:sz w:val="14"/>
                <w:szCs w:val="14"/>
                <w:i w:val="1"/>
                <w:iCs w:val="1"/>
                <w:color w:val="6D6D6D"/>
              </w:rPr>
              <w:t>$ MM</w:t>
            </w:r>
          </w:p>
        </w:tc>
        <w:tc>
          <w:tcPr>
            <w:tcW w:w="400" w:type="dxa"/>
            <w:vAlign w:val="bottom"/>
          </w:tcPr>
          <w:p>
            <w:pPr>
              <w:jc w:val="right"/>
              <w:ind w:right="244"/>
              <w:spacing w:after="0"/>
              <w:rPr>
                <w:sz w:val="20"/>
                <w:szCs w:val="20"/>
                <w:color w:val="auto"/>
              </w:rPr>
            </w:pPr>
            <w:r>
              <w:rPr>
                <w:rFonts w:ascii="Arial" w:cs="Arial" w:eastAsia="Arial" w:hAnsi="Arial"/>
                <w:sz w:val="14"/>
                <w:szCs w:val="14"/>
                <w:i w:val="1"/>
                <w:iCs w:val="1"/>
                <w:color w:val="6D6D6D"/>
                <w:w w:val="76"/>
              </w:rPr>
              <w:t>$</w:t>
            </w:r>
          </w:p>
        </w:tc>
        <w:tc>
          <w:tcPr>
            <w:tcW w:w="960" w:type="dxa"/>
            <w:vAlign w:val="bottom"/>
          </w:tcPr>
          <w:p>
            <w:pPr>
              <w:jc w:val="right"/>
              <w:spacing w:after="0"/>
              <w:rPr>
                <w:sz w:val="20"/>
                <w:szCs w:val="20"/>
                <w:color w:val="auto"/>
              </w:rPr>
            </w:pPr>
            <w:r>
              <w:rPr>
                <w:rFonts w:ascii="Arial" w:cs="Arial" w:eastAsia="Arial" w:hAnsi="Arial"/>
                <w:sz w:val="14"/>
                <w:szCs w:val="14"/>
                <w:i w:val="1"/>
                <w:iCs w:val="1"/>
                <w:color w:val="6D6D6D"/>
              </w:rPr>
              <w:t>(55)</w:t>
            </w:r>
          </w:p>
        </w:tc>
        <w:tc>
          <w:tcPr>
            <w:tcW w:w="400" w:type="dxa"/>
            <w:vAlign w:val="bottom"/>
          </w:tcPr>
          <w:p>
            <w:pPr>
              <w:jc w:val="right"/>
              <w:ind w:right="244"/>
              <w:spacing w:after="0"/>
              <w:rPr>
                <w:sz w:val="20"/>
                <w:szCs w:val="20"/>
                <w:color w:val="auto"/>
              </w:rPr>
            </w:pPr>
            <w:r>
              <w:rPr>
                <w:rFonts w:ascii="Arial" w:cs="Arial" w:eastAsia="Arial" w:hAnsi="Arial"/>
                <w:sz w:val="14"/>
                <w:szCs w:val="14"/>
                <w:i w:val="1"/>
                <w:iCs w:val="1"/>
                <w:color w:val="6D6D6D"/>
                <w:w w:val="76"/>
              </w:rPr>
              <w:t>$</w:t>
            </w:r>
          </w:p>
        </w:tc>
        <w:tc>
          <w:tcPr>
            <w:tcW w:w="940" w:type="dxa"/>
            <w:vAlign w:val="bottom"/>
          </w:tcPr>
          <w:p>
            <w:pPr>
              <w:jc w:val="right"/>
              <w:spacing w:after="0"/>
              <w:rPr>
                <w:sz w:val="20"/>
                <w:szCs w:val="20"/>
                <w:color w:val="auto"/>
              </w:rPr>
            </w:pPr>
            <w:r>
              <w:rPr>
                <w:rFonts w:ascii="Arial" w:cs="Arial" w:eastAsia="Arial" w:hAnsi="Arial"/>
                <w:sz w:val="14"/>
                <w:szCs w:val="14"/>
                <w:i w:val="1"/>
                <w:iCs w:val="1"/>
                <w:color w:val="6D6D6D"/>
              </w:rPr>
              <w:t>(1)</w:t>
            </w:r>
          </w:p>
        </w:tc>
        <w:tc>
          <w:tcPr>
            <w:tcW w:w="420" w:type="dxa"/>
            <w:vAlign w:val="bottom"/>
          </w:tcPr>
          <w:p>
            <w:pPr>
              <w:ind w:left="20"/>
              <w:spacing w:after="0"/>
              <w:rPr>
                <w:sz w:val="20"/>
                <w:szCs w:val="20"/>
                <w:color w:val="auto"/>
              </w:rPr>
            </w:pPr>
            <w:r>
              <w:rPr>
                <w:rFonts w:ascii="Arial" w:cs="Arial" w:eastAsia="Arial" w:hAnsi="Arial"/>
                <w:sz w:val="14"/>
                <w:szCs w:val="14"/>
                <w:i w:val="1"/>
                <w:iCs w:val="1"/>
                <w:color w:val="6D6D6D"/>
              </w:rPr>
              <w:t>$</w:t>
            </w:r>
          </w:p>
        </w:tc>
        <w:tc>
          <w:tcPr>
            <w:tcW w:w="960" w:type="dxa"/>
            <w:vAlign w:val="bottom"/>
          </w:tcPr>
          <w:p>
            <w:pPr>
              <w:jc w:val="right"/>
              <w:ind w:right="21"/>
              <w:spacing w:after="0"/>
              <w:rPr>
                <w:sz w:val="20"/>
                <w:szCs w:val="20"/>
                <w:color w:val="auto"/>
              </w:rPr>
            </w:pPr>
            <w:r>
              <w:rPr>
                <w:rFonts w:ascii="Arial" w:cs="Arial" w:eastAsia="Arial" w:hAnsi="Arial"/>
                <w:sz w:val="14"/>
                <w:szCs w:val="14"/>
                <w:i w:val="1"/>
                <w:iCs w:val="1"/>
                <w:color w:val="6D6D6D"/>
              </w:rPr>
              <w:t>24</w:t>
            </w:r>
          </w:p>
        </w:tc>
        <w:tc>
          <w:tcPr>
            <w:tcW w:w="400" w:type="dxa"/>
            <w:vAlign w:val="bottom"/>
          </w:tcPr>
          <w:p>
            <w:pPr>
              <w:jc w:val="right"/>
              <w:ind w:right="242"/>
              <w:spacing w:after="0"/>
              <w:rPr>
                <w:sz w:val="20"/>
                <w:szCs w:val="20"/>
                <w:color w:val="auto"/>
              </w:rPr>
            </w:pPr>
            <w:r>
              <w:rPr>
                <w:rFonts w:ascii="Arial" w:cs="Arial" w:eastAsia="Arial" w:hAnsi="Arial"/>
                <w:sz w:val="15"/>
                <w:szCs w:val="15"/>
                <w:i w:val="1"/>
                <w:iCs w:val="1"/>
                <w:color w:val="6D6D6D"/>
                <w:w w:val="71"/>
              </w:rPr>
              <w:t>$</w:t>
            </w:r>
          </w:p>
        </w:tc>
        <w:tc>
          <w:tcPr>
            <w:tcW w:w="1380" w:type="dxa"/>
            <w:vAlign w:val="bottom"/>
            <w:gridSpan w:val="2"/>
          </w:tcPr>
          <w:p>
            <w:pPr>
              <w:jc w:val="right"/>
              <w:ind w:right="259"/>
              <w:spacing w:after="0"/>
              <w:rPr>
                <w:sz w:val="20"/>
                <w:szCs w:val="20"/>
                <w:color w:val="auto"/>
              </w:rPr>
            </w:pPr>
            <w:r>
              <w:rPr>
                <w:rFonts w:ascii="Arial" w:cs="Arial" w:eastAsia="Arial" w:hAnsi="Arial"/>
                <w:sz w:val="16"/>
                <w:szCs w:val="16"/>
                <w:i w:val="1"/>
                <w:iCs w:val="1"/>
                <w:color w:val="6D6D6D"/>
              </w:rPr>
              <w:t>— $</w:t>
            </w:r>
          </w:p>
        </w:tc>
        <w:tc>
          <w:tcPr>
            <w:tcW w:w="940" w:type="dxa"/>
            <w:vAlign w:val="bottom"/>
          </w:tcPr>
          <w:p>
            <w:pPr>
              <w:jc w:val="right"/>
              <w:ind w:right="19"/>
              <w:spacing w:after="0"/>
              <w:rPr>
                <w:sz w:val="20"/>
                <w:szCs w:val="20"/>
                <w:color w:val="auto"/>
              </w:rPr>
            </w:pPr>
            <w:r>
              <w:rPr>
                <w:rFonts w:ascii="Arial" w:cs="Arial" w:eastAsia="Arial" w:hAnsi="Arial"/>
                <w:sz w:val="16"/>
                <w:szCs w:val="16"/>
                <w:i w:val="1"/>
                <w:iCs w:val="1"/>
                <w:color w:val="6D6D6D"/>
              </w:rPr>
              <w:t>46</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60" w:right="40" w:hanging="328"/>
        <w:spacing w:after="0" w:line="271"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International downstream earnings were higher compared to a year ago primarily due to higher margins on refined product sales, partly offset by higher operating expenses and unfavorable foreign currency effects.</w:t>
      </w:r>
    </w:p>
    <w:p>
      <w:pPr>
        <w:spacing w:after="0" w:line="7" w:lineRule="exact"/>
        <w:rPr>
          <w:rFonts w:ascii="Arial" w:cs="Arial" w:eastAsia="Arial" w:hAnsi="Arial"/>
          <w:sz w:val="20"/>
          <w:szCs w:val="20"/>
          <w:color w:val="auto"/>
        </w:rPr>
      </w:pPr>
    </w:p>
    <w:p>
      <w:pPr>
        <w:ind w:left="660" w:right="20" w:hanging="328"/>
        <w:spacing w:after="0" w:line="274"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Refinery crude unit inputs, including crude oil and other inputs, decreased 1 percent from the year-ago period primarily due to higher planned turnarounds.</w:t>
      </w:r>
    </w:p>
    <w:p>
      <w:pPr>
        <w:spacing w:after="0" w:line="1"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Refined product sales increased 5 percent from the year-ago period primarily due to higher demand for gasoline and jet fuel.</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 Other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All Other</w:t>
            </w: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6"/>
                <w:szCs w:val="16"/>
                <w:b w:val="1"/>
                <w:bCs w:val="1"/>
                <w:color w:val="auto"/>
              </w:rPr>
              <w:t>YTD</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Unit</w:t>
            </w:r>
          </w:p>
        </w:tc>
        <w:tc>
          <w:tcPr>
            <w:tcW w:w="42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 2024</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42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3Q 2024</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3Q 2023</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6"/>
                <w:szCs w:val="16"/>
                <w:color w:val="auto"/>
              </w:rPr>
              <w:t xml:space="preserve">Net charges </w:t>
            </w:r>
            <w:r>
              <w:rPr>
                <w:rFonts w:ascii="Arial" w:cs="Arial" w:eastAsia="Arial" w:hAnsi="Arial"/>
                <w:sz w:val="21"/>
                <w:szCs w:val="21"/>
                <w:color w:val="auto"/>
                <w:vertAlign w:val="superscript"/>
              </w:rPr>
              <w:t>(1)</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 MM</w:t>
            </w:r>
          </w:p>
        </w:tc>
        <w:tc>
          <w:tcPr>
            <w:tcW w:w="420" w:type="dxa"/>
            <w:vAlign w:val="bottom"/>
            <w:tcBorders>
              <w:bottom w:val="single" w:sz="8" w:color="auto"/>
            </w:tcBorders>
            <w:shd w:val="clear" w:color="auto" w:fill="DBDBDB"/>
          </w:tcPr>
          <w:p>
            <w:pPr>
              <w:jc w:val="right"/>
              <w:ind w:right="224"/>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(697)</w:t>
            </w: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420" w:type="dxa"/>
            <w:vAlign w:val="bottom"/>
            <w:tcBorders>
              <w:bottom w:val="single" w:sz="8" w:color="auto"/>
            </w:tcBorders>
            <w:shd w:val="clear" w:color="auto" w:fill="DBDBDB"/>
          </w:tcPr>
          <w:p>
            <w:pPr>
              <w:jc w:val="right"/>
              <w:ind w:right="244"/>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(1,851)</w:t>
            </w: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45"/>
        </w:trPr>
        <w:tc>
          <w:tcPr>
            <w:tcW w:w="3340" w:type="dxa"/>
            <w:vAlign w:val="bottom"/>
          </w:tcPr>
          <w:p>
            <w:pPr>
              <w:ind w:left="20"/>
              <w:spacing w:after="0"/>
              <w:rPr>
                <w:sz w:val="20"/>
                <w:szCs w:val="20"/>
                <w:color w:val="auto"/>
              </w:rPr>
            </w:pPr>
            <w:r>
              <w:rPr>
                <w:rFonts w:ascii="Arial" w:cs="Arial" w:eastAsia="Arial" w:hAnsi="Arial"/>
                <w:sz w:val="18"/>
                <w:szCs w:val="18"/>
                <w:i w:val="1"/>
                <w:iCs w:val="1"/>
                <w:color w:val="6D6D6D"/>
                <w:vertAlign w:val="superscript"/>
              </w:rPr>
              <w:t>(1)</w:t>
            </w:r>
            <w:r>
              <w:rPr>
                <w:rFonts w:ascii="Arial" w:cs="Arial" w:eastAsia="Arial" w:hAnsi="Arial"/>
                <w:sz w:val="14"/>
                <w:szCs w:val="14"/>
                <w:i w:val="1"/>
                <w:iCs w:val="1"/>
                <w:color w:val="6D6D6D"/>
              </w:rPr>
              <w:t xml:space="preserve"> Includes foreign currency effects</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6D6D6D"/>
              </w:rPr>
              <w:t>$ MM</w:t>
            </w:r>
          </w:p>
        </w:tc>
        <w:tc>
          <w:tcPr>
            <w:tcW w:w="420" w:type="dxa"/>
            <w:vAlign w:val="bottom"/>
          </w:tcPr>
          <w:p>
            <w:pPr>
              <w:jc w:val="right"/>
              <w:ind w:right="264"/>
              <w:spacing w:after="0"/>
              <w:rPr>
                <w:sz w:val="20"/>
                <w:szCs w:val="20"/>
                <w:color w:val="auto"/>
              </w:rPr>
            </w:pPr>
            <w:r>
              <w:rPr>
                <w:rFonts w:ascii="Arial" w:cs="Arial" w:eastAsia="Arial" w:hAnsi="Arial"/>
                <w:sz w:val="14"/>
                <w:szCs w:val="14"/>
                <w:i w:val="1"/>
                <w:iCs w:val="1"/>
                <w:color w:val="6D6D6D"/>
                <w:w w:val="76"/>
              </w:rPr>
              <w:t>$</w:t>
            </w:r>
          </w:p>
        </w:tc>
        <w:tc>
          <w:tcPr>
            <w:tcW w:w="960" w:type="dxa"/>
            <w:vAlign w:val="bottom"/>
          </w:tcPr>
          <w:p>
            <w:pPr>
              <w:jc w:val="right"/>
              <w:spacing w:after="0"/>
              <w:rPr>
                <w:sz w:val="20"/>
                <w:szCs w:val="20"/>
                <w:color w:val="auto"/>
              </w:rPr>
            </w:pPr>
            <w:r>
              <w:rPr>
                <w:rFonts w:ascii="Arial" w:cs="Arial" w:eastAsia="Arial" w:hAnsi="Arial"/>
                <w:sz w:val="14"/>
                <w:szCs w:val="14"/>
                <w:i w:val="1"/>
                <w:iCs w:val="1"/>
                <w:color w:val="6D6D6D"/>
              </w:rPr>
              <w:t>(2)</w:t>
            </w:r>
          </w:p>
        </w:tc>
        <w:tc>
          <w:tcPr>
            <w:tcW w:w="400" w:type="dxa"/>
            <w:vAlign w:val="bottom"/>
          </w:tcPr>
          <w:p>
            <w:pPr>
              <w:jc w:val="right"/>
              <w:ind w:right="244"/>
              <w:spacing w:after="0"/>
              <w:rPr>
                <w:sz w:val="20"/>
                <w:szCs w:val="20"/>
                <w:color w:val="auto"/>
              </w:rPr>
            </w:pPr>
            <w:r>
              <w:rPr>
                <w:rFonts w:ascii="Arial" w:cs="Arial" w:eastAsia="Arial" w:hAnsi="Arial"/>
                <w:sz w:val="14"/>
                <w:szCs w:val="14"/>
                <w:i w:val="1"/>
                <w:iCs w:val="1"/>
                <w:color w:val="6D6D6D"/>
                <w:w w:val="76"/>
              </w:rPr>
              <w:t>$</w:t>
            </w:r>
          </w:p>
        </w:tc>
        <w:tc>
          <w:tcPr>
            <w:tcW w:w="940" w:type="dxa"/>
            <w:vAlign w:val="bottom"/>
          </w:tcPr>
          <w:p>
            <w:pPr>
              <w:jc w:val="right"/>
              <w:spacing w:after="0"/>
              <w:rPr>
                <w:sz w:val="20"/>
                <w:szCs w:val="20"/>
                <w:color w:val="auto"/>
              </w:rPr>
            </w:pPr>
            <w:r>
              <w:rPr>
                <w:rFonts w:ascii="Arial" w:cs="Arial" w:eastAsia="Arial" w:hAnsi="Arial"/>
                <w:sz w:val="14"/>
                <w:szCs w:val="14"/>
                <w:i w:val="1"/>
                <w:iCs w:val="1"/>
                <w:color w:val="6D6D6D"/>
              </w:rPr>
              <w:t>(5)</w:t>
            </w:r>
          </w:p>
        </w:tc>
        <w:tc>
          <w:tcPr>
            <w:tcW w:w="400" w:type="dxa"/>
            <w:vAlign w:val="bottom"/>
          </w:tcPr>
          <w:p>
            <w:pPr>
              <w:ind w:left="20"/>
              <w:spacing w:after="0"/>
              <w:rPr>
                <w:sz w:val="20"/>
                <w:szCs w:val="20"/>
                <w:color w:val="auto"/>
              </w:rPr>
            </w:pPr>
            <w:r>
              <w:rPr>
                <w:rFonts w:ascii="Arial" w:cs="Arial" w:eastAsia="Arial" w:hAnsi="Arial"/>
                <w:sz w:val="14"/>
                <w:szCs w:val="14"/>
                <w:i w:val="1"/>
                <w:iCs w:val="1"/>
                <w:color w:val="6D6D6D"/>
              </w:rPr>
              <w:t>$</w:t>
            </w:r>
          </w:p>
        </w:tc>
        <w:tc>
          <w:tcPr>
            <w:tcW w:w="960" w:type="dxa"/>
            <w:vAlign w:val="bottom"/>
          </w:tcPr>
          <w:p>
            <w:pPr>
              <w:jc w:val="right"/>
              <w:spacing w:after="0"/>
              <w:rPr>
                <w:sz w:val="20"/>
                <w:szCs w:val="20"/>
                <w:color w:val="auto"/>
              </w:rPr>
            </w:pPr>
            <w:r>
              <w:rPr>
                <w:rFonts w:ascii="Arial" w:cs="Arial" w:eastAsia="Arial" w:hAnsi="Arial"/>
                <w:sz w:val="14"/>
                <w:szCs w:val="14"/>
                <w:i w:val="1"/>
                <w:iCs w:val="1"/>
                <w:color w:val="6D6D6D"/>
              </w:rPr>
              <w:t>(323)</w:t>
            </w:r>
          </w:p>
        </w:tc>
        <w:tc>
          <w:tcPr>
            <w:tcW w:w="420" w:type="dxa"/>
            <w:vAlign w:val="bottom"/>
          </w:tcPr>
          <w:p>
            <w:pPr>
              <w:jc w:val="right"/>
              <w:ind w:right="264"/>
              <w:spacing w:after="0"/>
              <w:rPr>
                <w:sz w:val="20"/>
                <w:szCs w:val="20"/>
                <w:color w:val="auto"/>
              </w:rPr>
            </w:pPr>
            <w:r>
              <w:rPr>
                <w:rFonts w:ascii="Arial" w:cs="Arial" w:eastAsia="Arial" w:hAnsi="Arial"/>
                <w:sz w:val="14"/>
                <w:szCs w:val="14"/>
                <w:i w:val="1"/>
                <w:iCs w:val="1"/>
                <w:color w:val="6D6D6D"/>
                <w:w w:val="76"/>
              </w:rPr>
              <w:t>$</w:t>
            </w:r>
          </w:p>
        </w:tc>
        <w:tc>
          <w:tcPr>
            <w:tcW w:w="960" w:type="dxa"/>
            <w:vAlign w:val="bottom"/>
          </w:tcPr>
          <w:p>
            <w:pPr>
              <w:jc w:val="right"/>
              <w:ind w:right="1"/>
              <w:spacing w:after="0"/>
              <w:rPr>
                <w:sz w:val="20"/>
                <w:szCs w:val="20"/>
                <w:color w:val="auto"/>
              </w:rPr>
            </w:pPr>
            <w:r>
              <w:rPr>
                <w:rFonts w:ascii="Arial" w:cs="Arial" w:eastAsia="Arial" w:hAnsi="Arial"/>
                <w:sz w:val="14"/>
                <w:szCs w:val="14"/>
                <w:i w:val="1"/>
                <w:iCs w:val="1"/>
                <w:color w:val="6D6D6D"/>
              </w:rPr>
              <w:t>—</w:t>
            </w:r>
          </w:p>
        </w:tc>
        <w:tc>
          <w:tcPr>
            <w:tcW w:w="440" w:type="dxa"/>
            <w:vAlign w:val="bottom"/>
          </w:tcPr>
          <w:p>
            <w:pPr>
              <w:jc w:val="right"/>
              <w:ind w:right="284"/>
              <w:spacing w:after="0"/>
              <w:rPr>
                <w:sz w:val="20"/>
                <w:szCs w:val="20"/>
                <w:color w:val="auto"/>
              </w:rPr>
            </w:pPr>
            <w:r>
              <w:rPr>
                <w:rFonts w:ascii="Arial" w:cs="Arial" w:eastAsia="Arial" w:hAnsi="Arial"/>
                <w:sz w:val="14"/>
                <w:szCs w:val="14"/>
                <w:i w:val="1"/>
                <w:iCs w:val="1"/>
                <w:color w:val="6D6D6D"/>
                <w:w w:val="76"/>
              </w:rPr>
              <w:t>$</w:t>
            </w:r>
          </w:p>
        </w:tc>
        <w:tc>
          <w:tcPr>
            <w:tcW w:w="940" w:type="dxa"/>
            <w:vAlign w:val="bottom"/>
          </w:tcPr>
          <w:p>
            <w:pPr>
              <w:jc w:val="right"/>
              <w:spacing w:after="0"/>
              <w:rPr>
                <w:sz w:val="20"/>
                <w:szCs w:val="20"/>
                <w:color w:val="auto"/>
              </w:rPr>
            </w:pPr>
            <w:r>
              <w:rPr>
                <w:rFonts w:ascii="Arial" w:cs="Arial" w:eastAsia="Arial" w:hAnsi="Arial"/>
                <w:sz w:val="14"/>
                <w:szCs w:val="14"/>
                <w:i w:val="1"/>
                <w:iCs w:val="1"/>
                <w:color w:val="6D6D6D"/>
              </w:rPr>
              <w:t>(329)</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60" w:right="20" w:hanging="328"/>
        <w:spacing w:after="0" w:line="271"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All Other consists of worldwide cash management and debt financing activities, corporate administrative functions, insurance operations, real estate activities and technology companies.</w:t>
      </w:r>
    </w:p>
    <w:p>
      <w:pPr>
        <w:spacing w:after="0" w:line="7" w:lineRule="exact"/>
        <w:rPr>
          <w:rFonts w:ascii="Arial" w:cs="Arial" w:eastAsia="Arial" w:hAnsi="Arial"/>
          <w:sz w:val="20"/>
          <w:szCs w:val="20"/>
          <w:color w:val="auto"/>
        </w:rPr>
      </w:pPr>
    </w:p>
    <w:p>
      <w:pPr>
        <w:ind w:left="660" w:right="20" w:hanging="328"/>
        <w:spacing w:after="0" w:line="271"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Net charges decreased compared to a year ago primarily due to the absence of prior year unfavorable foreign currency effects, partly offset by higher interest expense and lower interest income.</w:t>
      </w:r>
    </w:p>
    <w:p>
      <w:pPr>
        <w:spacing w:after="0" w:line="277"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Chevron is one of the world’s leading integrated energy companies. We believe affordable, reliable and ever-cleaner energy is essential to enabling human progress. Chevron produces crude oil and natural gas; manufactures transportation fuels, lubricants, petrochemicals and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11260"/>
          </w:cols>
          <w:pgMar w:left="320" w:top="125"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additives; and develops technologies that enhance our business and the industry. We aim to grow our oil and gas business, lower the carbon intensity of our operations and grow lower carbon businesses in renewable fuels, carbon capture and offsets, hydrogen and other emerging technologies. More information about Chevron is available at </w:t>
      </w:r>
      <w:r>
        <w:rPr>
          <w:rFonts w:ascii="Arial" w:cs="Arial" w:eastAsia="Arial" w:hAnsi="Arial"/>
          <w:sz w:val="20"/>
          <w:szCs w:val="20"/>
          <w:u w:val="single" w:color="auto"/>
          <w:color w:val="auto"/>
        </w:rPr>
        <w:t>www.chevron.com</w:t>
      </w:r>
      <w:r>
        <w:rPr>
          <w:rFonts w:ascii="Arial" w:cs="Arial" w:eastAsia="Arial" w:hAnsi="Arial"/>
          <w:sz w:val="20"/>
          <w:szCs w:val="20"/>
          <w:color w:val="auto"/>
        </w:rPr>
        <w: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xml:space="preserve"># # </w:t>
      </w:r>
      <w:r>
        <w:rPr>
          <w:rFonts w:ascii="Arial" w:cs="Arial" w:eastAsia="Arial" w:hAnsi="Arial"/>
          <w:sz w:val="20"/>
          <w:szCs w:val="20"/>
          <w:color w:val="auto"/>
        </w:rPr>
        <w: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Contact: Randy Stuart -- +1 713-283-8609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Chevron’s discussion of third quarter 2024 earnings with security analysts will take place on Friday, November 1, 2024, at 8:00 a.m. PT. A webcast of the meeting will be available in a listen-only mode to individual investors, media, and other interested parties on Chevron’s website at </w:t>
      </w:r>
      <w:r>
        <w:rPr>
          <w:rFonts w:ascii="Arial" w:cs="Arial" w:eastAsia="Arial" w:hAnsi="Arial"/>
          <w:sz w:val="20"/>
          <w:szCs w:val="20"/>
          <w:b w:val="1"/>
          <w:bCs w:val="1"/>
          <w:u w:val="single" w:color="auto"/>
          <w:color w:val="auto"/>
        </w:rPr>
        <w:t>www.chevron.com</w:t>
      </w:r>
      <w:r>
        <w:rPr>
          <w:rFonts w:ascii="Arial" w:cs="Arial" w:eastAsia="Arial" w:hAnsi="Arial"/>
          <w:sz w:val="20"/>
          <w:szCs w:val="20"/>
          <w:b w:val="1"/>
          <w:bCs w:val="1"/>
          <w:color w:val="auto"/>
        </w:rPr>
        <w:t xml:space="preserve"> under the “Investors” section. Prepared remarks for today’s call, additional financial and operating information and other complementary materials will be available prior to the call at approximately 3:30 a.m. PT and located under “Events and Presentations” in the “Investors” section on the Chevron website.</w:t>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As used in this news release, the term “Chevron” and such terms as “the company,” “the corporation,” “our,” “we,” “us” and “its” may refer to Chevron Corporation, one or more of its consolidated subsidiaries, or to all of them taken as a whole. All of these terms are used for convenience only and are not intended as a precise description of any of the separate companies, each of which manages its own affairs. Structural cost reductions describe decreases in operating expenses from operational efficiencies, divestments, and other cost saving measures that are expected to be sustainable compared with 2024 levels.</w:t>
      </w:r>
    </w:p>
    <w:p>
      <w:pPr>
        <w:spacing w:after="0" w:line="8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Please visit Chevron’s website and Investor Relations page at www.chevron.com and www.chevron.com/investors, LinkedIn: www.linkedin.com/company/chevron, X: @Chevron, Facebook: www.facebook.com/chevron, and Instagram: www.instagram.com/chevron, where Chevron often discloses important information about the company, its business, and its results of operations.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Non-GAAP Financial Measures </w:t>
      </w:r>
      <w:r>
        <w:rPr>
          <w:rFonts w:ascii="Arial" w:cs="Arial" w:eastAsia="Arial" w:hAnsi="Arial"/>
          <w:sz w:val="18"/>
          <w:szCs w:val="18"/>
          <w:i w:val="1"/>
          <w:iCs w:val="1"/>
          <w:color w:val="auto"/>
        </w:rPr>
        <w:t>- This news release includes adjusted earnings/(loss), which reflect earnings or losses excluding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non-operational items including impairment charges, write -offs, decommissioning obligations from previously sold assets, severance costs, gains on asset sales, unusual tax items, effects of pension settlements and curtailments, foreign currency effects and other special items. We believe it is useful for investors to consider this measure in comparing the underlying performance of our business across periods. The presentation of this additional information is not meant to be considered in isolation or as a substitute for net income (loss) as prepared in accordance with U.S. GAAP. A reconciliation to net income (loss) attributable to Chevron Corporation is shown in Attachment 4.</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news release also includes cash flow from operations excluding working capital, free cash flow and free cash flow excluding working capital. Cash flow from operations excluding working capital is defined as net cash provided by operating activities less net changes in operating working capital, and represents cash generated by operating activities excluding the timing impacts of working capital. Free cash flow is defined as net cash provided by operating activities less capital expenditures and generally represents the cash available to creditors and investors after investing in the business. Free cash flow excluding working capital is defined as net cash provided by operating activities excluding working capital less capital expenditures and generally represents the cash available to creditors and investors after investing in the business excluding the timing impacts of working capital. The company believes these measures are useful to monitor the financial health of the company and its performance over time. Reconciliations of cash flow from operations excluding working capital, free cash flow and free cash flow excluding working capital are shown in Attachment 3.</w:t>
      </w:r>
    </w:p>
    <w:p>
      <w:pPr>
        <w:spacing w:after="0" w:line="8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This news release also includes net debt ratio. Net debt ratio is defined as total debt less cash and cash equivalents, time deposits and marketable securities as a percentage of total debt less cash and cash equivalents, time deposits and marketable securities, plus Chevron Corporation stockholders’ equity, which indicates the company’s leverage, net of its cash balances. The company believes this measure is useful to monitor the strength of the company’s balance sheet. A reconciliation of net debt ratio is shown in Attachment 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CAUTIONARY STATEMENTS RELEVANT TO FORWARD-LOOKING INFORMATION FOR THE PURPOSE OF “SAFE</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HARBOR” PROVISIONS OF THE</w:t>
      </w:r>
    </w:p>
    <w:p>
      <w:pPr>
        <w:jc w:val="center"/>
        <w:spacing w:after="0"/>
        <w:rPr>
          <w:sz w:val="20"/>
          <w:szCs w:val="20"/>
          <w:color w:val="auto"/>
        </w:rPr>
      </w:pPr>
      <w:r>
        <w:rPr>
          <w:rFonts w:ascii="Arial" w:cs="Arial" w:eastAsia="Arial" w:hAnsi="Arial"/>
          <w:sz w:val="20"/>
          <w:szCs w:val="20"/>
          <w:b w:val="1"/>
          <w:bCs w:val="1"/>
          <w:color w:val="auto"/>
        </w:rPr>
        <w:t>PRIVATE SECURITIES LITIGATION REFORM ACT OF 1995</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This news release contains forward-looking statements relating to Chevron’s operations and lower carbon strategy that are based on management’s</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current expectations, estimates, and projections about the petroleum, chemicals, and other energy-related industries. Words or phrases such as “anticipates,” “expects,” “intends,” “plans,” “targets,” “advances,” “commits,” “drives,” “aims,” “forecasts,” “projects,” “believes,” “approaches,” “seeks,” “schedules,” “estimates,” “positions,” “pursues,” “progress,” “may,” “can,” “could,” “should,” “will,” “budgets,” “outlook,” “trends,” “guidance,” “focus,” “on track,” “goals,” “objectives,” “strategies,” “opportunities,” “poised,” “potential,” “ambitions,” “aspires” and similar expressions, and variations or negatives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of these words, are intended to identify such forward-looking statements, but not all forward-looking statements include such words. These statements are not guarantees of future performance and are subject to numerous risks, uncertainties and other factors, many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news</w:t>
      </w:r>
    </w:p>
    <w:p>
      <w:pPr>
        <w:spacing w:after="0" w:line="1"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i w:val="1"/>
          <w:iCs w:val="1"/>
          <w:color w:val="auto"/>
        </w:rPr>
        <w:t>release. Unless legally required, Chevron undertakes no obligation to update publicly any forward-looking statements, whether as a result of new information, future events or otherwise.</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Among the important factors that could cause actual results to differ materially from those in the forward-looking statements are: changing crude oil and natural gas prices and demand for the company’s products, and production curtailments due to market conditions; crude oil production quotas or other</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actions that might be imposed by the Organization of Petroleum Exporting Countries and other producing countries; technological advancements; changes to government policies in the countries in which the company operates; public health crises, such as pandemics and epidemics, and any related government policies and actions; disruptions in the company’s global supply chain, including supply chain constraints and escalation of the cost of goods and services; changing economic, regulatory and political environments in the various countries in which the company operates; general</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i w:val="1"/>
          <w:iCs w:val="1"/>
          <w:color w:val="auto"/>
        </w:rPr>
        <w:t>domestic and international economic, market and political conditions, including the military conflict between Russia and Ukraine, the conflict in Israel and the global response to these hostilities; changing refining, marketing and chemicals margins; the company’s ability to realize anticipated cost savings and efficiencies associated with enterprise structural cost reduction initiatives; actions of competitors or regulators; timing of exploration</w:t>
      </w:r>
    </w:p>
    <w:p>
      <w:pPr>
        <w:jc w:val="both"/>
        <w:spacing w:after="0" w:line="233" w:lineRule="auto"/>
        <w:rPr>
          <w:sz w:val="20"/>
          <w:szCs w:val="20"/>
          <w:color w:val="auto"/>
        </w:rPr>
      </w:pPr>
      <w:r>
        <w:rPr>
          <w:rFonts w:ascii="Arial" w:cs="Arial" w:eastAsia="Arial" w:hAnsi="Arial"/>
          <w:sz w:val="16"/>
          <w:szCs w:val="16"/>
          <w:i w:val="1"/>
          <w:iCs w:val="1"/>
          <w:color w:val="auto"/>
        </w:rPr>
        <w:t>expenses; timing of crude oil liftings; the competitiveness of alternate-energy sources or product substitutes; development of large carbon capture and offset markets; the results of operations and financial condition of the company’s suppliers, vendors, partners and equity affiliates; the inability or failure of the company’s joint-venture partners to fund their share of operations and development activities; the potential failure to achieve expected net production from existing and future crude oil and natural gas development projects; potential delays in the development, construction or start-up of</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planned projects; the potential disruption or interruption of the company’s operations due to war, accidents, political events, civil unrest, severe weather, cyber threats, terrorist acts, or other natural or human causes beyond the company’s control; the potential liability for remedial actions or assessments under existing or future environmental regulations and litigation; significant operational, investment or product changes undertaken or required by existing or future environmental statutes and regulations, including international agreements and national or regional legislation and regulatory</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measures related to greenhouse gas emissions and climate change; the potential liability resulting from pending or future litigation; the risk that regulatory approvals and clearances with respect to the Hess Corporation (Hess) transaction are not obtained or are obtained subject to conditions that are not anticipated by the company and Hess; potential delays in consummating the Hess transaction, including as a result of the ongoing arbitration proceedings regarding preemptive rights in the Stabroek Block joint operating agreement; risks that such ongoing arbitration is not satisfactorily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i w:val="1"/>
          <w:iCs w:val="1"/>
          <w:color w:val="auto"/>
        </w:rPr>
        <w:t>resolved and the potential transaction fails to be consummated; uncertainties as to whether the potential transaction, if consummated, will achieve its anticipated economic benefits, including as a result of risks associated with third party contracts containing material consent, anti-assignment, transfer or other provisions that may be related to the potential transaction that are not waived or otherwise satisfactorily resolved; the company’s ability to</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i w:val="1"/>
          <w:iCs w:val="1"/>
          <w:color w:val="auto"/>
        </w:rPr>
        <w:t>integrate Hess’ operations in a successful manner and in the expected time period; the possibility that any of the anticipated benefits and projected synergies of the potential transaction will not be realized or will not be realized within the expected time period; the company’s future acquisitions or dispositions of assets or shares or the delay or failure of such transactions to close based on required closing conditions; the potential for gains and losses from asset dispositions or impairments; government mandated sales, divestitures, recapitalizations, taxes and tax audits, tariffs, sanctions,</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changes in fiscal terms or restrictions on scope of company operations; foreign currency movements compared with the U.S. dollar; higher inflation and related impacts; material reductions in corporate liquidity and access to debt markets; changes to the company’s capital allocation strategies; the effects of changed accounting rules under generally accepted accounting principles promulgated by rule-setting bodies; the company’s ability to identify and mitigate the risks and hazards inherent in operating in the global energy industry; and the factors set forth under the heading “Risk Factors” on pages 20</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i w:val="1"/>
          <w:iCs w:val="1"/>
          <w:color w:val="auto"/>
        </w:rPr>
        <w:t>through 26 of the company’s 2023 Annual Report on Form 10-K and in subsequent filings with the U.S. Securities and Exchange Commission. Other unpredictable or unknown factors not discussed in this news release could also have material adverse effects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11240"/>
          </w:cols>
          <w:pgMar w:left="320" w:top="125"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500" w:type="dxa"/>
            <w:vAlign w:val="bottom"/>
            <w:gridSpan w:val="9"/>
          </w:tcPr>
          <w:p>
            <w:pPr>
              <w:jc w:val="center"/>
              <w:ind w:left="2570"/>
              <w:spacing w:after="0"/>
              <w:rPr>
                <w:sz w:val="20"/>
                <w:szCs w:val="20"/>
                <w:color w:val="auto"/>
              </w:rPr>
            </w:pPr>
            <w:r>
              <w:rPr>
                <w:rFonts w:ascii="Times New Roman" w:cs="Times New Roman" w:eastAsia="Times New Roman" w:hAnsi="Times New Roman"/>
                <w:sz w:val="20"/>
                <w:szCs w:val="20"/>
                <w:b w:val="1"/>
                <w:bCs w:val="1"/>
                <w:color w:val="auto"/>
                <w:w w:val="98"/>
              </w:rPr>
              <w:t>CHEVRON CORPORATION - FINANCIAL REVIEW</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Attachment 1</w:t>
            </w:r>
          </w:p>
        </w:tc>
        <w:tc>
          <w:tcPr>
            <w:tcW w:w="0" w:type="dxa"/>
            <w:vAlign w:val="bottom"/>
          </w:tcPr>
          <w:p>
            <w:pPr>
              <w:spacing w:after="0"/>
              <w:rPr>
                <w:sz w:val="1"/>
                <w:szCs w:val="1"/>
                <w:color w:val="auto"/>
              </w:rPr>
            </w:pPr>
          </w:p>
        </w:tc>
      </w:tr>
      <w:tr>
        <w:trPr>
          <w:trHeight w:val="233"/>
        </w:trPr>
        <w:tc>
          <w:tcPr>
            <w:tcW w:w="3700" w:type="dxa"/>
            <w:vAlign w:val="bottom"/>
          </w:tcPr>
          <w:p>
            <w:pPr>
              <w:spacing w:after="0"/>
              <w:rPr>
                <w:sz w:val="20"/>
                <w:szCs w:val="20"/>
                <w:color w:val="auto"/>
              </w:rPr>
            </w:pPr>
          </w:p>
        </w:tc>
        <w:tc>
          <w:tcPr>
            <w:tcW w:w="400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(Millions of Dollars, Except Per-Share Amounts)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236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6"/>
        </w:trPr>
        <w:tc>
          <w:tcPr>
            <w:tcW w:w="3700" w:type="dxa"/>
            <w:vAlign w:val="bottom"/>
            <w:tcBorders>
              <w:top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AND OTHER INCOME</w:t>
            </w:r>
          </w:p>
        </w:tc>
        <w:tc>
          <w:tcPr>
            <w:tcW w:w="6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4"/>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 and other operating revenues</w:t>
            </w:r>
          </w:p>
        </w:tc>
        <w:tc>
          <w:tcPr>
            <w:tcW w:w="6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48,926</w:t>
            </w:r>
          </w:p>
        </w:tc>
        <w:tc>
          <w:tcPr>
            <w:tcW w:w="120" w:type="dxa"/>
            <w:vAlign w:val="bottom"/>
          </w:tcPr>
          <w:p>
            <w:pPr>
              <w:spacing w:after="0"/>
              <w:rPr>
                <w:sz w:val="18"/>
                <w:szCs w:val="18"/>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51,922</w:t>
            </w:r>
          </w:p>
        </w:tc>
        <w:tc>
          <w:tcPr>
            <w:tcW w:w="12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145,080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147,980</w:t>
            </w:r>
          </w:p>
        </w:tc>
        <w:tc>
          <w:tcPr>
            <w:tcW w:w="0" w:type="dxa"/>
            <w:vAlign w:val="bottom"/>
          </w:tcPr>
          <w:p>
            <w:pPr>
              <w:spacing w:after="0"/>
              <w:rPr>
                <w:sz w:val="1"/>
                <w:szCs w:val="1"/>
                <w:color w:val="auto"/>
              </w:rPr>
            </w:pPr>
          </w:p>
        </w:tc>
      </w:tr>
      <w:tr>
        <w:trPr>
          <w:trHeight w:val="230"/>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(loss) from equity affiliates</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0" w:type="dxa"/>
            <w:vAlign w:val="bottom"/>
          </w:tcPr>
          <w:p>
            <w:pPr>
              <w:spacing w:after="0"/>
              <w:rPr>
                <w:sz w:val="1"/>
                <w:szCs w:val="1"/>
                <w:color w:val="auto"/>
              </w:rPr>
            </w:pPr>
          </w:p>
        </w:tc>
      </w:tr>
      <w:tr>
        <w:trPr>
          <w:trHeight w:val="238"/>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 (loss)</w:t>
            </w:r>
          </w:p>
        </w:tc>
        <w:tc>
          <w:tcPr>
            <w:tcW w:w="6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 and Other Income</w:t>
            </w:r>
          </w:p>
        </w:tc>
        <w:tc>
          <w:tcPr>
            <w:tcW w:w="6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50,669</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150,566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153,769</w:t>
            </w:r>
          </w:p>
        </w:tc>
        <w:tc>
          <w:tcPr>
            <w:tcW w:w="0" w:type="dxa"/>
            <w:vAlign w:val="bottom"/>
          </w:tcPr>
          <w:p>
            <w:pPr>
              <w:spacing w:after="0"/>
              <w:rPr>
                <w:sz w:val="1"/>
                <w:szCs w:val="1"/>
                <w:color w:val="auto"/>
              </w:rPr>
            </w:pPr>
          </w:p>
        </w:tc>
      </w:tr>
      <w:tr>
        <w:trPr>
          <w:trHeight w:val="205"/>
        </w:trPr>
        <w:tc>
          <w:tcPr>
            <w:tcW w:w="5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COSTS AND OTHER DEDUCTIONS</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30,450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89,058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Purchased crude oil and products</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90,719</w:t>
            </w:r>
          </w:p>
        </w:tc>
        <w:tc>
          <w:tcPr>
            <w:tcW w:w="0" w:type="dxa"/>
            <w:vAlign w:val="bottom"/>
          </w:tcPr>
          <w:p>
            <w:pPr>
              <w:spacing w:after="0"/>
              <w:rPr>
                <w:sz w:val="1"/>
                <w:szCs w:val="1"/>
                <w:color w:val="auto"/>
              </w:rPr>
            </w:pPr>
          </w:p>
        </w:tc>
      </w:tr>
      <w:tr>
        <w:trPr>
          <w:trHeight w:val="230"/>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9"/>
                <w:szCs w:val="9"/>
                <w:color w:val="auto"/>
              </w:rPr>
              <w:t>(1)</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0" w:type="dxa"/>
            <w:vAlign w:val="bottom"/>
          </w:tcPr>
          <w:p>
            <w:pPr>
              <w:spacing w:after="0"/>
              <w:rPr>
                <w:sz w:val="1"/>
                <w:szCs w:val="1"/>
                <w:color w:val="auto"/>
              </w:rPr>
            </w:pPr>
          </w:p>
        </w:tc>
      </w:tr>
      <w:tr>
        <w:trPr>
          <w:trHeight w:val="229"/>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Exploration expenses</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0"/>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0" w:type="dxa"/>
            <w:vAlign w:val="bottom"/>
          </w:tcPr>
          <w:p>
            <w:pPr>
              <w:spacing w:after="0"/>
              <w:rPr>
                <w:sz w:val="1"/>
                <w:szCs w:val="1"/>
                <w:color w:val="auto"/>
              </w:rPr>
            </w:pPr>
          </w:p>
        </w:tc>
      </w:tr>
      <w:tr>
        <w:trPr>
          <w:trHeight w:val="229"/>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38"/>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6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6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44,180</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129,119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127,675</w:t>
            </w:r>
          </w:p>
        </w:tc>
        <w:tc>
          <w:tcPr>
            <w:tcW w:w="0" w:type="dxa"/>
            <w:vAlign w:val="bottom"/>
          </w:tcPr>
          <w:p>
            <w:pPr>
              <w:spacing w:after="0"/>
              <w:rPr>
                <w:sz w:val="1"/>
                <w:szCs w:val="1"/>
                <w:color w:val="auto"/>
              </w:rPr>
            </w:pPr>
          </w:p>
        </w:tc>
      </w:tr>
      <w:tr>
        <w:trPr>
          <w:trHeight w:val="21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6,489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26,094</w:t>
            </w:r>
          </w:p>
        </w:tc>
        <w:tc>
          <w:tcPr>
            <w:tcW w:w="0" w:type="dxa"/>
            <w:vAlign w:val="bottom"/>
          </w:tcPr>
          <w:p>
            <w:pPr>
              <w:spacing w:after="0"/>
              <w:rPr>
                <w:sz w:val="1"/>
                <w:szCs w:val="1"/>
                <w:color w:val="auto"/>
              </w:rPr>
            </w:pPr>
          </w:p>
        </w:tc>
      </w:tr>
      <w:tr>
        <w:trPr>
          <w:trHeight w:val="238"/>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0" w:type="dxa"/>
            <w:vAlign w:val="bottom"/>
          </w:tcPr>
          <w:p>
            <w:pPr>
              <w:spacing w:after="0"/>
              <w:rPr>
                <w:sz w:val="1"/>
                <w:szCs w:val="1"/>
                <w:color w:val="auto"/>
              </w:rPr>
            </w:pPr>
          </w:p>
        </w:tc>
      </w:tr>
      <w:tr>
        <w:trPr>
          <w:trHeight w:val="21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19,168</w:t>
            </w:r>
          </w:p>
        </w:tc>
        <w:tc>
          <w:tcPr>
            <w:tcW w:w="0" w:type="dxa"/>
            <w:vAlign w:val="bottom"/>
          </w:tcPr>
          <w:p>
            <w:pPr>
              <w:spacing w:after="0"/>
              <w:rPr>
                <w:sz w:val="1"/>
                <w:szCs w:val="1"/>
                <w:color w:val="auto"/>
              </w:rPr>
            </w:pPr>
          </w:p>
        </w:tc>
      </w:tr>
      <w:tr>
        <w:trPr>
          <w:trHeight w:val="238"/>
        </w:trPr>
        <w:tc>
          <w:tcPr>
            <w:tcW w:w="5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55"/>
        </w:trPr>
        <w:tc>
          <w:tcPr>
            <w:tcW w:w="50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06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4,487</w:t>
            </w:r>
          </w:p>
        </w:tc>
        <w:tc>
          <w:tcPr>
            <w:tcW w:w="120" w:type="dxa"/>
            <w:vAlign w:val="bottom"/>
          </w:tcPr>
          <w:p>
            <w:pPr>
              <w:spacing w:after="0"/>
              <w:rPr>
                <w:sz w:val="13"/>
                <w:szCs w:val="13"/>
                <w:color w:val="auto"/>
              </w:rPr>
            </w:pPr>
          </w:p>
        </w:tc>
        <w:tc>
          <w:tcPr>
            <w:tcW w:w="6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2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14,422</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CHEVRON CORPORATION</w:t>
            </w:r>
          </w:p>
        </w:tc>
        <w:tc>
          <w:tcPr>
            <w:tcW w:w="106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140" w:hanging="134"/>
        <w:spacing w:after="0"/>
        <w:tabs>
          <w:tab w:leader="none" w:pos="14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operating expense, selling, general and administrative expense, and other components of net periodic benefit costs.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 SHARE OF COMMON STOCK</w:t>
            </w: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29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1"/>
        </w:trPr>
        <w:tc>
          <w:tcPr>
            <w:tcW w:w="5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 Attributable to Chevron Corporation</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522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rPr>
              <w:t>- Basic</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2.49</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7.91</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30"/>
        </w:trPr>
        <w:tc>
          <w:tcPr>
            <w:tcW w:w="522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rPr>
              <w:t>- Diluted</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9"/>
        </w:trPr>
        <w:tc>
          <w:tcPr>
            <w:tcW w:w="5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(000's)</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2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 Basic</w:t>
            </w:r>
          </w:p>
        </w:tc>
        <w:tc>
          <w:tcPr>
            <w:tcW w:w="7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1,800,336</w:t>
            </w:r>
          </w:p>
        </w:tc>
        <w:tc>
          <w:tcPr>
            <w:tcW w:w="4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1,870,963</w:t>
            </w:r>
          </w:p>
        </w:tc>
        <w:tc>
          <w:tcPr>
            <w:tcW w:w="4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1,822,770</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1,876,532</w:t>
            </w:r>
          </w:p>
        </w:tc>
      </w:tr>
      <w:tr>
        <w:trPr>
          <w:trHeight w:val="238"/>
        </w:trPr>
        <w:tc>
          <w:tcPr>
            <w:tcW w:w="522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 Diluted</w:t>
            </w:r>
          </w:p>
        </w:tc>
        <w:tc>
          <w:tcPr>
            <w:tcW w:w="7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1,807,030</w:t>
            </w: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1,877,104</w:t>
            </w: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1,829,776</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1,884,407</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Shares outstanding (excluding 14 million associated with Chevron’s Benefit Plan Trust) were 1,783 million and 1,851 million at September 30, 2024, and December 31, 2023,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BY MAJOR OPERATING AREA</w:t>
            </w:r>
          </w:p>
        </w:tc>
        <w:tc>
          <w:tcPr>
            <w:tcW w:w="30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3"/>
          </w:tcPr>
          <w:p>
            <w:pPr>
              <w:jc w:val="right"/>
              <w:ind w:right="19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13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6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Upstream</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5680" w:type="dxa"/>
            <w:vAlign w:val="bottom"/>
            <w:gridSpan w:val="2"/>
            <w:vMerge w:val="continue"/>
          </w:tcPr>
          <w:p>
            <w:pPr>
              <w:spacing w:after="0"/>
              <w:rPr>
                <w:sz w:val="17"/>
                <w:szCs w:val="17"/>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1,946</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6,182</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0" w:type="dxa"/>
            <w:vAlign w:val="bottom"/>
          </w:tcPr>
          <w:p>
            <w:pPr>
              <w:spacing w:after="0"/>
              <w:rPr>
                <w:sz w:val="1"/>
                <w:szCs w:val="1"/>
                <w:color w:val="auto"/>
              </w:rPr>
            </w:pPr>
          </w:p>
        </w:tc>
      </w:tr>
      <w:tr>
        <w:trPr>
          <w:trHeight w:val="238"/>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2,643</w:t>
            </w: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8,116</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10,357</w:t>
            </w:r>
          </w:p>
        </w:tc>
        <w:tc>
          <w:tcPr>
            <w:tcW w:w="0" w:type="dxa"/>
            <w:vAlign w:val="bottom"/>
          </w:tcPr>
          <w:p>
            <w:pPr>
              <w:spacing w:after="0"/>
              <w:rPr>
                <w:sz w:val="1"/>
                <w:szCs w:val="1"/>
                <w:color w:val="auto"/>
              </w:rPr>
            </w:pPr>
          </w:p>
        </w:tc>
      </w:tr>
      <w:tr>
        <w:trPr>
          <w:trHeight w:val="223"/>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Upstream</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4,589</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14,298</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15,852</w:t>
            </w:r>
          </w:p>
        </w:tc>
        <w:tc>
          <w:tcPr>
            <w:tcW w:w="0" w:type="dxa"/>
            <w:vAlign w:val="bottom"/>
          </w:tcPr>
          <w:p>
            <w:pPr>
              <w:spacing w:after="0"/>
              <w:rPr>
                <w:sz w:val="1"/>
                <w:szCs w:val="1"/>
                <w:color w:val="auto"/>
              </w:rPr>
            </w:pPr>
          </w:p>
        </w:tc>
      </w:tr>
      <w:tr>
        <w:trPr>
          <w:trHeight w:val="205"/>
        </w:trPr>
        <w:tc>
          <w:tcPr>
            <w:tcW w:w="56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Downstream</w:t>
            </w: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879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38"/>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1,096</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23"/>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Downstream</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1,975</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(1,851)</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160"/>
        </w:trPr>
        <w:tc>
          <w:tcPr>
            <w:tcW w:w="5680" w:type="dxa"/>
            <w:vAlign w:val="bottom"/>
            <w:gridSpan w:val="2"/>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4,487</w:t>
            </w:r>
          </w:p>
        </w:tc>
        <w:tc>
          <w:tcPr>
            <w:tcW w:w="120" w:type="dxa"/>
            <w:vAlign w:val="bottom"/>
          </w:tcPr>
          <w:p>
            <w:pPr>
              <w:spacing w:after="0"/>
              <w:rPr>
                <w:sz w:val="13"/>
                <w:szCs w:val="13"/>
                <w:color w:val="auto"/>
              </w:rPr>
            </w:pPr>
          </w:p>
        </w:tc>
        <w:tc>
          <w:tcPr>
            <w:tcW w:w="7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2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14,422</w:t>
            </w:r>
          </w:p>
        </w:tc>
        <w:tc>
          <w:tcPr>
            <w:tcW w:w="120" w:type="dxa"/>
            <w:vAlign w:val="bottom"/>
          </w:tcPr>
          <w:p>
            <w:pPr>
              <w:spacing w:after="0"/>
              <w:rPr>
                <w:sz w:val="13"/>
                <w:szCs w:val="13"/>
                <w:color w:val="auto"/>
              </w:rPr>
            </w:pPr>
          </w:p>
        </w:tc>
        <w:tc>
          <w:tcPr>
            <w:tcW w:w="7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19,110</w:t>
            </w:r>
          </w:p>
        </w:tc>
        <w:tc>
          <w:tcPr>
            <w:tcW w:w="0" w:type="dxa"/>
            <w:vAlign w:val="bottom"/>
          </w:tcPr>
          <w:p>
            <w:pPr>
              <w:spacing w:after="0"/>
              <w:rPr>
                <w:sz w:val="1"/>
                <w:szCs w:val="1"/>
                <w:color w:val="auto"/>
              </w:rPr>
            </w:pPr>
          </w:p>
        </w:tc>
      </w:tr>
      <w:tr>
        <w:trPr>
          <w:trHeight w:val="216"/>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CHEVRON CORPORATION</w:t>
            </w:r>
          </w:p>
        </w:tc>
        <w:tc>
          <w:tcPr>
            <w:tcW w:w="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11220"/>
          </w:cols>
          <w:pgMar w:left="340" w:top="12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1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540" w:type="dxa"/>
            <w:vAlign w:val="bottom"/>
            <w:gridSpan w:val="9"/>
          </w:tcPr>
          <w:p>
            <w:pPr>
              <w:jc w:val="center"/>
              <w:ind w:right="30"/>
              <w:spacing w:after="0"/>
              <w:rPr>
                <w:sz w:val="20"/>
                <w:szCs w:val="20"/>
                <w:color w:val="auto"/>
              </w:rPr>
            </w:pPr>
            <w:r>
              <w:rPr>
                <w:rFonts w:ascii="Times New Roman" w:cs="Times New Roman" w:eastAsia="Times New Roman" w:hAnsi="Times New Roman"/>
                <w:sz w:val="20"/>
                <w:szCs w:val="20"/>
                <w:b w:val="1"/>
                <w:bCs w:val="1"/>
                <w:color w:val="auto"/>
                <w:w w:val="98"/>
              </w:rPr>
              <w:t>CHEVRON CORPORATION - FINANCIAL REVIEW</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Attachment 2</w:t>
            </w: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6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(Millions of Dollars)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auto"/>
              </w:rPr>
              <w:t>(unaudited)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120" w:type="dxa"/>
            <w:vAlign w:val="bottom"/>
          </w:tcPr>
          <w:p>
            <w:pPr>
              <w:spacing w:after="0"/>
              <w:rPr>
                <w:sz w:val="24"/>
                <w:szCs w:val="24"/>
                <w:color w:val="auto"/>
              </w:rPr>
            </w:pPr>
          </w:p>
        </w:tc>
        <w:tc>
          <w:tcPr>
            <w:tcW w:w="6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SELECTED BALANCE SHEET ACCOUNT DATA (Preliminary)</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000" w:type="dxa"/>
            <w:vAlign w:val="bottom"/>
            <w:gridSpan w:val="6"/>
            <w:vMerge w:val="continue"/>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4"/>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400" w:type="dxa"/>
            <w:vAlign w:val="bottom"/>
            <w:tcBorders>
              <w:top w:val="single" w:sz="8" w:color="auto"/>
              <w:bottom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440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4,699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Time Deposits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259,232</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debt</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25,841</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Chevron Corporation stockholders’ equity</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156,202</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4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828</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SELECTED FINANCIAL RATIOS</w:t>
            </w:r>
          </w:p>
        </w:tc>
        <w:tc>
          <w:tcPr>
            <w:tcW w:w="164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182,043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debt plus total stockholders’ equity</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181,793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Debt ratio </w:t>
            </w:r>
            <w:r>
              <w:rPr>
                <w:rFonts w:ascii="Times New Roman" w:cs="Times New Roman" w:eastAsia="Times New Roman" w:hAnsi="Times New Roman"/>
                <w:sz w:val="16"/>
                <w:szCs w:val="16"/>
                <w:color w:val="auto"/>
              </w:rPr>
              <w:t>(Total debt / Total debt plus stockholders’ equity)</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20" w:type="dxa"/>
            <w:vAlign w:val="bottom"/>
          </w:tcPr>
          <w:p>
            <w:pPr>
              <w:spacing w:after="0"/>
              <w:rPr>
                <w:sz w:val="23"/>
                <w:szCs w:val="23"/>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Adjusted debt </w:t>
            </w:r>
            <w:r>
              <w:rPr>
                <w:rFonts w:ascii="Times New Roman" w:cs="Times New Roman" w:eastAsia="Times New Roman" w:hAnsi="Times New Roman"/>
                <w:sz w:val="16"/>
                <w:szCs w:val="16"/>
                <w:color w:val="auto"/>
              </w:rPr>
              <w:t>(Total debt less cash and cash equivalents, time deposits and marketable securities)</w:t>
            </w:r>
          </w:p>
        </w:tc>
        <w:tc>
          <w:tcPr>
            <w:tcW w:w="340" w:type="dxa"/>
            <w:vAlign w:val="bottom"/>
          </w:tcPr>
          <w:p>
            <w:pPr>
              <w:spacing w:after="0"/>
              <w:rPr>
                <w:sz w:val="23"/>
                <w:szCs w:val="23"/>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21,138</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12,613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debt plus total stockholders’ equity</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177,340</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6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Net debt ratio </w:t>
            </w:r>
            <w:r>
              <w:rPr>
                <w:rFonts w:ascii="Times New Roman" w:cs="Times New Roman" w:eastAsia="Times New Roman" w:hAnsi="Times New Roman"/>
                <w:sz w:val="18"/>
                <w:szCs w:val="18"/>
                <w:color w:val="auto"/>
              </w:rPr>
              <w:t>(Adjusted debt / Adjusted debt plus total stockholders’ equity)</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11.9 %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RETURN ON CAPITAL EMPLOYED (ROCE)</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6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4520" w:type="dxa"/>
            <w:vAlign w:val="bottom"/>
            <w:gridSpan w:val="4"/>
            <w:vMerge w:val="continue"/>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gridSpan w:val="4"/>
          </w:tcPr>
          <w:p>
            <w:pPr>
              <w:jc w:val="right"/>
              <w:ind w:right="67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6"/>
          </w:tcPr>
          <w:p>
            <w:pPr>
              <w:jc w:val="right"/>
              <w:ind w:right="78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tcBorders>
          </w:tcPr>
          <w:p>
            <w:pPr>
              <w:spacing w:after="0" w:line="20" w:lineRule="exact"/>
              <w:rPr>
                <w:sz w:val="1"/>
                <w:szCs w:val="1"/>
                <w:color w:val="auto"/>
              </w:rPr>
            </w:pPr>
          </w:p>
        </w:tc>
        <w:tc>
          <w:tcPr>
            <w:tcW w:w="27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Total reported earnings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4400" w:type="dxa"/>
            <w:vAlign w:val="bottom"/>
            <w:gridSpan w:val="3"/>
            <w:vMerge w:val="continue"/>
          </w:tcPr>
          <w:p>
            <w:pPr>
              <w:spacing w:after="0"/>
              <w:rPr>
                <w:sz w:val="18"/>
                <w:szCs w:val="18"/>
                <w:color w:val="auto"/>
              </w:rPr>
            </w:pPr>
          </w:p>
        </w:tc>
        <w:tc>
          <w:tcPr>
            <w:tcW w:w="1280" w:type="dxa"/>
            <w:vAlign w:val="bottom"/>
            <w:gridSpan w:val="2"/>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4,487</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14,422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Noncontrolling interest</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4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Interest expense (A/T)</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44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ROCE earnings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4,642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Annualized ROCE earnings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18,568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4400" w:type="dxa"/>
            <w:vAlign w:val="bottom"/>
            <w:gridSpan w:val="3"/>
          </w:tcPr>
          <w:p>
            <w:pPr>
              <w:ind w:left="80"/>
              <w:spacing w:after="0" w:line="239" w:lineRule="exact"/>
              <w:rPr>
                <w:sz w:val="20"/>
                <w:szCs w:val="20"/>
                <w:color w:val="auto"/>
              </w:rPr>
            </w:pPr>
            <w:r>
              <w:rPr>
                <w:rFonts w:ascii="Times New Roman" w:cs="Times New Roman" w:eastAsia="Times New Roman" w:hAnsi="Times New Roman"/>
                <w:sz w:val="18"/>
                <w:szCs w:val="18"/>
                <w:color w:val="auto"/>
              </w:rPr>
              <w:t xml:space="preserve">Average capital employed </w:t>
            </w:r>
            <w:r>
              <w:rPr>
                <w:rFonts w:ascii="Times New Roman" w:cs="Times New Roman" w:eastAsia="Times New Roman" w:hAnsi="Times New Roman"/>
                <w:sz w:val="23"/>
                <w:szCs w:val="23"/>
                <w:color w:val="auto"/>
                <w:vertAlign w:val="superscript"/>
              </w:rPr>
              <w:t>(1)</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183,159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183,810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182,818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185,194</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44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ROCE</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10.8 %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-5080</wp:posOffset>
            </wp:positionV>
            <wp:extent cx="34461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ind w:left="20" w:right="460" w:firstLine="6"/>
        <w:spacing w:after="0" w:line="261" w:lineRule="auto"/>
        <w:tabs>
          <w:tab w:leader="none" w:pos="165"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Capital employed is the sum of Chevron Corporation stockholders’ equity, total debt and noncontrolling interest. Average capital employed is computed by averaging the sum of capital employed at the beginning and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-207010</wp:posOffset>
            </wp:positionV>
            <wp:extent cx="3446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1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CAPEX BY SEGMENT</w:t>
            </w:r>
          </w:p>
        </w:tc>
        <w:tc>
          <w:tcPr>
            <w:tcW w:w="24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4400" w:type="dxa"/>
            <w:vAlign w:val="bottom"/>
            <w:gridSpan w:val="2"/>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4400" w:type="dxa"/>
            <w:vAlign w:val="bottom"/>
            <w:gridSpan w:val="2"/>
            <w:vMerge w:val="continue"/>
          </w:tcPr>
          <w:p>
            <w:pPr>
              <w:spacing w:after="0"/>
              <w:rPr>
                <w:sz w:val="17"/>
                <w:szCs w:val="17"/>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2,349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7,126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Upstream</w:t>
            </w:r>
          </w:p>
        </w:tc>
        <w:tc>
          <w:tcPr>
            <w:tcW w:w="2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Downstream</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United States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3,462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Upstream</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Downstream</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International</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CAPEX</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12,110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AFFILIATE CAPEX (not included above)</w:t>
            </w:r>
          </w:p>
        </w:tc>
        <w:tc>
          <w:tcPr>
            <w:tcW w:w="3000" w:type="dxa"/>
            <w:vAlign w:val="bottom"/>
          </w:tcPr>
          <w:p>
            <w:pPr>
              <w:spacing w:after="0"/>
              <w:rPr>
                <w:sz w:val="22"/>
                <w:szCs w:val="22"/>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Upstream</w:t>
            </w: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Downstream</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AFFILIATE CAPEX</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11240"/>
          </w:cols>
          <w:pgMar w:left="320" w:top="125" w:right="33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300" w:type="dxa"/>
            <w:vAlign w:val="bottom"/>
            <w:gridSpan w:val="7"/>
          </w:tcPr>
          <w:p>
            <w:pPr>
              <w:jc w:val="center"/>
              <w:ind w:left="2790"/>
              <w:spacing w:after="0"/>
              <w:rPr>
                <w:sz w:val="20"/>
                <w:szCs w:val="20"/>
                <w:color w:val="auto"/>
              </w:rPr>
            </w:pPr>
            <w:r>
              <w:rPr>
                <w:rFonts w:ascii="Times New Roman" w:cs="Times New Roman" w:eastAsia="Times New Roman" w:hAnsi="Times New Roman"/>
                <w:sz w:val="20"/>
                <w:szCs w:val="20"/>
                <w:b w:val="1"/>
                <w:bCs w:val="1"/>
                <w:color w:val="auto"/>
                <w:w w:val="98"/>
              </w:rPr>
              <w:t>CHEVRON CORPORATION - FINANCIAL REVIEW</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Attachment 3</w:t>
            </w:r>
          </w:p>
        </w:tc>
        <w:tc>
          <w:tcPr>
            <w:tcW w:w="0" w:type="dxa"/>
            <w:vAlign w:val="bottom"/>
          </w:tcPr>
          <w:p>
            <w:pPr>
              <w:spacing w:after="0"/>
              <w:rPr>
                <w:sz w:val="1"/>
                <w:szCs w:val="1"/>
                <w:color w:val="auto"/>
              </w:rPr>
            </w:pPr>
          </w:p>
        </w:tc>
      </w:tr>
      <w:tr>
        <w:trPr>
          <w:trHeight w:val="233"/>
        </w:trPr>
        <w:tc>
          <w:tcPr>
            <w:tcW w:w="4020" w:type="dxa"/>
            <w:vAlign w:val="bottom"/>
          </w:tcPr>
          <w:p>
            <w:pPr>
              <w:spacing w:after="0"/>
              <w:rPr>
                <w:sz w:val="20"/>
                <w:szCs w:val="20"/>
                <w:color w:val="auto"/>
              </w:rPr>
            </w:pPr>
          </w:p>
        </w:tc>
        <w:tc>
          <w:tcPr>
            <w:tcW w:w="250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(Billions of Dollars)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SUMMARIZED STATEMENT OF CASH FLOWS (Preliminary)</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8"/>
                <w:szCs w:val="18"/>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6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Distributions more (less) than income from equity affiliates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Loss (gain) on asset retirements and sales</w:t>
            </w:r>
          </w:p>
        </w:tc>
        <w:tc>
          <w:tcPr>
            <w:tcW w:w="22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6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foreign currency effects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6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decrease (increase) in operating working capital</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8"/>
        </w:trPr>
        <w:tc>
          <w:tcPr>
            <w:tcW w:w="6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operating activity</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59"/>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Pr>
          <w:p>
            <w:pPr>
              <w:spacing w:after="0"/>
              <w:rPr>
                <w:sz w:val="22"/>
                <w:szCs w:val="22"/>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6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Capital expenditures (Capex)</w:t>
            </w:r>
          </w:p>
        </w:tc>
        <w:tc>
          <w:tcPr>
            <w:tcW w:w="22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6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Proceeds and deposits related to asset sales and returns of investment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8"/>
        </w:trPr>
        <w:tc>
          <w:tcPr>
            <w:tcW w:w="6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investing activity</w:t>
            </w: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59"/>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Net change in debt</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Cash dividends — common stock</w:t>
            </w:r>
          </w:p>
        </w:tc>
        <w:tc>
          <w:tcPr>
            <w:tcW w:w="22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6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Shares issued for share-based compensation</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Shares repurchased</w:t>
            </w:r>
          </w:p>
        </w:tc>
        <w:tc>
          <w:tcPr>
            <w:tcW w:w="22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8"/>
        </w:trPr>
        <w:tc>
          <w:tcPr>
            <w:tcW w:w="6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20" w:type="dxa"/>
            <w:vAlign w:val="bottom"/>
          </w:tcPr>
          <w:p>
            <w:pPr>
              <w:spacing w:after="0"/>
              <w:rPr>
                <w:sz w:val="20"/>
                <w:szCs w:val="20"/>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for) Financing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w:t>
            </w: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EQUIVALENTS AND RESTRICTED CASH</w:t>
            </w:r>
          </w:p>
        </w:tc>
        <w:tc>
          <w:tcPr>
            <w:tcW w:w="2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8"/>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405"/>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RECONCILIATION OF NON-GAAP MEASURES </w:t>
            </w:r>
            <w:r>
              <w:rPr>
                <w:rFonts w:ascii="Times New Roman" w:cs="Times New Roman" w:eastAsia="Times New Roman" w:hAnsi="Times New Roman"/>
                <w:sz w:val="23"/>
                <w:szCs w:val="23"/>
                <w:b w:val="1"/>
                <w:bCs w:val="1"/>
                <w:color w:val="auto"/>
                <w:vertAlign w:val="superscript"/>
              </w:rPr>
              <w:t>(1)</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80" w:type="dxa"/>
            <w:vAlign w:val="bottom"/>
            <w:gridSpan w:val="2"/>
          </w:tcPr>
          <w:p>
            <w:pPr>
              <w:spacing w:after="0"/>
              <w:rPr>
                <w:sz w:val="20"/>
                <w:szCs w:val="20"/>
                <w:color w:val="auto"/>
              </w:rPr>
            </w:pPr>
          </w:p>
        </w:tc>
        <w:tc>
          <w:tcPr>
            <w:tcW w:w="2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8"/>
        </w:trPr>
        <w:tc>
          <w:tcPr>
            <w:tcW w:w="6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Less: Net decrease (increase) in operating working capital</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2"/>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 Excluding Working Capital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32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24"/>
                <w:szCs w:val="24"/>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8"/>
        </w:trPr>
        <w:tc>
          <w:tcPr>
            <w:tcW w:w="6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4"/>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8"/>
                <w:szCs w:val="18"/>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8"/>
        </w:trPr>
        <w:tc>
          <w:tcPr>
            <w:tcW w:w="6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Less: Net decrease (increase) in operating working capital</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1"/>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Free Cash Flow Excluding Working Capital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bl>
    <w:p>
      <w:pPr>
        <w:ind w:left="140" w:hanging="134"/>
        <w:spacing w:after="0" w:line="222" w:lineRule="auto"/>
        <w:tabs>
          <w:tab w:leader="none" w:pos="14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Totals may not match sum of parts due to presentation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-112395</wp:posOffset>
            </wp:positionV>
            <wp:extent cx="3128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11220"/>
          </w:cols>
          <w:pgMar w:left="340" w:top="125"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960" w:type="dxa"/>
            <w:vAlign w:val="bottom"/>
            <w:gridSpan w:val="15"/>
          </w:tcPr>
          <w:p>
            <w:pPr>
              <w:jc w:val="center"/>
              <w:ind w:left="75"/>
              <w:spacing w:after="0"/>
              <w:rPr>
                <w:sz w:val="20"/>
                <w:szCs w:val="20"/>
                <w:color w:val="auto"/>
              </w:rPr>
            </w:pPr>
            <w:r>
              <w:rPr>
                <w:rFonts w:ascii="Times New Roman" w:cs="Times New Roman" w:eastAsia="Times New Roman" w:hAnsi="Times New Roman"/>
                <w:sz w:val="20"/>
                <w:szCs w:val="20"/>
                <w:b w:val="1"/>
                <w:bCs w:val="1"/>
                <w:color w:val="auto"/>
                <w:w w:val="98"/>
              </w:rPr>
              <w:t>CHEVRON CORPORATION - FINANCIAL REVIEW</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Attachment 4</w:t>
            </w: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60" w:type="dxa"/>
            <w:vAlign w:val="bottom"/>
            <w:gridSpan w:val="6"/>
          </w:tcPr>
          <w:p>
            <w:pPr>
              <w:jc w:val="center"/>
              <w:ind w:right="108"/>
              <w:spacing w:after="0"/>
              <w:rPr>
                <w:sz w:val="20"/>
                <w:szCs w:val="20"/>
                <w:color w:val="auto"/>
              </w:rPr>
            </w:pPr>
            <w:r>
              <w:rPr>
                <w:rFonts w:ascii="Times New Roman" w:cs="Times New Roman" w:eastAsia="Times New Roman" w:hAnsi="Times New Roman"/>
                <w:sz w:val="18"/>
                <w:szCs w:val="18"/>
                <w:b w:val="1"/>
                <w:bCs w:val="1"/>
                <w:color w:val="auto"/>
              </w:rPr>
              <w:t>(Millions of Dollars)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gridSpan w:val="5"/>
          </w:tcPr>
          <w:p>
            <w:pPr>
              <w:jc w:val="center"/>
              <w:ind w:left="284"/>
              <w:spacing w:after="0"/>
              <w:rPr>
                <w:sz w:val="20"/>
                <w:szCs w:val="20"/>
                <w:color w:val="auto"/>
              </w:rPr>
            </w:pPr>
            <w:r>
              <w:rPr>
                <w:rFonts w:ascii="Times New Roman" w:cs="Times New Roman" w:eastAsia="Times New Roman" w:hAnsi="Times New Roman"/>
                <w:sz w:val="18"/>
                <w:szCs w:val="18"/>
                <w:color w:val="auto"/>
                <w:w w:val="98"/>
              </w:rPr>
              <w:t>(unaudited)</w:t>
            </w: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0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RECONCILIATION OF NON-GAAP MEASURES</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4"/>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47"/>
        </w:trPr>
        <w:tc>
          <w:tcPr>
            <w:tcW w:w="284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EARNINGS</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left="268"/>
              <w:spacing w:after="0" w:line="147"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50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b w:val="1"/>
                <w:bCs w:val="1"/>
                <w:color w:val="auto"/>
                <w:w w:val="98"/>
              </w:rPr>
              <w:t>After-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left="348"/>
              <w:spacing w:after="0" w:line="147"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50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b w:val="1"/>
                <w:bCs w:val="1"/>
                <w:color w:val="auto"/>
                <w:w w:val="98"/>
              </w:rPr>
              <w:t>After-</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tcPr>
          <w:p>
            <w:pPr>
              <w:jc w:val="center"/>
              <w:ind w:left="188"/>
              <w:spacing w:after="0" w:line="147" w:lineRule="exact"/>
              <w:rPr>
                <w:sz w:val="20"/>
                <w:szCs w:val="20"/>
                <w:color w:val="auto"/>
              </w:rPr>
            </w:pPr>
            <w:r>
              <w:rPr>
                <w:rFonts w:ascii="Times New Roman" w:cs="Times New Roman" w:eastAsia="Times New Roman" w:hAnsi="Times New Roman"/>
                <w:sz w:val="14"/>
                <w:szCs w:val="14"/>
                <w:b w:val="1"/>
                <w:bCs w:val="1"/>
                <w:color w:val="auto"/>
              </w:rPr>
              <w:t>Income</w:t>
            </w:r>
          </w:p>
        </w:tc>
        <w:tc>
          <w:tcPr>
            <w:tcW w:w="50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b w:val="1"/>
                <w:bCs w:val="1"/>
                <w:color w:val="auto"/>
                <w:w w:val="98"/>
              </w:rPr>
              <w:t>After-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left="348"/>
              <w:spacing w:after="0" w:line="147"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500" w:type="dxa"/>
            <w:vAlign w:val="bottom"/>
          </w:tcPr>
          <w:p>
            <w:pPr>
              <w:jc w:val="right"/>
              <w:ind w:right="48"/>
              <w:spacing w:after="0" w:line="147" w:lineRule="exact"/>
              <w:rPr>
                <w:sz w:val="20"/>
                <w:szCs w:val="20"/>
                <w:color w:val="auto"/>
              </w:rPr>
            </w:pPr>
            <w:r>
              <w:rPr>
                <w:rFonts w:ascii="Times New Roman" w:cs="Times New Roman" w:eastAsia="Times New Roman" w:hAnsi="Times New Roman"/>
                <w:sz w:val="14"/>
                <w:szCs w:val="14"/>
                <w:b w:val="1"/>
                <w:bCs w:val="1"/>
                <w:color w:val="auto"/>
                <w:w w:val="98"/>
              </w:rPr>
              <w:t>After-</w:t>
            </w:r>
          </w:p>
        </w:tc>
        <w:tc>
          <w:tcPr>
            <w:tcW w:w="0" w:type="dxa"/>
            <w:vAlign w:val="bottom"/>
          </w:tcPr>
          <w:p>
            <w:pPr>
              <w:spacing w:after="0"/>
              <w:rPr>
                <w:sz w:val="1"/>
                <w:szCs w:val="1"/>
                <w:color w:val="auto"/>
              </w:rPr>
            </w:pPr>
          </w:p>
        </w:tc>
      </w:tr>
      <w:tr>
        <w:trPr>
          <w:trHeight w:val="148"/>
        </w:trPr>
        <w:tc>
          <w:tcPr>
            <w:tcW w:w="284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5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5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80" w:type="dxa"/>
            <w:vAlign w:val="bottom"/>
          </w:tcPr>
          <w:p>
            <w:pPr>
              <w:spacing w:after="0"/>
              <w:rPr>
                <w:sz w:val="12"/>
                <w:szCs w:val="12"/>
                <w:color w:val="auto"/>
              </w:rPr>
            </w:pPr>
          </w:p>
        </w:tc>
        <w:tc>
          <w:tcPr>
            <w:tcW w:w="7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4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00" w:type="dxa"/>
            <w:vAlign w:val="bottom"/>
          </w:tcPr>
          <w:p>
            <w:pPr>
              <w:spacing w:after="0"/>
              <w:rPr>
                <w:sz w:val="12"/>
                <w:szCs w:val="12"/>
                <w:color w:val="auto"/>
              </w:rPr>
            </w:pPr>
          </w:p>
        </w:tc>
        <w:tc>
          <w:tcPr>
            <w:tcW w:w="5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8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5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5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80" w:type="dxa"/>
            <w:vAlign w:val="bottom"/>
          </w:tcPr>
          <w:p>
            <w:pPr>
              <w:spacing w:after="0"/>
              <w:rPr>
                <w:sz w:val="12"/>
                <w:szCs w:val="12"/>
                <w:color w:val="auto"/>
              </w:rPr>
            </w:pPr>
          </w:p>
        </w:tc>
        <w:tc>
          <w:tcPr>
            <w:tcW w:w="7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4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100" w:type="dxa"/>
            <w:vAlign w:val="bottom"/>
          </w:tcPr>
          <w:p>
            <w:pPr>
              <w:spacing w:after="0"/>
              <w:rPr>
                <w:sz w:val="12"/>
                <w:szCs w:val="12"/>
                <w:color w:val="auto"/>
              </w:rPr>
            </w:pPr>
          </w:p>
        </w:tc>
        <w:tc>
          <w:tcPr>
            <w:tcW w:w="5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U.S. Upstream</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5,495</w:t>
            </w:r>
          </w:p>
        </w:tc>
        <w:tc>
          <w:tcPr>
            <w:tcW w:w="0" w:type="dxa"/>
            <w:vAlign w:val="bottom"/>
          </w:tcPr>
          <w:p>
            <w:pPr>
              <w:spacing w:after="0"/>
              <w:rPr>
                <w:sz w:val="1"/>
                <w:szCs w:val="1"/>
                <w:color w:val="auto"/>
              </w:rPr>
            </w:pPr>
          </w:p>
        </w:tc>
      </w:tr>
      <w:tr>
        <w:trPr>
          <w:trHeight w:val="20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Int'l Upstream</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10,357</w:t>
            </w:r>
          </w:p>
        </w:tc>
        <w:tc>
          <w:tcPr>
            <w:tcW w:w="0" w:type="dxa"/>
            <w:vAlign w:val="bottom"/>
          </w:tcPr>
          <w:p>
            <w:pPr>
              <w:spacing w:after="0"/>
              <w:rPr>
                <w:sz w:val="1"/>
                <w:szCs w:val="1"/>
                <w:color w:val="auto"/>
              </w:rPr>
            </w:pPr>
          </w:p>
        </w:tc>
      </w:tr>
      <w:tr>
        <w:trPr>
          <w:trHeight w:val="20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U.S. Downstream</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0" w:type="dxa"/>
            <w:vAlign w:val="bottom"/>
          </w:tcPr>
          <w:p>
            <w:pPr>
              <w:spacing w:after="0"/>
              <w:rPr>
                <w:sz w:val="1"/>
                <w:szCs w:val="1"/>
                <w:color w:val="auto"/>
              </w:rPr>
            </w:pPr>
          </w:p>
        </w:tc>
      </w:tr>
      <w:tr>
        <w:trPr>
          <w:trHeight w:val="202"/>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Int'l Downstream</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0" w:type="dxa"/>
            <w:vAlign w:val="bottom"/>
          </w:tcPr>
          <w:p>
            <w:pPr>
              <w:spacing w:after="0"/>
              <w:rPr>
                <w:sz w:val="1"/>
                <w:szCs w:val="1"/>
                <w:color w:val="auto"/>
              </w:rPr>
            </w:pPr>
          </w:p>
        </w:tc>
      </w:tr>
      <w:tr>
        <w:trPr>
          <w:trHeight w:val="20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All Other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(1,851)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Net Income (Loss) Attributable to Chevron</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19,110</w:t>
            </w:r>
          </w:p>
        </w:tc>
        <w:tc>
          <w:tcPr>
            <w:tcW w:w="0" w:type="dxa"/>
            <w:vAlign w:val="bottom"/>
          </w:tcPr>
          <w:p>
            <w:pPr>
              <w:spacing w:after="0"/>
              <w:rPr>
                <w:sz w:val="1"/>
                <w:szCs w:val="1"/>
                <w:color w:val="auto"/>
              </w:rPr>
            </w:pPr>
          </w:p>
        </w:tc>
      </w:tr>
      <w:tr>
        <w:trPr>
          <w:trHeight w:val="20"/>
        </w:trPr>
        <w:tc>
          <w:tcPr>
            <w:tcW w:w="28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SPECIAL ITEMS</w:t>
            </w: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84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Int'l Upstream</w:t>
            </w:r>
          </w:p>
        </w:tc>
        <w:tc>
          <w:tcPr>
            <w:tcW w:w="172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4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Tax items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20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All Other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Pension settlement costs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w:t>
            </w: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Total Special Items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4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21"/>
        </w:trPr>
        <w:tc>
          <w:tcPr>
            <w:tcW w:w="22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CURRENCY EFFECTS</w:t>
            </w:r>
          </w:p>
        </w:tc>
        <w:tc>
          <w:tcPr>
            <w:tcW w:w="6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220" w:type="dxa"/>
            <w:vAlign w:val="bottom"/>
            <w:tcBorders>
              <w:bottom w:val="single" w:sz="8" w:color="auto"/>
            </w:tcBorders>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Int'l Upstream</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0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Int'l Downstream</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All Other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Total Foreign Currency Effects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
        </w:trPr>
        <w:tc>
          <w:tcPr>
            <w:tcW w:w="28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ADJUSTED EARNINGS/(LOSS) </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84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U.S. Upstream</w:t>
            </w:r>
          </w:p>
        </w:tc>
        <w:tc>
          <w:tcPr>
            <w:tcW w:w="7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5,495</w:t>
            </w:r>
          </w:p>
        </w:tc>
        <w:tc>
          <w:tcPr>
            <w:tcW w:w="0" w:type="dxa"/>
            <w:vAlign w:val="bottom"/>
          </w:tcPr>
          <w:p>
            <w:pPr>
              <w:spacing w:after="0"/>
              <w:rPr>
                <w:sz w:val="1"/>
                <w:szCs w:val="1"/>
                <w:color w:val="auto"/>
              </w:rPr>
            </w:pPr>
          </w:p>
        </w:tc>
      </w:tr>
      <w:tr>
        <w:trPr>
          <w:trHeight w:val="20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Int'l Upstream</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w:t>
            </w:r>
          </w:p>
        </w:tc>
        <w:tc>
          <w:tcPr>
            <w:tcW w:w="0" w:type="dxa"/>
            <w:vAlign w:val="bottom"/>
          </w:tcPr>
          <w:p>
            <w:pPr>
              <w:spacing w:after="0"/>
              <w:rPr>
                <w:sz w:val="1"/>
                <w:szCs w:val="1"/>
                <w:color w:val="auto"/>
              </w:rPr>
            </w:pPr>
          </w:p>
        </w:tc>
      </w:tr>
      <w:tr>
        <w:trPr>
          <w:trHeight w:val="20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U.S. Downstream</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0" w:type="dxa"/>
            <w:vAlign w:val="bottom"/>
          </w:tcPr>
          <w:p>
            <w:pPr>
              <w:spacing w:after="0"/>
              <w:rPr>
                <w:sz w:val="1"/>
                <w:szCs w:val="1"/>
                <w:color w:val="auto"/>
              </w:rPr>
            </w:pPr>
          </w:p>
        </w:tc>
      </w:tr>
      <w:tr>
        <w:trPr>
          <w:trHeight w:val="20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Int'l Downstream</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0" w:type="dxa"/>
            <w:vAlign w:val="bottom"/>
          </w:tcPr>
          <w:p>
            <w:pPr>
              <w:spacing w:after="0"/>
              <w:rPr>
                <w:sz w:val="1"/>
                <w:szCs w:val="1"/>
                <w:color w:val="auto"/>
              </w:rPr>
            </w:pPr>
          </w:p>
        </w:tc>
      </w:tr>
      <w:tr>
        <w:trPr>
          <w:trHeight w:val="203"/>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All Other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(1,851)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Total Adjusted Earnings/(Loss)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18,240</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Total Adjusted Earnings/(Loss) per share</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hanging="134"/>
        <w:spacing w:after="0"/>
        <w:tabs>
          <w:tab w:leader="none" w:pos="14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Adjusted Earnings/(Loss) is defined as Net Income (loss) attributable to Chevron Corporation excluding special items and foreign currency effects.</w:t>
      </w:r>
    </w:p>
    <w:sectPr>
      <w:pgSz w:w="11900" w:h="16838" w:orient="portrait"/>
      <w:cols w:equalWidth="0" w:num="1">
        <w:col w:w="11220"/>
      </w:cols>
      <w:pgMar w:left="3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2024-11-01T05:21:21Z</dcterms:created>
  <dcterms:modified xsi:type="dcterms:W3CDTF">2024-11-01T05:21:21Z</dcterms:modified>
</cp:coreProperties>
</file>