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line="260" w:lineRule="auto"/>
        <w:rPr>
          <w:sz w:val="20"/>
          <w:szCs w:val="20"/>
          <w:color w:val="auto"/>
        </w:rPr>
      </w:pPr>
      <w:r>
        <w:rPr>
          <w:rFonts w:ascii="Courier New" w:cs="Courier New" w:eastAsia="Courier New" w:hAnsi="Courier New"/>
          <w:sz w:val="14"/>
          <w:szCs w:val="14"/>
          <w:color w:val="auto"/>
        </w:rPr>
        <w:t>================================================================================ UNITED STATES SECURITIES AND EXCHANGE COMMISSION Washington, D.C. 20549</w:t>
      </w:r>
    </w:p>
    <w:p>
      <w:pPr>
        <w:spacing w:after="0" w:line="324"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Form 8-K</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Current Report</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Pursuant to Section 13 of 15(d) of the Securities Exchange Act of 1934</w:t>
      </w: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Date of Report (Date of earliest event reported): March 6, 2000</w:t>
      </w:r>
    </w:p>
    <w:p>
      <w:pPr>
        <w:spacing w:after="0" w:line="342"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Chevron Corporation</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230" w:right="1440" w:bottom="1440" w:gutter="0" w:footer="0" w:header="0"/>
        </w:sectPr>
      </w:pP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1-368-2</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94-0890210</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No.)</w:t>
      </w:r>
    </w:p>
    <w:p>
      <w:pPr>
        <w:spacing w:after="0" w:line="8" w:lineRule="exact"/>
        <w:rPr>
          <w:sz w:val="24"/>
          <w:szCs w:val="24"/>
          <w:color w:val="auto"/>
        </w:rPr>
      </w:pPr>
    </w:p>
    <w:p>
      <w:pPr>
        <w:sectPr>
          <w:pgSz w:w="11900" w:h="16838" w:orient="portrait"/>
          <w:cols w:equalWidth="0" w:num="3">
            <w:col w:w="2440" w:space="180"/>
            <w:col w:w="2080" w:space="260"/>
            <w:col w:w="5199"/>
          </w:cols>
          <w:pgMar w:left="300" w:top="23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of incorporation )</w:t>
      </w:r>
    </w:p>
    <w:p>
      <w:pPr>
        <w:sectPr>
          <w:pgSz w:w="11900" w:h="16838" w:orient="portrait"/>
          <w:cols w:equalWidth="0" w:num="1">
            <w:col w:w="10159"/>
          </w:cols>
          <w:pgMar w:left="300" w:top="230" w:right="1440" w:bottom="1440" w:gutter="0" w:footer="0" w:header="0"/>
          <w:type w:val="continuous"/>
        </w:sectPr>
      </w:pPr>
    </w:p>
    <w:p>
      <w:pPr>
        <w:spacing w:after="0" w:line="175" w:lineRule="exact"/>
        <w:rPr>
          <w:sz w:val="24"/>
          <w:szCs w:val="24"/>
          <w:color w:val="auto"/>
        </w:rPr>
      </w:pPr>
    </w:p>
    <w:p>
      <w:pPr>
        <w:jc w:val="center"/>
        <w:ind w:left="440" w:right="660"/>
        <w:spacing w:after="0" w:line="255" w:lineRule="auto"/>
        <w:rPr>
          <w:sz w:val="20"/>
          <w:szCs w:val="20"/>
          <w:color w:val="auto"/>
        </w:rPr>
      </w:pPr>
      <w:r>
        <w:rPr>
          <w:rFonts w:ascii="Courier New" w:cs="Courier New" w:eastAsia="Courier New" w:hAnsi="Courier New"/>
          <w:sz w:val="14"/>
          <w:szCs w:val="14"/>
          <w:color w:val="auto"/>
        </w:rPr>
        <w:t>575 Market Street, San Francisco, CA -------------------------------------- (Address of principal executive offices)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94105</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580" w:space="720"/>
            <w:col w:w="4859"/>
          </w:cols>
          <w:pgMar w:left="300" w:top="23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(415) 894-7700</w:t>
      </w:r>
    </w:p>
    <w:p>
      <w:pPr>
        <w:spacing w:after="0" w:line="342"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NONE</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(Former name or former address, if changed since last report)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5. Other Events.</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700" w:right="3559"/>
        <w:spacing w:after="0" w:line="258" w:lineRule="auto"/>
        <w:rPr>
          <w:sz w:val="20"/>
          <w:szCs w:val="20"/>
          <w:color w:val="auto"/>
        </w:rPr>
      </w:pPr>
      <w:r>
        <w:rPr>
          <w:rFonts w:ascii="Courier New" w:cs="Courier New" w:eastAsia="Courier New" w:hAnsi="Courier New"/>
          <w:sz w:val="14"/>
          <w:szCs w:val="14"/>
          <w:color w:val="auto"/>
        </w:rPr>
        <w:t>Chevron Corporation's Audited 1999 Financial Statements are attached as Item 7, Exhibit 99.1.</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7. Financial Statements, Pro Forma Financial Information and Exhibits</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1060" w:hanging="357"/>
        <w:spacing w:after="0"/>
        <w:tabs>
          <w:tab w:leader="none" w:pos="10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99.1  Chevron Corporation's Audited 1999 Financial Statements.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4"/>
          <w:szCs w:val="24"/>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Dated: March 6, 2000</w:t>
      </w:r>
    </w:p>
    <w:p>
      <w:pPr>
        <w:spacing w:after="0" w:line="175" w:lineRule="exact"/>
        <w:rPr>
          <w:sz w:val="24"/>
          <w:szCs w:val="24"/>
          <w:color w:val="auto"/>
        </w:rPr>
      </w:pPr>
    </w:p>
    <w:p>
      <w:pPr>
        <w:jc w:val="center"/>
        <w:ind w:right="319"/>
        <w:spacing w:after="0"/>
        <w:rPr>
          <w:sz w:val="20"/>
          <w:szCs w:val="20"/>
          <w:color w:val="auto"/>
        </w:rPr>
      </w:pPr>
      <w:r>
        <w:rPr>
          <w:rFonts w:ascii="Courier New" w:cs="Courier New" w:eastAsia="Courier New" w:hAnsi="Courier New"/>
          <w:sz w:val="14"/>
          <w:szCs w:val="14"/>
          <w:color w:val="auto"/>
        </w:rPr>
        <w:t>CHEVRON CORPORATION</w:t>
      </w:r>
    </w:p>
    <w:p>
      <w:pPr>
        <w:spacing w:after="0" w:line="342" w:lineRule="exact"/>
        <w:rPr>
          <w:sz w:val="24"/>
          <w:szCs w:val="24"/>
          <w:color w:val="auto"/>
        </w:rPr>
      </w:pPr>
    </w:p>
    <w:p>
      <w:pPr>
        <w:jc w:val="center"/>
        <w:ind w:right="-880"/>
        <w:spacing w:after="0"/>
        <w:tabs>
          <w:tab w:leader="none" w:pos="240" w:val="left"/>
        </w:tabs>
        <w:rPr>
          <w:sz w:val="20"/>
          <w:szCs w:val="20"/>
          <w:color w:val="auto"/>
        </w:rPr>
      </w:pPr>
      <w:r>
        <w:rPr>
          <w:rFonts w:ascii="Courier New" w:cs="Courier New" w:eastAsia="Courier New" w:hAnsi="Courier New"/>
          <w:sz w:val="14"/>
          <w:szCs w:val="14"/>
          <w:color w:val="auto"/>
        </w:rPr>
        <w:t>By</w:t>
        <w:tab/>
        <w:t>/s/ S.J. CROWE</w:t>
      </w:r>
    </w:p>
    <w:p>
      <w:pPr>
        <w:spacing w:after="0" w:line="8" w:lineRule="exact"/>
        <w:rPr>
          <w:sz w:val="24"/>
          <w:szCs w:val="24"/>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S. J. Crowe, Comptroller</w:t>
      </w:r>
    </w:p>
    <w:p>
      <w:pPr>
        <w:spacing w:after="0" w:line="8" w:lineRule="exact"/>
        <w:rPr>
          <w:sz w:val="24"/>
          <w:szCs w:val="24"/>
          <w:color w:val="auto"/>
        </w:rPr>
      </w:pPr>
    </w:p>
    <w:p>
      <w:pPr>
        <w:ind w:left="4260"/>
        <w:spacing w:after="0"/>
        <w:rPr>
          <w:sz w:val="20"/>
          <w:szCs w:val="20"/>
          <w:color w:val="auto"/>
        </w:rPr>
      </w:pPr>
      <w:r>
        <w:rPr>
          <w:rFonts w:ascii="Courier New" w:cs="Courier New" w:eastAsia="Courier New" w:hAnsi="Courier New"/>
          <w:sz w:val="14"/>
          <w:szCs w:val="14"/>
          <w:color w:val="auto"/>
        </w:rPr>
        <w:t>(Principal accounting Officer</w:t>
      </w:r>
    </w:p>
    <w:p>
      <w:pPr>
        <w:spacing w:after="0" w:line="8"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and Duly Authorized Officer)</w:t>
      </w:r>
    </w:p>
    <w:p>
      <w:pPr>
        <w:sectPr>
          <w:pgSz w:w="11900" w:h="16838" w:orient="portrait"/>
          <w:cols w:equalWidth="0" w:num="1">
            <w:col w:w="10159"/>
          </w:cols>
          <w:pgMar w:left="300" w:top="230" w:right="1440" w:bottom="1440" w:gutter="0" w:footer="0" w:header="0"/>
          <w:type w:val="continuous"/>
        </w:sectPr>
      </w:pPr>
    </w:p>
    <w:bookmarkStart w:id="1" w:name="page2"/>
    <w:bookmarkEnd w:id="1"/>
    <w:p>
      <w:pPr>
        <w:ind w:left="5640"/>
        <w:spacing w:after="0"/>
        <w:rPr>
          <w:sz w:val="20"/>
          <w:szCs w:val="20"/>
          <w:color w:val="auto"/>
        </w:rPr>
      </w:pPr>
      <w:r>
        <w:rPr>
          <w:rFonts w:ascii="Courier New" w:cs="Courier New" w:eastAsia="Courier New" w:hAnsi="Courier New"/>
          <w:sz w:val="14"/>
          <w:szCs w:val="14"/>
          <w:color w:val="auto"/>
        </w:rPr>
        <w:t>Exhibit 99.1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CHEVRON CORPORATION</w:t>
      </w:r>
    </w:p>
    <w:p>
      <w:pPr>
        <w:spacing w:after="0" w:line="17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Management of Chevron is responsible for preparing the accompanying financial statements and for ensuring their integrity and objectivity. The statements were prepared in accordance with accounting principles generally accepted in the United States and fairly represent the transactions and financial position of the company. The financial statements include amounts that are based on management's best estimates and judgments.</w:t>
      </w:r>
    </w:p>
    <w:p>
      <w:pPr>
        <w:spacing w:after="0" w:line="165"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company's statements have been audited by PricewaterhouseCoopers LLP, independent accountants, selected by the Audit Committee and approved by the stockholders. Management has made available to PricewaterhouseCoopers LLP all the company's financial records and related data, as well as the minutes of stockholders' and directors' meetings.</w:t>
      </w:r>
    </w:p>
    <w:p>
      <w:pPr>
        <w:spacing w:after="0" w:line="16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Management of the company has established and maintains a system of internal accounting controls that is designed to provide reasonable assurance that assets are safeguarded, transactions are properly recorded and executed in accordance with management's authorization, and the books and records accurately reflect the disposition of assets. The system of internal controls includes appropriate division of responsibility. The company maintains an internal audit department that conducts an extensive program of internal audits and independently assesses the effectiveness of the internal controls.</w:t>
      </w:r>
    </w:p>
    <w:p>
      <w:pPr>
        <w:spacing w:after="0" w:line="164"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Audit Committee is composed of directors who are not officers or employees of the company. It meets regularly with members of management, the internal auditors and the independent accountants to discuss the adequacy of the company's internal controls, its financial statements, and the nature, extent and results of the audit effort. Both the internal auditors and the independent accountants have free and direct access to the Audit Committee without the presence of management.</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Courier New" w:cs="Courier New" w:eastAsia="Courier New" w:hAnsi="Courier New"/>
                <w:sz w:val="14"/>
                <w:szCs w:val="14"/>
                <w:color w:val="auto"/>
              </w:rPr>
              <w:t>/s/ David J. O'Reilly</w:t>
            </w:r>
          </w:p>
        </w:tc>
        <w:tc>
          <w:tcPr>
            <w:tcW w:w="2520" w:type="dxa"/>
            <w:vAlign w:val="bottom"/>
          </w:tcPr>
          <w:p>
            <w:pPr>
              <w:ind w:left="80"/>
              <w:spacing w:after="0"/>
              <w:rPr>
                <w:sz w:val="20"/>
                <w:szCs w:val="20"/>
                <w:color w:val="auto"/>
              </w:rPr>
            </w:pPr>
            <w:r>
              <w:rPr>
                <w:rFonts w:ascii="Courier New" w:cs="Courier New" w:eastAsia="Courier New" w:hAnsi="Courier New"/>
                <w:sz w:val="14"/>
                <w:szCs w:val="14"/>
                <w:color w:val="auto"/>
              </w:rPr>
              <w:t>/s/ Martin R. Klitten</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/s/ Stephen J. Crowe</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David J. O'Reilly</w:t>
            </w:r>
          </w:p>
        </w:tc>
        <w:tc>
          <w:tcPr>
            <w:tcW w:w="2520" w:type="dxa"/>
            <w:vAlign w:val="bottom"/>
          </w:tcPr>
          <w:p>
            <w:pPr>
              <w:ind w:left="80"/>
              <w:spacing w:after="0"/>
              <w:rPr>
                <w:sz w:val="20"/>
                <w:szCs w:val="20"/>
                <w:color w:val="auto"/>
              </w:rPr>
            </w:pPr>
            <w:r>
              <w:rPr>
                <w:rFonts w:ascii="Courier New" w:cs="Courier New" w:eastAsia="Courier New" w:hAnsi="Courier New"/>
                <w:sz w:val="14"/>
                <w:szCs w:val="14"/>
                <w:color w:val="auto"/>
              </w:rPr>
              <w:t>Martin R. Klitten</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Stephen J. Crowe</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Chairman of the Board</w:t>
            </w:r>
          </w:p>
        </w:tc>
        <w:tc>
          <w:tcPr>
            <w:tcW w:w="252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Comptroller</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and Chief Executive Officer</w:t>
            </w:r>
          </w:p>
        </w:tc>
        <w:tc>
          <w:tcPr>
            <w:tcW w:w="2520" w:type="dxa"/>
            <w:vAlign w:val="bottom"/>
          </w:tcPr>
          <w:p>
            <w:pPr>
              <w:ind w:left="80"/>
              <w:spacing w:after="0"/>
              <w:rPr>
                <w:sz w:val="20"/>
                <w:szCs w:val="20"/>
                <w:color w:val="auto"/>
              </w:rPr>
            </w:pPr>
            <w:r>
              <w:rPr>
                <w:rFonts w:ascii="Courier New" w:cs="Courier New" w:eastAsia="Courier New" w:hAnsi="Courier New"/>
                <w:sz w:val="14"/>
                <w:szCs w:val="14"/>
                <w:color w:val="auto"/>
              </w:rPr>
              <w:t>and Chief Financial Officer</w:t>
            </w:r>
          </w:p>
        </w:tc>
        <w:tc>
          <w:tcPr>
            <w:tcW w:w="200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February 23, 2000</w:t>
            </w:r>
          </w:p>
        </w:tc>
        <w:tc>
          <w:tcPr>
            <w:tcW w:w="25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BOARD OF DIRECTORS OF CHEVRON CORPORATION</w:t>
      </w:r>
    </w:p>
    <w:p>
      <w:pPr>
        <w:spacing w:after="0" w:line="175"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statements of income, comprehensive income, stockholders' equity and cash flows present fairly, in all material respects, the financial position of Chevron Corporation and its subsidiaries at December 31, 1999 and 1998, and the results of their operations and their cash flows for each of the three years in the period ended December 31, 1999,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23, 2000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2939"/>
        <w:spacing w:after="0"/>
        <w:tabs>
          <w:tab w:leader="none" w:pos="2240" w:val="left"/>
          <w:tab w:leader="none" w:pos="1360" w:val="left"/>
          <w:tab w:leader="none" w:pos="500" w:val="left"/>
        </w:tabs>
        <w:rPr>
          <w:sz w:val="20"/>
          <w:szCs w:val="20"/>
          <w:color w:val="auto"/>
        </w:rPr>
      </w:pPr>
      <w:r>
        <w:rPr>
          <w:rFonts w:ascii="Courier New" w:cs="Courier New" w:eastAsia="Courier New" w:hAnsi="Courier New"/>
          <w:sz w:val="14"/>
          <w:szCs w:val="14"/>
          <w:color w:val="auto"/>
        </w:rPr>
        <w:t>Millions of dollars, except per-share amounts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40" w:type="dxa"/>
            <w:vAlign w:val="bottom"/>
          </w:tcPr>
          <w:p>
            <w:pPr>
              <w:ind w:left="800"/>
              <w:spacing w:after="0"/>
              <w:rPr>
                <w:sz w:val="20"/>
                <w:szCs w:val="20"/>
                <w:color w:val="auto"/>
              </w:rPr>
            </w:pPr>
            <w:r>
              <w:rPr>
                <w:rFonts w:ascii="Courier New" w:cs="Courier New" w:eastAsia="Courier New" w:hAnsi="Courier New"/>
                <w:sz w:val="14"/>
                <w:szCs w:val="14"/>
                <w:color w:val="auto"/>
              </w:rPr>
              <w:t>Sales and other operating revenues*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$35,448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$40,596</w:t>
            </w:r>
          </w:p>
        </w:tc>
      </w:tr>
      <w:tr>
        <w:trPr>
          <w:trHeight w:val="167"/>
        </w:trPr>
        <w:tc>
          <w:tcPr>
            <w:tcW w:w="4740" w:type="dxa"/>
            <w:vAlign w:val="bottom"/>
          </w:tcPr>
          <w:p>
            <w:pPr>
              <w:ind w:left="800"/>
              <w:spacing w:after="0"/>
              <w:rPr>
                <w:sz w:val="20"/>
                <w:szCs w:val="20"/>
                <w:color w:val="auto"/>
              </w:rPr>
            </w:pPr>
            <w:r>
              <w:rPr>
                <w:rFonts w:ascii="Courier New" w:cs="Courier New" w:eastAsia="Courier New" w:hAnsi="Courier New"/>
                <w:sz w:val="14"/>
                <w:szCs w:val="14"/>
                <w:color w:val="auto"/>
              </w:rPr>
              <w:t>Income from equity affiliates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r>
      <w:tr>
        <w:trPr>
          <w:trHeight w:val="167"/>
        </w:trPr>
        <w:tc>
          <w:tcPr>
            <w:tcW w:w="4740" w:type="dxa"/>
            <w:vAlign w:val="bottom"/>
          </w:tcPr>
          <w:p>
            <w:pPr>
              <w:ind w:left="800"/>
              <w:spacing w:after="0"/>
              <w:rPr>
                <w:sz w:val="20"/>
                <w:szCs w:val="20"/>
                <w:color w:val="auto"/>
              </w:rPr>
            </w:pPr>
            <w:r>
              <w:rPr>
                <w:rFonts w:ascii="Courier New" w:cs="Courier New" w:eastAsia="Courier New" w:hAnsi="Courier New"/>
                <w:sz w:val="14"/>
                <w:szCs w:val="14"/>
                <w:color w:val="auto"/>
              </w:rPr>
              <w:t>Other income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REVENUES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36,586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30,557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41,963</w:t>
            </w:r>
          </w:p>
        </w:tc>
      </w:tr>
    </w:tbl>
    <w:p>
      <w:pPr>
        <w:spacing w:after="0" w:line="4" w:lineRule="exact"/>
        <w:rPr>
          <w:sz w:val="20"/>
          <w:szCs w:val="20"/>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OTHER DEDUCTIONS</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Purchased crude oil and products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17,982</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14,036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20,223</w:t>
            </w:r>
          </w:p>
        </w:tc>
      </w:tr>
    </w:tbl>
    <w:p>
      <w:pPr>
        <w:sectPr>
          <w:pgSz w:w="11900" w:h="16838" w:orient="portrait"/>
          <w:cols w:equalWidth="0" w:num="1">
            <w:col w:w="10159"/>
          </w:cols>
          <w:pgMar w:left="300" w:top="308" w:right="1440" w:bottom="0" w:gutter="0" w:footer="0" w:header="0"/>
        </w:sectPr>
      </w:pPr>
    </w:p>
    <w:bookmarkStart w:id="2" w:name="page3"/>
    <w:bookmarkEnd w:id="2"/>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expenses .........................</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5,090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4,834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5,280</w:t>
            </w:r>
          </w:p>
        </w:tc>
      </w:tr>
      <w:tr>
        <w:trPr>
          <w:trHeight w:val="167"/>
        </w:trPr>
        <w:tc>
          <w:tcPr>
            <w:tcW w:w="40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1,533</w:t>
            </w:r>
          </w:p>
        </w:tc>
      </w:tr>
      <w:tr>
        <w:trPr>
          <w:trHeight w:val="167"/>
        </w:trPr>
        <w:tc>
          <w:tcPr>
            <w:tcW w:w="4020" w:type="dxa"/>
            <w:vAlign w:val="bottom"/>
          </w:tcPr>
          <w:p>
            <w:pPr>
              <w:spacing w:after="0"/>
              <w:rPr>
                <w:sz w:val="20"/>
                <w:szCs w:val="20"/>
                <w:color w:val="auto"/>
              </w:rPr>
            </w:pPr>
            <w:r>
              <w:rPr>
                <w:rFonts w:ascii="Courier New" w:cs="Courier New" w:eastAsia="Courier New" w:hAnsi="Courier New"/>
                <w:sz w:val="14"/>
                <w:szCs w:val="14"/>
                <w:color w:val="auto"/>
              </w:rPr>
              <w:t>Exploration expenses .......................</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r>
      <w:tr>
        <w:trPr>
          <w:trHeight w:val="167"/>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Depreciation, depletion and amortization ...</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2,300</w:t>
            </w:r>
          </w:p>
        </w:tc>
      </w:tr>
      <w:tr>
        <w:trPr>
          <w:trHeight w:val="167"/>
        </w:trPr>
        <w:tc>
          <w:tcPr>
            <w:tcW w:w="4020" w:type="dxa"/>
            <w:vAlign w:val="bottom"/>
          </w:tcPr>
          <w:p>
            <w:pPr>
              <w:spacing w:after="0"/>
              <w:rPr>
                <w:sz w:val="20"/>
                <w:szCs w:val="20"/>
                <w:color w:val="auto"/>
              </w:rPr>
            </w:pPr>
            <w:r>
              <w:rPr>
                <w:rFonts w:ascii="Courier New" w:cs="Courier New" w:eastAsia="Courier New" w:hAnsi="Courier New"/>
                <w:sz w:val="14"/>
                <w:szCs w:val="14"/>
                <w:color w:val="auto"/>
              </w:rPr>
              <w:t>Taxes other than on income* ................</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4,586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6,320</w:t>
            </w:r>
          </w:p>
        </w:tc>
      </w:tr>
      <w:tr>
        <w:trPr>
          <w:trHeight w:val="167"/>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and debt expense ..................</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2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TOTAL COSTS AND OTHER DEDUCTIONS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32,938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28,723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36,461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2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4200" w:type="dxa"/>
            <w:vAlign w:val="bottom"/>
          </w:tcPr>
          <w:p>
            <w:pPr>
              <w:ind w:left="40"/>
              <w:spacing w:after="0"/>
              <w:rPr>
                <w:sz w:val="20"/>
                <w:szCs w:val="20"/>
                <w:color w:val="auto"/>
              </w:rPr>
            </w:pPr>
            <w:r>
              <w:rPr>
                <w:rFonts w:ascii="Courier New" w:cs="Courier New" w:eastAsia="Courier New" w:hAnsi="Courier New"/>
                <w:sz w:val="14"/>
                <w:szCs w:val="14"/>
                <w:color w:val="auto"/>
              </w:rPr>
              <w:t>BEFORE INCOME TAX EXPENSE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5,502</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4200" w:type="dxa"/>
            <w:vAlign w:val="bottom"/>
          </w:tcPr>
          <w:p>
            <w:pPr>
              <w:ind w:left="40"/>
              <w:spacing w:after="0"/>
              <w:rPr>
                <w:sz w:val="20"/>
                <w:szCs w:val="20"/>
                <w:color w:val="auto"/>
              </w:rPr>
            </w:pPr>
            <w:r>
              <w:rPr>
                <w:rFonts w:ascii="Courier New" w:cs="Courier New" w:eastAsia="Courier New" w:hAnsi="Courier New"/>
                <w:sz w:val="14"/>
                <w:szCs w:val="14"/>
                <w:color w:val="auto"/>
              </w:rPr>
              <w:t>TAX EXPENSE ..................................</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$ 2,070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$ 1,339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$ 3,256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jc w:val="right"/>
              <w:spacing w:after="0"/>
              <w:rPr>
                <w:sz w:val="20"/>
                <w:szCs w:val="20"/>
                <w:color w:val="auto"/>
              </w:rPr>
            </w:pPr>
            <w:r>
              <w:rPr>
                <w:rFonts w:ascii="Courier New" w:cs="Courier New" w:eastAsia="Courier New" w:hAnsi="Courier New"/>
                <w:sz w:val="14"/>
                <w:szCs w:val="14"/>
                <w:color w:val="auto"/>
              </w:rPr>
              <w:t>NET INCOME PER SHARE OF COMMON STOCK -</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BASIC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r>
      <w:tr>
        <w:trPr>
          <w:trHeight w:val="167"/>
        </w:trPr>
        <w:tc>
          <w:tcPr>
            <w:tcW w:w="3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DILUTED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*Includes consumer excise</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taxes: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$ 3,910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$ 3,756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$ 5,587</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See accompanying notes to</w:t>
            </w:r>
          </w:p>
        </w:tc>
        <w:tc>
          <w:tcPr>
            <w:tcW w:w="3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financial statements.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COMPREHENSIVE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2779"/>
        <w:spacing w:after="0"/>
        <w:tabs>
          <w:tab w:leader="none" w:pos="2420" w:val="left"/>
          <w:tab w:leader="none" w:pos="1460" w:val="left"/>
          <w:tab w:leader="none" w:pos="500" w:val="left"/>
        </w:tabs>
        <w:rPr>
          <w:sz w:val="20"/>
          <w:szCs w:val="20"/>
          <w:color w:val="auto"/>
        </w:rPr>
      </w:pPr>
      <w:r>
        <w:rPr>
          <w:rFonts w:ascii="Courier New" w:cs="Courier New" w:eastAsia="Courier New" w:hAnsi="Courier New"/>
          <w:sz w:val="14"/>
          <w:szCs w:val="14"/>
          <w:color w:val="auto"/>
        </w:rPr>
        <w:t>Millions of dollars .................................</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$ 2,070</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$ 3,256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120" w:type="dxa"/>
            <w:vAlign w:val="bottom"/>
          </w:tcPr>
          <w:p>
            <w:pPr>
              <w:spacing w:after="0"/>
              <w:rPr>
                <w:sz w:val="20"/>
                <w:szCs w:val="20"/>
                <w:color w:val="auto"/>
              </w:rPr>
            </w:pPr>
            <w:r>
              <w:rPr>
                <w:rFonts w:ascii="Courier New" w:cs="Courier New" w:eastAsia="Courier New" w:hAnsi="Courier New"/>
                <w:sz w:val="14"/>
                <w:szCs w:val="14"/>
                <w:color w:val="auto"/>
              </w:rPr>
              <w:t>Currency translation adjustment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7"/>
        </w:trPr>
        <w:tc>
          <w:tcPr>
            <w:tcW w:w="4120" w:type="dxa"/>
            <w:vAlign w:val="bottom"/>
          </w:tcPr>
          <w:p>
            <w:pPr>
              <w:spacing w:after="0"/>
              <w:rPr>
                <w:sz w:val="20"/>
                <w:szCs w:val="20"/>
                <w:color w:val="auto"/>
              </w:rPr>
            </w:pPr>
            <w:r>
              <w:rPr>
                <w:rFonts w:ascii="Courier New" w:cs="Courier New" w:eastAsia="Courier New" w:hAnsi="Courier New"/>
                <w:sz w:val="14"/>
                <w:szCs w:val="14"/>
                <w:color w:val="auto"/>
              </w:rPr>
              <w:t>Unrealized holding gain (loss) on securities</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0"/>
        </w:trPr>
        <w:tc>
          <w:tcPr>
            <w:tcW w:w="4120" w:type="dxa"/>
            <w:vAlign w:val="bottom"/>
          </w:tcPr>
          <w:p>
            <w:pPr>
              <w:spacing w:after="0"/>
              <w:rPr>
                <w:sz w:val="20"/>
                <w:szCs w:val="20"/>
                <w:color w:val="auto"/>
              </w:rPr>
            </w:pPr>
            <w:r>
              <w:rPr>
                <w:rFonts w:ascii="Courier New" w:cs="Courier New" w:eastAsia="Courier New" w:hAnsi="Courier New"/>
                <w:sz w:val="14"/>
                <w:szCs w:val="14"/>
                <w:color w:val="auto"/>
              </w:rPr>
              <w:t>Minimum pension liability adjustment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bl>
    <w:p>
      <w:pPr>
        <w:spacing w:after="0" w:line="171"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4"/>
          <w:szCs w:val="14"/>
          <w:color w:val="auto"/>
        </w:rPr>
        <w:t>- ------------------------------------------------------------------------------------- OTHER COMPREHENSIVE INCOME, NET OF TAX .............. (25) (13) (173) - ------------------------------------------------------------------------------------- COMPREHENSIVE INCOME ................................ $ 2,045 $ 1,326 $ 3,083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14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CONSOLIDATED BALANCE SHEET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1479"/>
        <w:spacing w:after="0"/>
        <w:rPr>
          <w:sz w:val="20"/>
          <w:szCs w:val="20"/>
          <w:color w:val="auto"/>
        </w:rPr>
      </w:pPr>
      <w:r>
        <w:rPr>
          <w:rFonts w:ascii="Courier New" w:cs="Courier New" w:eastAsia="Courier New" w:hAnsi="Courier New"/>
          <w:sz w:val="14"/>
          <w:szCs w:val="14"/>
          <w:color w:val="auto"/>
        </w:rPr>
        <w:t>At December 31</w:t>
      </w:r>
    </w:p>
    <w:p>
      <w:pPr>
        <w:spacing w:after="0" w:line="8" w:lineRule="exact"/>
        <w:rPr>
          <w:sz w:val="20"/>
          <w:szCs w:val="20"/>
          <w:color w:val="auto"/>
        </w:rPr>
      </w:pPr>
    </w:p>
    <w:p>
      <w:pPr>
        <w:jc w:val="right"/>
        <w:ind w:right="14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1479"/>
        <w:spacing w:after="0"/>
        <w:tabs>
          <w:tab w:leader="none" w:pos="1540" w:val="left"/>
          <w:tab w:leader="none" w:pos="500" w:val="left"/>
        </w:tabs>
        <w:rPr>
          <w:sz w:val="20"/>
          <w:szCs w:val="20"/>
          <w:color w:val="auto"/>
        </w:rPr>
      </w:pPr>
      <w:r>
        <w:rPr>
          <w:rFonts w:ascii="Courier New" w:cs="Courier New" w:eastAsia="Courier New" w:hAnsi="Courier New"/>
          <w:sz w:val="14"/>
          <w:szCs w:val="14"/>
          <w:color w:val="auto"/>
        </w:rPr>
        <w:t>Millions of dollars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74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1,345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r>
      <w:tr>
        <w:trPr>
          <w:trHeight w:val="167"/>
        </w:trPr>
        <w:tc>
          <w:tcPr>
            <w:tcW w:w="6740" w:type="dxa"/>
            <w:vAlign w:val="bottom"/>
          </w:tcPr>
          <w:p>
            <w:pPr>
              <w:jc w:val="right"/>
              <w:spacing w:after="0"/>
              <w:rPr>
                <w:sz w:val="20"/>
                <w:szCs w:val="20"/>
                <w:color w:val="auto"/>
              </w:rPr>
            </w:pPr>
            <w:r>
              <w:rPr>
                <w:rFonts w:ascii="Courier New" w:cs="Courier New" w:eastAsia="Courier New" w:hAnsi="Courier New"/>
                <w:sz w:val="14"/>
                <w:szCs w:val="14"/>
                <w:color w:val="auto"/>
              </w:rPr>
              <w:t>Marketable securities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r>
      <w:tr>
        <w:trPr>
          <w:trHeight w:val="167"/>
        </w:trPr>
        <w:tc>
          <w:tcPr>
            <w:tcW w:w="6740" w:type="dxa"/>
            <w:vAlign w:val="bottom"/>
          </w:tcPr>
          <w:p>
            <w:pPr>
              <w:jc w:val="right"/>
              <w:spacing w:after="0"/>
              <w:rPr>
                <w:sz w:val="20"/>
                <w:szCs w:val="20"/>
                <w:color w:val="auto"/>
              </w:rPr>
            </w:pPr>
            <w:r>
              <w:rPr>
                <w:rFonts w:ascii="Courier New" w:cs="Courier New" w:eastAsia="Courier New" w:hAnsi="Courier New"/>
                <w:sz w:val="14"/>
                <w:szCs w:val="14"/>
                <w:color w:val="auto"/>
              </w:rPr>
              <w:t>Accounts and notes receivable (less allowance: 1999 - $36; 1998 - $27)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3,688</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2,813</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740" w:type="dxa"/>
            <w:vAlign w:val="bottom"/>
          </w:tcPr>
          <w:p>
            <w:pPr>
              <w:jc w:val="right"/>
              <w:spacing w:after="0"/>
              <w:rPr>
                <w:sz w:val="20"/>
                <w:szCs w:val="20"/>
                <w:color w:val="auto"/>
              </w:rPr>
            </w:pPr>
            <w:r>
              <w:rPr>
                <w:rFonts w:ascii="Courier New" w:cs="Courier New" w:eastAsia="Courier New" w:hAnsi="Courier New"/>
                <w:sz w:val="14"/>
                <w:szCs w:val="14"/>
                <w:color w:val="auto"/>
              </w:rPr>
              <w:t>Crude oil and petroleum products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585</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7"/>
        </w:trPr>
        <w:tc>
          <w:tcPr>
            <w:tcW w:w="6740" w:type="dxa"/>
            <w:vAlign w:val="bottom"/>
          </w:tcPr>
          <w:p>
            <w:pPr>
              <w:jc w:val="right"/>
              <w:spacing w:after="0"/>
              <w:rPr>
                <w:sz w:val="20"/>
                <w:szCs w:val="20"/>
                <w:color w:val="auto"/>
              </w:rPr>
            </w:pPr>
            <w:r>
              <w:rPr>
                <w:rFonts w:ascii="Courier New" w:cs="Courier New" w:eastAsia="Courier New" w:hAnsi="Courier New"/>
                <w:sz w:val="14"/>
                <w:szCs w:val="14"/>
                <w:color w:val="auto"/>
              </w:rPr>
              <w:t>Chemicals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7"/>
        </w:trPr>
        <w:tc>
          <w:tcPr>
            <w:tcW w:w="6740" w:type="dxa"/>
            <w:vAlign w:val="bottom"/>
          </w:tcPr>
          <w:p>
            <w:pPr>
              <w:jc w:val="right"/>
              <w:spacing w:after="0"/>
              <w:rPr>
                <w:sz w:val="20"/>
                <w:szCs w:val="20"/>
                <w:color w:val="auto"/>
              </w:rPr>
            </w:pPr>
            <w:r>
              <w:rPr>
                <w:rFonts w:ascii="Courier New" w:cs="Courier New" w:eastAsia="Courier New" w:hAnsi="Courier New"/>
                <w:sz w:val="14"/>
                <w:szCs w:val="14"/>
                <w:color w:val="auto"/>
              </w:rPr>
              <w:t>Materials, supplies and other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7"/>
        </w:trPr>
        <w:tc>
          <w:tcPr>
            <w:tcW w:w="67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1,402</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1,455</w:t>
            </w:r>
          </w:p>
        </w:tc>
      </w:tr>
      <w:tr>
        <w:trPr>
          <w:trHeight w:val="167"/>
        </w:trPr>
        <w:tc>
          <w:tcPr>
            <w:tcW w:w="6740" w:type="dxa"/>
            <w:vAlign w:val="bottom"/>
          </w:tcPr>
          <w:p>
            <w:pPr>
              <w:jc w:val="right"/>
              <w:spacing w:after="0"/>
              <w:rPr>
                <w:sz w:val="20"/>
                <w:szCs w:val="20"/>
                <w:color w:val="auto"/>
              </w:rPr>
            </w:pPr>
            <w:r>
              <w:rPr>
                <w:rFonts w:ascii="Courier New" w:cs="Courier New" w:eastAsia="Courier New" w:hAnsi="Courier New"/>
                <w:sz w:val="14"/>
                <w:szCs w:val="14"/>
                <w:color w:val="auto"/>
              </w:rPr>
              <w:t>Prepaid expenses and other current assets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1,175</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20"/>
                <w:szCs w:val="20"/>
                <w:color w:val="auto"/>
              </w:rPr>
            </w:pPr>
            <w:r>
              <w:rPr>
                <w:rFonts w:ascii="Courier New" w:cs="Courier New" w:eastAsia="Courier New" w:hAnsi="Courier New"/>
                <w:sz w:val="14"/>
                <w:szCs w:val="14"/>
                <w:color w:val="auto"/>
              </w:rPr>
              <w:t>TOTAL CURRENT ASSETS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6,297</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Long-term receivables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Investments and advances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4,604</w:t>
            </w:r>
          </w:p>
        </w:tc>
      </w:tr>
      <w:tr>
        <w:trPr>
          <w:trHeight w:val="334"/>
        </w:trPr>
        <w:tc>
          <w:tcPr>
            <w:tcW w:w="6740" w:type="dxa"/>
            <w:vAlign w:val="bottom"/>
          </w:tcPr>
          <w:p>
            <w:pPr>
              <w:spacing w:after="0"/>
              <w:rPr>
                <w:sz w:val="20"/>
                <w:szCs w:val="20"/>
                <w:color w:val="auto"/>
              </w:rPr>
            </w:pPr>
            <w:r>
              <w:rPr>
                <w:rFonts w:ascii="Courier New" w:cs="Courier New" w:eastAsia="Courier New" w:hAnsi="Courier New"/>
                <w:sz w:val="14"/>
                <w:szCs w:val="14"/>
                <w:color w:val="auto"/>
              </w:rPr>
              <w:t>Properties, plant and equipment, at cost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54,212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51,337</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depletion and amortization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27,608</w:t>
            </w:r>
          </w:p>
        </w:tc>
      </w:tr>
      <w:tr>
        <w:trPr>
          <w:trHeight w:val="167"/>
        </w:trPr>
        <w:tc>
          <w:tcPr>
            <w:tcW w:w="67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25,317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23,729</w:t>
            </w:r>
          </w:p>
        </w:tc>
      </w:tr>
      <w:tr>
        <w:trPr>
          <w:trHeight w:val="334"/>
        </w:trPr>
        <w:tc>
          <w:tcPr>
            <w:tcW w:w="6740" w:type="dxa"/>
            <w:vAlign w:val="bottom"/>
          </w:tcPr>
          <w:p>
            <w:pPr>
              <w:spacing w:after="0"/>
              <w:rPr>
                <w:sz w:val="20"/>
                <w:szCs w:val="20"/>
                <w:color w:val="auto"/>
              </w:rPr>
            </w:pPr>
            <w:r>
              <w:rPr>
                <w:rFonts w:ascii="Courier New" w:cs="Courier New" w:eastAsia="Courier New" w:hAnsi="Courier New"/>
                <w:sz w:val="14"/>
                <w:szCs w:val="14"/>
                <w:color w:val="auto"/>
              </w:rPr>
              <w:t>Deferred charges and other assets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$ 40,668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$ 36,540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820" w:type="dxa"/>
            <w:vAlign w:val="bottom"/>
          </w:tcPr>
          <w:p>
            <w:pPr>
              <w:ind w:left="60"/>
              <w:spacing w:after="0"/>
              <w:rPr>
                <w:sz w:val="20"/>
                <w:szCs w:val="20"/>
                <w:color w:val="auto"/>
              </w:rPr>
            </w:pPr>
            <w:r>
              <w:rPr>
                <w:rFonts w:ascii="Courier New" w:cs="Courier New" w:eastAsia="Courier New" w:hAnsi="Courier New"/>
                <w:sz w:val="14"/>
                <w:szCs w:val="14"/>
                <w:color w:val="auto"/>
              </w:rPr>
              <w:t>AND STOCKHOLDERS' EQUITY</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820" w:type="dxa"/>
            <w:vAlign w:val="bottom"/>
            <w:gridSpan w:val="2"/>
          </w:tcPr>
          <w:p>
            <w:pPr>
              <w:spacing w:after="0"/>
              <w:rPr>
                <w:sz w:val="20"/>
                <w:szCs w:val="20"/>
                <w:color w:val="auto"/>
              </w:rPr>
            </w:pPr>
            <w:r>
              <w:rPr>
                <w:rFonts w:ascii="Courier New" w:cs="Courier New" w:eastAsia="Courier New" w:hAnsi="Courier New"/>
                <w:sz w:val="14"/>
                <w:szCs w:val="14"/>
                <w:color w:val="auto"/>
              </w:rPr>
              <w:t>Short-term debt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3,434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3,165</w:t>
            </w:r>
          </w:p>
        </w:tc>
      </w:tr>
      <w:tr>
        <w:trPr>
          <w:trHeight w:val="167"/>
        </w:trPr>
        <w:tc>
          <w:tcPr>
            <w:tcW w:w="6820" w:type="dxa"/>
            <w:vAlign w:val="bottom"/>
            <w:gridSpan w:val="2"/>
          </w:tcPr>
          <w:p>
            <w:pPr>
              <w:spacing w:after="0"/>
              <w:rPr>
                <w:sz w:val="20"/>
                <w:szCs w:val="20"/>
                <w:color w:val="auto"/>
              </w:rPr>
            </w:pPr>
            <w:r>
              <w:rPr>
                <w:rFonts w:ascii="Courier New" w:cs="Courier New" w:eastAsia="Courier New" w:hAnsi="Courier New"/>
                <w:sz w:val="14"/>
                <w:szCs w:val="14"/>
                <w:color w:val="auto"/>
              </w:rPr>
              <w:t>Accounts payable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2,170</w:t>
            </w:r>
          </w:p>
        </w:tc>
      </w:tr>
      <w:tr>
        <w:trPr>
          <w:trHeight w:val="167"/>
        </w:trPr>
        <w:tc>
          <w:tcPr>
            <w:tcW w:w="6820" w:type="dxa"/>
            <w:vAlign w:val="bottom"/>
            <w:gridSpan w:val="2"/>
          </w:tcPr>
          <w:p>
            <w:pPr>
              <w:spacing w:after="0"/>
              <w:rPr>
                <w:sz w:val="20"/>
                <w:szCs w:val="20"/>
                <w:color w:val="auto"/>
              </w:rPr>
            </w:pPr>
            <w:r>
              <w:rPr>
                <w:rFonts w:ascii="Courier New" w:cs="Courier New" w:eastAsia="Courier New" w:hAnsi="Courier New"/>
                <w:sz w:val="14"/>
                <w:szCs w:val="14"/>
                <w:color w:val="auto"/>
              </w:rPr>
              <w:t>Accrued liabilities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1,202</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Federal and</w:t>
            </w:r>
          </w:p>
        </w:tc>
        <w:tc>
          <w:tcPr>
            <w:tcW w:w="5820" w:type="dxa"/>
            <w:vAlign w:val="bottom"/>
          </w:tcPr>
          <w:p>
            <w:pPr>
              <w:ind w:left="60"/>
              <w:spacing w:after="0"/>
              <w:rPr>
                <w:sz w:val="20"/>
                <w:szCs w:val="20"/>
                <w:color w:val="auto"/>
              </w:rPr>
            </w:pPr>
            <w:r>
              <w:rPr>
                <w:rFonts w:ascii="Courier New" w:cs="Courier New" w:eastAsia="Courier New" w:hAnsi="Courier New"/>
                <w:sz w:val="14"/>
                <w:szCs w:val="14"/>
                <w:color w:val="auto"/>
              </w:rPr>
              <w:t>other taxes on income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Other taxes</w:t>
            </w:r>
          </w:p>
        </w:tc>
        <w:tc>
          <w:tcPr>
            <w:tcW w:w="5820" w:type="dxa"/>
            <w:vAlign w:val="bottom"/>
          </w:tcPr>
          <w:p>
            <w:pPr>
              <w:ind w:left="60"/>
              <w:spacing w:after="0"/>
              <w:rPr>
                <w:sz w:val="20"/>
                <w:szCs w:val="20"/>
                <w:color w:val="auto"/>
              </w:rPr>
            </w:pPr>
            <w:r>
              <w:rPr>
                <w:rFonts w:ascii="Courier New" w:cs="Courier New" w:eastAsia="Courier New" w:hAnsi="Courier New"/>
                <w:sz w:val="14"/>
                <w:szCs w:val="14"/>
                <w:color w:val="auto"/>
              </w:rPr>
              <w:t>payable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20"/>
                <w:szCs w:val="20"/>
                <w:color w:val="auto"/>
              </w:rPr>
            </w:pPr>
            <w:r>
              <w:rPr>
                <w:rFonts w:ascii="Courier New" w:cs="Courier New" w:eastAsia="Courier New" w:hAnsi="Courier New"/>
                <w:sz w:val="14"/>
                <w:szCs w:val="14"/>
                <w:color w:val="auto"/>
              </w:rPr>
              <w:t>TOTAL CURRENT LIABILITIES ...................................................</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7,166</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Long-term debt ..............................................................</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4,128</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Capital lease obligations ...................................................</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Deferred credits and other noncurrent obligations ...........................</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2,560</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Noncurrent deferred income taxes ............................................</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3,645</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Reserves for employee benefit plans .........................................</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20"/>
                <w:szCs w:val="20"/>
                <w:color w:val="auto"/>
              </w:rPr>
            </w:pPr>
            <w:r>
              <w:rPr>
                <w:rFonts w:ascii="Courier New" w:cs="Courier New" w:eastAsia="Courier New" w:hAnsi="Courier New"/>
                <w:sz w:val="14"/>
                <w:szCs w:val="14"/>
                <w:color w:val="auto"/>
              </w:rPr>
              <w:t>TOTAL LIABILITIES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19,506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20"/>
                <w:szCs w:val="20"/>
                <w:color w:val="auto"/>
              </w:rPr>
            </w:pPr>
            <w:r>
              <w:rPr>
                <w:rFonts w:ascii="Courier New" w:cs="Courier New" w:eastAsia="Courier New" w:hAnsi="Courier New"/>
                <w:sz w:val="14"/>
                <w:szCs w:val="14"/>
                <w:color w:val="auto"/>
              </w:rPr>
              <w:t>Preferred stock (authorized 100,000,000 shares, $1.00 par value, none issued)</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Common stock (authorized 1,000,000,000 shares,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900" w:type="dxa"/>
            <w:vAlign w:val="bottom"/>
          </w:tcPr>
          <w:p>
            <w:pPr>
              <w:ind w:left="800"/>
              <w:spacing w:after="0"/>
              <w:rPr>
                <w:sz w:val="20"/>
                <w:szCs w:val="20"/>
                <w:color w:val="auto"/>
              </w:rPr>
            </w:pPr>
            <w:r>
              <w:rPr>
                <w:rFonts w:ascii="Courier New" w:cs="Courier New" w:eastAsia="Courier New" w:hAnsi="Courier New"/>
                <w:sz w:val="14"/>
                <w:szCs w:val="14"/>
                <w:color w:val="auto"/>
              </w:rPr>
              <w:t>$1.50 par value, 712,487,068 shares issued)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1,069</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Capital in excess of par value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2,215</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2,097</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Deferred compensation .......................................................</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(691)</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 ......................................</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Retained earnings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17,400</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16,942</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Treasury stock, at cost (1999 - 56,140,994 shares; 1998 - 59,460,666 shares)</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(2,293)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7100" w:val="left"/>
          <w:tab w:leader="none" w:pos="8140" w:val="left"/>
        </w:tabs>
        <w:rPr>
          <w:sz w:val="20"/>
          <w:szCs w:val="20"/>
          <w:color w:val="auto"/>
        </w:rPr>
      </w:pPr>
      <w:r>
        <w:rPr>
          <w:rFonts w:ascii="Courier New" w:cs="Courier New" w:eastAsia="Courier New" w:hAnsi="Courier New"/>
          <w:sz w:val="14"/>
          <w:szCs w:val="14"/>
          <w:color w:val="auto"/>
        </w:rPr>
        <w:t>TOTAL STOCKHOLDERS' EQUITY ..................................................</w:t>
      </w:r>
      <w:r>
        <w:rPr>
          <w:sz w:val="20"/>
          <w:szCs w:val="20"/>
          <w:color w:val="auto"/>
        </w:rPr>
        <w:tab/>
      </w:r>
      <w:r>
        <w:rPr>
          <w:rFonts w:ascii="Courier New" w:cs="Courier New" w:eastAsia="Courier New" w:hAnsi="Courier New"/>
          <w:sz w:val="14"/>
          <w:szCs w:val="14"/>
          <w:color w:val="auto"/>
        </w:rPr>
        <w:t>17,749</w:t>
      </w:r>
      <w:r>
        <w:rPr>
          <w:sz w:val="20"/>
          <w:szCs w:val="20"/>
          <w:color w:val="auto"/>
        </w:rPr>
        <w:tab/>
      </w:r>
      <w:r>
        <w:rPr>
          <w:rFonts w:ascii="Courier New" w:cs="Courier New" w:eastAsia="Courier New" w:hAnsi="Courier New"/>
          <w:sz w:val="14"/>
          <w:szCs w:val="14"/>
          <w:color w:val="auto"/>
        </w:rPr>
        <w:t>17,034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6940" w:val="left"/>
          <w:tab w:leader="none" w:pos="7980" w:val="left"/>
        </w:tabs>
        <w:rPr>
          <w:sz w:val="20"/>
          <w:szCs w:val="20"/>
          <w:color w:val="auto"/>
        </w:rPr>
      </w:pPr>
      <w:r>
        <w:rPr>
          <w:rFonts w:ascii="Courier New" w:cs="Courier New" w:eastAsia="Courier New" w:hAnsi="Courier New"/>
          <w:sz w:val="14"/>
          <w:szCs w:val="14"/>
          <w:color w:val="auto"/>
        </w:rPr>
        <w:t>TOTAL LIABILITIES AND STOCKHOLDERS' EQUITY ..................................</w:t>
        <w:tab/>
        <w:t>$ 40,668</w:t>
      </w:r>
      <w:r>
        <w:rPr>
          <w:sz w:val="20"/>
          <w:szCs w:val="20"/>
          <w:color w:val="auto"/>
        </w:rPr>
        <w:tab/>
      </w:r>
      <w:r>
        <w:rPr>
          <w:rFonts w:ascii="Courier New" w:cs="Courier New" w:eastAsia="Courier New" w:hAnsi="Courier New"/>
          <w:sz w:val="14"/>
          <w:szCs w:val="14"/>
          <w:color w:val="auto"/>
        </w:rPr>
        <w:t>$ 36,540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95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260"/>
        <w:spacing w:after="0"/>
        <w:tabs>
          <w:tab w:leader="none" w:pos="3540" w:val="left"/>
          <w:tab w:leader="none" w:pos="2060" w:val="left"/>
          <w:tab w:leader="none" w:pos="580" w:val="left"/>
        </w:tabs>
        <w:rPr>
          <w:sz w:val="20"/>
          <w:szCs w:val="20"/>
          <w:color w:val="auto"/>
        </w:rPr>
      </w:pPr>
      <w:r>
        <w:rPr>
          <w:rFonts w:ascii="Courier New" w:cs="Courier New" w:eastAsia="Courier New" w:hAnsi="Courier New"/>
          <w:sz w:val="14"/>
          <w:szCs w:val="14"/>
          <w:color w:val="auto"/>
        </w:rPr>
        <w:t>Millions of dollars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Net income .........................................................</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$ 2,070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$ 1,339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$ 3,256</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Adjustments</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Depreciation, depletion and amortization ...........................</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2,866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2,300</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Dry hole expense related to prior years' expenditures ..............</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Distributions (less than) greater than income from equity affiliates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(353)</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Net before-tax gains on asset retirements and sales ................</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(471)</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Net foreign currency losses (gains) ................................</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 provision ......................................</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Net decrease (increase) in operating working capital(1) ............</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636</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Cities Service provision ....................</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Cash settlement of Cities Service litigation .......................</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(775)</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80"/>
              <w:spacing w:after="0"/>
              <w:rPr>
                <w:sz w:val="20"/>
                <w:szCs w:val="20"/>
                <w:color w:val="auto"/>
              </w:rPr>
            </w:pPr>
            <w:r>
              <w:rPr>
                <w:rFonts w:ascii="Courier New" w:cs="Courier New" w:eastAsia="Courier New" w:hAnsi="Courier New"/>
                <w:sz w:val="14"/>
                <w:szCs w:val="14"/>
                <w:color w:val="auto"/>
              </w:rPr>
              <w:t>Other, net .........................................................</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187</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ACTIVITIES(2) .........................</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4,481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4,880</w:t>
            </w:r>
          </w:p>
        </w:tc>
      </w:tr>
    </w:tbl>
    <w:p>
      <w:pPr>
        <w:spacing w:after="0" w:line="4"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Capital expenditures ...............................................</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(4,366)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(3,899)</w:t>
            </w:r>
          </w:p>
        </w:tc>
      </w:tr>
      <w:tr>
        <w:trPr>
          <w:trHeight w:val="167"/>
        </w:trPr>
        <w:tc>
          <w:tcPr>
            <w:tcW w:w="6080" w:type="dxa"/>
            <w:vAlign w:val="bottom"/>
          </w:tcPr>
          <w:p>
            <w:pPr>
              <w:spacing w:after="0"/>
              <w:rPr>
                <w:sz w:val="20"/>
                <w:szCs w:val="20"/>
                <w:color w:val="auto"/>
              </w:rPr>
            </w:pPr>
            <w:r>
              <w:rPr>
                <w:rFonts w:ascii="Courier New" w:cs="Courier New" w:eastAsia="Courier New" w:hAnsi="Courier New"/>
                <w:sz w:val="14"/>
                <w:szCs w:val="14"/>
                <w:color w:val="auto"/>
              </w:rPr>
              <w:t>Proceeds from asset sales ..........................................</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992</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1,235</w:t>
            </w:r>
          </w:p>
        </w:tc>
      </w:tr>
      <w:tr>
        <w:trPr>
          <w:trHeight w:val="167"/>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sales (purchases) of marketable securities(3)...................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r>
      <w:tr>
        <w:trPr>
          <w:trHeight w:val="167"/>
        </w:trPr>
        <w:tc>
          <w:tcPr>
            <w:tcW w:w="6080" w:type="dxa"/>
            <w:vAlign w:val="bottom"/>
          </w:tcPr>
          <w:p>
            <w:pPr>
              <w:spacing w:after="0"/>
              <w:rPr>
                <w:sz w:val="20"/>
                <w:szCs w:val="20"/>
                <w:color w:val="auto"/>
              </w:rPr>
            </w:pPr>
            <w:r>
              <w:rPr>
                <w:rFonts w:ascii="Courier New" w:cs="Courier New" w:eastAsia="Courier New" w:hAnsi="Courier New"/>
                <w:sz w:val="14"/>
                <w:szCs w:val="14"/>
                <w:color w:val="auto"/>
              </w:rPr>
              <w:t>Other, net .........................................................</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 ...............................</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(3,080)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(2,860)</w:t>
            </w:r>
          </w:p>
        </w:tc>
      </w:tr>
    </w:tbl>
    <w:p>
      <w:pPr>
        <w:spacing w:after="0" w:line="4"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borrowings</w:t>
            </w:r>
          </w:p>
        </w:tc>
        <w:tc>
          <w:tcPr>
            <w:tcW w:w="4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(repayments) of short-term obligations ..............</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219</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w:t>
            </w:r>
          </w:p>
        </w:tc>
        <w:tc>
          <w:tcPr>
            <w:tcW w:w="4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issuances of long-term debt ..........................</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Repayments of</w:t>
            </w:r>
          </w:p>
        </w:tc>
        <w:tc>
          <w:tcPr>
            <w:tcW w:w="4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 and other financing obligations .......</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w:t>
            </w:r>
          </w:p>
        </w:tc>
        <w:tc>
          <w:tcPr>
            <w:tcW w:w="4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paid ................................................</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(1,493)</w:t>
            </w:r>
          </w:p>
        </w:tc>
      </w:tr>
      <w:tr>
        <w:trPr>
          <w:trHeight w:val="167"/>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5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sales (purchases) of treasury shares ...........................</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CASH USED FOR FINANCING ACTIVITIES ...............................</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(1,878)</w:t>
            </w:r>
          </w:p>
        </w:tc>
      </w:tr>
    </w:tbl>
    <w:p>
      <w:pPr>
        <w:spacing w:after="0" w:line="4"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FOREIGN CURRENCY EXCHANGE RATE CHANGES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ON CASH AND CASH EQUIVALENTS .......................................</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gridSpan w:val="5"/>
          </w:tcPr>
          <w:p>
            <w:pPr>
              <w:spacing w:after="0"/>
              <w:rPr>
                <w:sz w:val="20"/>
                <w:szCs w:val="20"/>
                <w:color w:val="auto"/>
              </w:rPr>
            </w:pPr>
            <w:r>
              <w:rPr>
                <w:rFonts w:ascii="Courier New" w:cs="Courier New" w:eastAsia="Courier New" w:hAnsi="Courier New"/>
                <w:sz w:val="14"/>
                <w:szCs w:val="14"/>
                <w:color w:val="auto"/>
              </w:rPr>
              <w:t>NET CHANGE IN CASH AND CASH EQUIVALENTS ..............................</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776</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(446)</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CASH AND</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CASH 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 .......................</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1,015</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CASH AND</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CASH 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YEAR-END ................................</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$ 1,345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569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8" w:lineRule="exact"/>
        <w:rPr>
          <w:sz w:val="20"/>
          <w:szCs w:val="20"/>
          <w:color w:val="auto"/>
        </w:rPr>
      </w:pPr>
    </w:p>
    <w:p>
      <w:pPr>
        <w:ind w:left="520" w:right="4860" w:hanging="511"/>
        <w:spacing w:after="0" w:line="252"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decrease (increase) in operating working capital" is composed of the following:</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(Increase)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decrease</w:t>
            </w:r>
          </w:p>
        </w:tc>
        <w:tc>
          <w:tcPr>
            <w:tcW w:w="38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 accounts and notes receivable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(810)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552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w:t>
            </w:r>
          </w:p>
        </w:tc>
      </w:tr>
      <w:tr>
        <w:trPr>
          <w:trHeight w:val="167"/>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Decrease (increase)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in inventories</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(Increase)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decrease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in prepaid expenses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other current assets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5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(decrease)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in accounts payable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accrued liabilities</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915</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(807)</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(685)</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(decrease)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in income and other</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taxes payable</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502</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(415)</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4640" w:type="dxa"/>
            <w:vAlign w:val="bottom"/>
          </w:tcPr>
          <w:p>
            <w:pPr>
              <w:spacing w:after="0"/>
              <w:rPr>
                <w:sz w:val="20"/>
                <w:szCs w:val="20"/>
                <w:color w:val="auto"/>
              </w:rPr>
            </w:pPr>
            <w:r>
              <w:rPr>
                <w:rFonts w:ascii="Courier New" w:cs="Courier New" w:eastAsia="Courier New" w:hAnsi="Courier New"/>
                <w:sz w:val="14"/>
                <w:szCs w:val="14"/>
                <w:color w:val="auto"/>
              </w:rPr>
              <w:t>Net decrease (increase) in operating working capital</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636</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4080" w:hanging="431"/>
        <w:spacing w:after="0" w:line="252" w:lineRule="auto"/>
        <w:tabs>
          <w:tab w:leader="none" w:pos="35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operating activities" includes the following cash payments for interest and income taxes:</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980" w:type="dxa"/>
            <w:vAlign w:val="bottom"/>
          </w:tcPr>
          <w:p>
            <w:pPr>
              <w:spacing w:after="0"/>
              <w:rPr>
                <w:sz w:val="20"/>
                <w:szCs w:val="20"/>
                <w:color w:val="auto"/>
              </w:rPr>
            </w:pPr>
            <w:r>
              <w:rPr>
                <w:rFonts w:ascii="Courier New" w:cs="Courier New" w:eastAsia="Courier New" w:hAnsi="Courier New"/>
                <w:sz w:val="14"/>
                <w:szCs w:val="14"/>
                <w:color w:val="auto"/>
              </w:rPr>
              <w:t>Interest paid on debt (net of capitalized interest)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r>
      <w:tr>
        <w:trPr>
          <w:trHeight w:val="167"/>
        </w:trPr>
        <w:tc>
          <w:tcPr>
            <w:tcW w:w="49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864</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1,706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4600" w:hanging="431"/>
        <w:spacing w:after="0" w:line="252" w:lineRule="auto"/>
        <w:tabs>
          <w:tab w:leader="none" w:pos="35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(purchases) of marketable securities" consists of the following gross amounts:</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Marketable</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purchased</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$(2,812)</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$(2,679)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$(2,724)</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Marketable</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sold</w:t>
            </w:r>
          </w:p>
        </w:tc>
        <w:tc>
          <w:tcPr>
            <w:tcW w:w="2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3,074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2,496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spacing w:after="0"/>
        <w:tabs>
          <w:tab w:leader="none" w:pos="6320" w:val="left"/>
          <w:tab w:leader="none" w:pos="6680" w:val="left"/>
          <w:tab w:leader="none" w:pos="7800" w:val="left"/>
          <w:tab w:leader="none" w:pos="8060" w:val="left"/>
          <w:tab w:leader="none" w:pos="9360" w:val="left"/>
          <w:tab w:leader="none" w:pos="9700" w:val="left"/>
        </w:tabs>
        <w:rPr>
          <w:sz w:val="20"/>
          <w:szCs w:val="20"/>
          <w:color w:val="auto"/>
        </w:rPr>
      </w:pPr>
      <w:r>
        <w:rPr>
          <w:rFonts w:ascii="Courier New" w:cs="Courier New" w:eastAsia="Courier New" w:hAnsi="Courier New"/>
          <w:sz w:val="14"/>
          <w:szCs w:val="14"/>
          <w:color w:val="auto"/>
        </w:rPr>
        <w:t>Net sales (purchases) of marketable securities</w:t>
      </w:r>
      <w:r>
        <w:rPr>
          <w:sz w:val="20"/>
          <w:szCs w:val="20"/>
          <w:color w:val="auto"/>
        </w:rPr>
        <w:tab/>
      </w:r>
      <w:r>
        <w:rPr>
          <w:rFonts w:ascii="Courier New" w:cs="Courier New" w:eastAsia="Courier New" w:hAnsi="Courier New"/>
          <w:sz w:val="14"/>
          <w:szCs w:val="14"/>
          <w:color w:val="auto"/>
        </w:rPr>
        <w:t>$</w:t>
        <w:tab/>
        <w:t>262</w:t>
      </w:r>
      <w:r>
        <w:rPr>
          <w:sz w:val="20"/>
          <w:szCs w:val="20"/>
          <w:color w:val="auto"/>
        </w:rPr>
        <w:tab/>
      </w:r>
      <w:r>
        <w:rPr>
          <w:rFonts w:ascii="Courier New" w:cs="Courier New" w:eastAsia="Courier New" w:hAnsi="Courier New"/>
          <w:sz w:val="14"/>
          <w:szCs w:val="14"/>
          <w:color w:val="auto"/>
        </w:rPr>
        <w:t>$</w:t>
        <w:tab/>
        <w:t>(183)</w:t>
      </w:r>
      <w:r>
        <w:rPr>
          <w:sz w:val="20"/>
          <w:szCs w:val="20"/>
          <w:color w:val="auto"/>
        </w:rPr>
        <w:tab/>
      </w:r>
      <w:r>
        <w:rPr>
          <w:rFonts w:ascii="Courier New" w:cs="Courier New" w:eastAsia="Courier New" w:hAnsi="Courier New"/>
          <w:sz w:val="14"/>
          <w:szCs w:val="14"/>
          <w:color w:val="auto"/>
        </w:rPr>
        <w:t>$</w:t>
        <w:tab/>
        <w:t>101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60"/>
          </w:cols>
          <w:pgMar w:left="300" w:top="954" w:right="14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CONSOLIDATED STATEMENT OF STOCKHOLDERS'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1300"/>
        <w:spacing w:after="0" w:line="252" w:lineRule="auto"/>
        <w:rPr>
          <w:sz w:val="20"/>
          <w:szCs w:val="20"/>
          <w:color w:val="auto"/>
        </w:rPr>
      </w:pPr>
      <w:r>
        <w:rPr>
          <w:rFonts w:ascii="Courier New" w:cs="Courier New" w:eastAsia="Courier New" w:hAnsi="Courier New"/>
          <w:sz w:val="14"/>
          <w:szCs w:val="14"/>
          <w:color w:val="auto"/>
        </w:rPr>
        <w:t>1999                       1998                      1997 -----------------------   ------------------------  ------------------------ Amounts in millions of dollars          Shares       Amount         Shares      Amount         Shares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w:t>
            </w: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Balance at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January 1</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712,487,068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1,069</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712,487,068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712,487,068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1,069</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during year</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Balance at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712,487,068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1,069</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712,487,068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712,487,068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1,069</w:t>
            </w:r>
          </w:p>
        </w:tc>
      </w:tr>
    </w:tbl>
    <w:p>
      <w:pPr>
        <w:spacing w:after="0" w:line="4"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TREASURY STOCK AT COST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at January 1</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59,460,666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$(2,293)</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56,555,871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59,401,015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rPr>
              <w:t>Purchases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56,052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5,246,100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1,255,022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7"/>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rPr>
              <w:t>Reissuances</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(3,375,724)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(2,341,305)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(4,100,166)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w:t>
            </w:r>
          </w:p>
        </w:tc>
      </w:tr>
      <w:tr>
        <w:trPr>
          <w:trHeight w:val="167"/>
        </w:trPr>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at December 31</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56,140,994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$(2,174)</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59,460,666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56,555,871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$(1,977)</w:t>
            </w:r>
          </w:p>
        </w:tc>
      </w:tr>
    </w:tbl>
    <w:p>
      <w:pPr>
        <w:spacing w:after="0" w:line="4"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 IN EXCESS OF PAR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January 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1,874</w:t>
            </w:r>
          </w:p>
        </w:tc>
      </w:tr>
      <w:tr>
        <w:trPr>
          <w:trHeight w:val="167"/>
        </w:trPr>
        <w:tc>
          <w:tcPr>
            <w:tcW w:w="3440" w:type="dxa"/>
            <w:vAlign w:val="bottom"/>
            <w:gridSpan w:val="3"/>
          </w:tcPr>
          <w:p>
            <w:pPr>
              <w:spacing w:after="0"/>
              <w:rPr>
                <w:sz w:val="20"/>
                <w:szCs w:val="20"/>
                <w:color w:val="auto"/>
              </w:rPr>
            </w:pPr>
            <w:r>
              <w:rPr>
                <w:rFonts w:ascii="Courier New" w:cs="Courier New" w:eastAsia="Courier New" w:hAnsi="Courier New"/>
                <w:sz w:val="14"/>
                <w:szCs w:val="14"/>
                <w:color w:val="auto"/>
              </w:rPr>
              <w:t>Treasury stock transactions</w:t>
            </w:r>
          </w:p>
        </w:tc>
        <w:tc>
          <w:tcPr>
            <w:tcW w:w="1220" w:type="dxa"/>
            <w:vAlign w:val="bottom"/>
          </w:tcPr>
          <w:p>
            <w:pPr>
              <w:spacing w:after="0"/>
              <w:rPr>
                <w:sz w:val="14"/>
                <w:szCs w:val="14"/>
                <w:color w:val="auto"/>
              </w:rPr>
            </w:pPr>
          </w:p>
        </w:tc>
        <w:tc>
          <w:tcPr>
            <w:tcW w:w="13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118</w:t>
            </w:r>
          </w:p>
        </w:tc>
        <w:tc>
          <w:tcPr>
            <w:tcW w:w="1000" w:type="dxa"/>
            <w:vAlign w:val="bottom"/>
          </w:tcPr>
          <w:p>
            <w:pPr>
              <w:spacing w:after="0"/>
              <w:rPr>
                <w:sz w:val="14"/>
                <w:szCs w:val="14"/>
                <w:color w:val="auto"/>
              </w:rPr>
            </w:pP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75</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7"/>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2,215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2,097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2,022</w:t>
            </w:r>
          </w:p>
        </w:tc>
      </w:tr>
    </w:tbl>
    <w:p>
      <w:pPr>
        <w:spacing w:after="0" w:line="4"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January 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(691)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7"/>
        </w:trPr>
        <w:tc>
          <w:tcPr>
            <w:tcW w:w="3820" w:type="dxa"/>
            <w:vAlign w:val="bottom"/>
            <w:gridSpan w:val="3"/>
          </w:tcPr>
          <w:p>
            <w:pPr>
              <w:spacing w:after="0"/>
              <w:rPr>
                <w:sz w:val="20"/>
                <w:szCs w:val="20"/>
                <w:color w:val="auto"/>
              </w:rPr>
            </w:pPr>
            <w:r>
              <w:rPr>
                <w:rFonts w:ascii="Courier New" w:cs="Courier New" w:eastAsia="Courier New" w:hAnsi="Courier New"/>
                <w:sz w:val="14"/>
                <w:szCs w:val="14"/>
                <w:color w:val="auto"/>
              </w:rPr>
              <w:t>Net Reduction of ESOP debt and other</w:t>
            </w:r>
          </w:p>
        </w:tc>
        <w:tc>
          <w:tcPr>
            <w:tcW w:w="880" w:type="dxa"/>
            <w:vAlign w:val="bottom"/>
          </w:tcPr>
          <w:p>
            <w:pPr>
              <w:spacing w:after="0"/>
              <w:rPr>
                <w:sz w:val="14"/>
                <w:szCs w:val="14"/>
                <w:color w:val="auto"/>
              </w:rPr>
            </w:pPr>
          </w:p>
        </w:tc>
        <w:tc>
          <w:tcPr>
            <w:tcW w:w="1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45</w:t>
            </w:r>
          </w:p>
        </w:tc>
        <w:tc>
          <w:tcPr>
            <w:tcW w:w="100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59</w:t>
            </w:r>
          </w:p>
        </w:tc>
        <w:tc>
          <w:tcPr>
            <w:tcW w:w="9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r>
      <w:tr>
        <w:trPr>
          <w:trHeight w:val="167"/>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2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(646)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bl>
    <w:p>
      <w:pPr>
        <w:spacing w:after="0" w:line="4"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ACCUMULATED OTHER COMPREHENSIVE INCOME(1)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January</w:t>
            </w:r>
          </w:p>
        </w:tc>
        <w:tc>
          <w:tcPr>
            <w:tcW w:w="160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1</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w:t>
            </w:r>
          </w:p>
        </w:tc>
      </w:tr>
      <w:tr>
        <w:trPr>
          <w:trHeight w:val="167"/>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Change during year</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spacing w:after="0"/>
              <w:rPr>
                <w:sz w:val="14"/>
                <w:szCs w:val="14"/>
                <w:color w:val="auto"/>
              </w:rPr>
            </w:pP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7"/>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2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bl>
    <w:p>
      <w:pPr>
        <w:spacing w:after="0" w:line="4"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Balance at January 1</w:t>
            </w:r>
          </w:p>
        </w:tc>
        <w:tc>
          <w:tcPr>
            <w:tcW w:w="20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$16,942</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$17,185</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$15,408</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2,070</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1,339</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3,256</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Cash dividends (per-share amounts</w:t>
            </w:r>
          </w:p>
        </w:tc>
        <w:tc>
          <w:tcPr>
            <w:tcW w:w="2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1999: $2.48; 1998: $2.44; 1997: $2.28)</w:t>
            </w:r>
          </w:p>
        </w:tc>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(1,625)</w:t>
            </w:r>
          </w:p>
        </w:tc>
        <w:tc>
          <w:tcPr>
            <w:tcW w:w="2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(1,596)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(1,493)</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Tax benefit from dividends paid on</w:t>
            </w:r>
          </w:p>
        </w:tc>
        <w:tc>
          <w:tcPr>
            <w:tcW w:w="2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4000" w:type="dxa"/>
            <w:vAlign w:val="bottom"/>
          </w:tcPr>
          <w:p>
            <w:pPr>
              <w:ind w:left="880"/>
              <w:spacing w:after="0"/>
              <w:rPr>
                <w:sz w:val="20"/>
                <w:szCs w:val="20"/>
                <w:color w:val="auto"/>
              </w:rPr>
            </w:pPr>
            <w:r>
              <w:rPr>
                <w:rFonts w:ascii="Courier New" w:cs="Courier New" w:eastAsia="Courier New" w:hAnsi="Courier New"/>
                <w:sz w:val="14"/>
                <w:szCs w:val="14"/>
                <w:color w:val="auto"/>
              </w:rPr>
              <w:t>unallocated ESOP shares</w:t>
            </w:r>
          </w:p>
        </w:tc>
        <w:tc>
          <w:tcPr>
            <w:tcW w:w="20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13</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7"/>
        </w:trPr>
        <w:tc>
          <w:tcPr>
            <w:tcW w:w="4000" w:type="dxa"/>
            <w:vAlign w:val="bottom"/>
          </w:tcPr>
          <w:p>
            <w:pPr>
              <w:spacing w:after="0"/>
              <w:rPr>
                <w:sz w:val="14"/>
                <w:szCs w:val="14"/>
                <w:color w:val="auto"/>
              </w:rPr>
            </w:pPr>
          </w:p>
        </w:tc>
        <w:tc>
          <w:tcPr>
            <w:tcW w:w="20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20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$17,400</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$16,942</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STOCKHOLDERS' EQUITY AT DECEMBER 31</w:t>
            </w:r>
          </w:p>
        </w:tc>
        <w:tc>
          <w:tcPr>
            <w:tcW w:w="19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$17,749</w:t>
            </w:r>
          </w:p>
        </w:tc>
        <w:tc>
          <w:tcPr>
            <w:tcW w:w="2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$17,034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$17,472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ACCUMULATED OTHER COMPREHENSIVE INCOME:</w:t>
      </w:r>
    </w:p>
    <w:p>
      <w:pPr>
        <w:spacing w:after="0" w:line="8" w:lineRule="exact"/>
        <w:rPr>
          <w:sz w:val="20"/>
          <w:szCs w:val="20"/>
          <w:color w:val="auto"/>
        </w:rPr>
      </w:pPr>
    </w:p>
    <w:p>
      <w:pPr>
        <w:ind w:left="3400"/>
        <w:spacing w:after="0"/>
        <w:tabs>
          <w:tab w:leader="none" w:pos="5880" w:val="left"/>
          <w:tab w:leader="none" w:pos="8400" w:val="left"/>
        </w:tabs>
        <w:rPr>
          <w:sz w:val="20"/>
          <w:szCs w:val="20"/>
          <w:color w:val="auto"/>
        </w:rPr>
      </w:pPr>
      <w:r>
        <w:rPr>
          <w:rFonts w:ascii="Courier New" w:cs="Courier New" w:eastAsia="Courier New" w:hAnsi="Courier New"/>
          <w:sz w:val="14"/>
          <w:szCs w:val="14"/>
          <w:color w:val="auto"/>
        </w:rPr>
        <w:t>Currency Translation</w:t>
      </w:r>
      <w:r>
        <w:rPr>
          <w:sz w:val="20"/>
          <w:szCs w:val="20"/>
          <w:color w:val="auto"/>
        </w:rPr>
        <w:tab/>
      </w:r>
      <w:r>
        <w:rPr>
          <w:rFonts w:ascii="Courier New" w:cs="Courier New" w:eastAsia="Courier New" w:hAnsi="Courier New"/>
          <w:sz w:val="14"/>
          <w:szCs w:val="14"/>
          <w:color w:val="auto"/>
        </w:rPr>
        <w:t>Unrealized Holding</w:t>
      </w:r>
      <w:r>
        <w:rPr>
          <w:sz w:val="20"/>
          <w:szCs w:val="20"/>
          <w:color w:val="auto"/>
        </w:rPr>
        <w:tab/>
      </w:r>
      <w:r>
        <w:rPr>
          <w:rFonts w:ascii="Courier New" w:cs="Courier New" w:eastAsia="Courier New" w:hAnsi="Courier New"/>
          <w:sz w:val="14"/>
          <w:szCs w:val="14"/>
          <w:color w:val="auto"/>
        </w:rPr>
        <w:t>Minimum Pension</w:t>
      </w:r>
    </w:p>
    <w:p>
      <w:pPr>
        <w:spacing w:after="0" w:line="8" w:lineRule="exact"/>
        <w:rPr>
          <w:sz w:val="20"/>
          <w:szCs w:val="20"/>
          <w:color w:val="auto"/>
        </w:rPr>
      </w:pPr>
    </w:p>
    <w:p>
      <w:pPr>
        <w:ind w:left="4260"/>
        <w:spacing w:after="0"/>
        <w:tabs>
          <w:tab w:leader="none" w:pos="5880" w:val="left"/>
          <w:tab w:leader="none" w:pos="7980" w:val="left"/>
          <w:tab w:leader="none" w:pos="10400" w:val="left"/>
        </w:tabs>
        <w:rPr>
          <w:sz w:val="20"/>
          <w:szCs w:val="20"/>
          <w:color w:val="auto"/>
        </w:rPr>
      </w:pPr>
      <w:r>
        <w:rPr>
          <w:rFonts w:ascii="Courier New" w:cs="Courier New" w:eastAsia="Courier New" w:hAnsi="Courier New"/>
          <w:sz w:val="14"/>
          <w:szCs w:val="14"/>
          <w:color w:val="auto"/>
        </w:rPr>
        <w:t>Adjustment</w:t>
      </w:r>
      <w:r>
        <w:rPr>
          <w:sz w:val="20"/>
          <w:szCs w:val="20"/>
          <w:color w:val="auto"/>
        </w:rPr>
        <w:tab/>
      </w:r>
      <w:r>
        <w:rPr>
          <w:rFonts w:ascii="Courier New" w:cs="Courier New" w:eastAsia="Courier New" w:hAnsi="Courier New"/>
          <w:sz w:val="14"/>
          <w:szCs w:val="14"/>
          <w:color w:val="auto"/>
        </w:rPr>
        <w:t>Gain on Securities</w:t>
      </w:r>
      <w:r>
        <w:rPr>
          <w:sz w:val="20"/>
          <w:szCs w:val="20"/>
          <w:color w:val="auto"/>
        </w:rPr>
        <w:tab/>
      </w:r>
      <w:r>
        <w:rPr>
          <w:rFonts w:ascii="Courier New" w:cs="Courier New" w:eastAsia="Courier New" w:hAnsi="Courier New"/>
          <w:sz w:val="14"/>
          <w:szCs w:val="14"/>
          <w:color w:val="auto"/>
        </w:rPr>
        <w:t>Liability Adjustment</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Courier New" w:cs="Courier New" w:eastAsia="Courier New" w:hAnsi="Courier New"/>
                <w:sz w:val="14"/>
                <w:szCs w:val="14"/>
                <w:color w:val="auto"/>
              </w:rPr>
              <w:t>Balance at January</w:t>
            </w:r>
          </w:p>
        </w:tc>
        <w:tc>
          <w:tcPr>
            <w:tcW w:w="17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1, 1997</w:t>
            </w:r>
          </w:p>
        </w:tc>
        <w:tc>
          <w:tcPr>
            <w:tcW w:w="26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   118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14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96</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Change during year</w:t>
            </w:r>
          </w:p>
        </w:tc>
        <w:tc>
          <w:tcPr>
            <w:tcW w:w="1780" w:type="dxa"/>
            <w:vAlign w:val="bottom"/>
          </w:tcPr>
          <w:p>
            <w:pPr>
              <w:spacing w:after="0"/>
              <w:rPr>
                <w:sz w:val="14"/>
                <w:szCs w:val="14"/>
                <w:color w:val="auto"/>
              </w:rPr>
            </w:pP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(173)</w:t>
            </w:r>
          </w:p>
        </w:tc>
        <w:tc>
          <w:tcPr>
            <w:tcW w:w="108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Balance at December 31, 1997</w:t>
            </w:r>
          </w:p>
        </w:tc>
        <w:tc>
          <w:tcPr>
            <w:tcW w:w="2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(55)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Change during year</w:t>
            </w:r>
          </w:p>
        </w:tc>
        <w:tc>
          <w:tcPr>
            <w:tcW w:w="2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spacing w:after="0"/>
              <w:rPr>
                <w:sz w:val="14"/>
                <w:szCs w:val="14"/>
                <w:color w:val="auto"/>
              </w:rPr>
            </w:pP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Balance at</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December 31, 1998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7"/>
        </w:trPr>
        <w:tc>
          <w:tcPr>
            <w:tcW w:w="3480" w:type="dxa"/>
            <w:vAlign w:val="bottom"/>
            <w:gridSpan w:val="3"/>
          </w:tcPr>
          <w:p>
            <w:pPr>
              <w:spacing w:after="0"/>
              <w:rPr>
                <w:sz w:val="20"/>
                <w:szCs w:val="20"/>
                <w:color w:val="auto"/>
              </w:rPr>
            </w:pPr>
            <w:r>
              <w:rPr>
                <w:rFonts w:ascii="Courier New" w:cs="Courier New" w:eastAsia="Courier New" w:hAnsi="Courier New"/>
                <w:sz w:val="14"/>
                <w:szCs w:val="14"/>
                <w:color w:val="auto"/>
              </w:rPr>
              <w:t>Change during year</w:t>
            </w:r>
          </w:p>
        </w:tc>
        <w:tc>
          <w:tcPr>
            <w:tcW w:w="1260" w:type="dxa"/>
            <w:vAlign w:val="bottom"/>
          </w:tcPr>
          <w:p>
            <w:pPr>
              <w:spacing w:after="0"/>
              <w:rPr>
                <w:sz w:val="14"/>
                <w:szCs w:val="14"/>
                <w:color w:val="auto"/>
              </w:rPr>
            </w:pP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(43)</w:t>
            </w:r>
          </w:p>
        </w:tc>
        <w:tc>
          <w:tcPr>
            <w:tcW w:w="1080" w:type="dxa"/>
            <w:vAlign w:val="bottom"/>
          </w:tcPr>
          <w:p>
            <w:pPr>
              <w:spacing w:after="0"/>
              <w:rPr>
                <w:sz w:val="14"/>
                <w:szCs w:val="14"/>
                <w:color w:val="auto"/>
              </w:rPr>
            </w:pP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Balance at</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December 31, 1999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020"/>
          </w:cols>
          <w:pgMar w:left="300" w:top="954" w:right="57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 of dollars, except per-share amounts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Chevron Corporation is an international company that, through its subsidiaries and affiliates, engages in fully integrated petroleum operations, chemicals operations and coal mining in the United States and more than 100 countries. Petroleum operations consist of exploring for, developing and producing crude oil and natural gas; transporting crude oil, natural gas and products by pipelines, marine vessels and motor equipment; refining crude oil into finished petroleum products; and marketing crude oil, natural gas and refined petroleum products. Chemicals operations include the manufacture and marketing of a wide range of chemicals for industrial uses.</w:t>
      </w:r>
    </w:p>
    <w:p>
      <w:pPr>
        <w:spacing w:after="0" w:line="164"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In preparing its consolidated financial statements, the company follows accounting policies that are in accordance with accounting principles generally accepted in the United States. This requires the use of estimates and assumptions that affect the assets, liabilities, revenues and expenses reported in the financial statements, as well as amounts included in the notes thereto, including discussion and disclosure of contingent liabilities. While the company uses its best estimates and judgments, actual results could differ from these estimates as future confirming events occur.</w:t>
      </w:r>
    </w:p>
    <w:p>
      <w:pPr>
        <w:spacing w:after="0" w:line="164"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nature of the company's operations and the many countries in which it operates subject it to changing economic, regulatory and political conditions. Also, the company imports crude oil for its U.S. refining operations. The company does not believe it is vulnerable to the risk of a near-term severe impact as a result of any concentration of its activities.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and Affiliated Companies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consolidated financial statements include the accounts of subsidiary companies more than 50 percent owned. Investments in and advances to affiliates in which the company has a substantial ownership interest of approximately 20 percent to 50 percent, or for which the company exercises significant influence but not control over policy decisions, are accounted for by the equity method. Under this accounting, remaining unamortized cost is increased or decreased by the company's share of earnings or losses after dividends.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 Accounting</w:t>
      </w:r>
    </w:p>
    <w:p>
      <w:pPr>
        <w:spacing w:after="0" w:line="8"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The successful efforts method is used for oil and gas exploration and production activities.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Gains and losses on hedges of existing assets or liabilities are included in the carrying amounts of those assets or liabilities and are ultimately recognized in income as part of those carrying amounts. Gains and losses related to qualifying hedges of firm commitments or anticipated transactions also are deferred and are recognized in income or as adjustments of carrying amounts when the underlying hedged transaction occurs. Cash flows associated with these derivatives are reported with the underlying hedged transaction's cash flows. If, subsequent to being hedged, underlying transactions are no longer likely to occur, the related derivatives gains and losses are recognized currently in income. Gains and losses on derivatives contracts that do not qualify as hedges are recognized currently in "Other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Investments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All short-term investments are classified as available for sale and are in highly liquid debt or equity securities. Those investments that are part of the company's cash management portfolio with original maturities of three months or less are reported as cash equivalents. The balance of the short-term investments is reported as "Marketable securities." Short-term investments are marked-to-market with any unrealized gains or losses included in other comprehensive income.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8"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Crude oil, petroleum products and chemicals are stated at cost, using a Last-In, First-Out (LIFO) method. In the aggregate, these costs are below market. Materials, supplies and other inventories generally are stated at average cost.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Plant and Equipment</w:t>
      </w:r>
    </w:p>
    <w:p>
      <w:pPr>
        <w:spacing w:after="0" w:line="8"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All costs for development wells, related plant and equipment, and proved mineral interests in oil and gas properties are capitalized. Costs of exploratory wells are capitalized pending determination of whether the wells found proved reserves. Costs of wells that are assigned proved reserves remain capitalized. All other exploratory wells and costs are expensed.</w:t>
      </w:r>
    </w:p>
    <w:p>
      <w:pPr>
        <w:spacing w:after="0" w:line="16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Long-lived assets, including proved oil and gas properties, are assessed for possible impairment by comparing their carrying values to the undiscounted future net before-tax cash flows. Impaired assets are written down to their estimated fair values, generally their discounted cash flows. For proved oil and gas properties in the United States, the company generally performs the impairment review on an individual field basis. Outside the United States, reviews are performed on a country or concession basis. Impairment amounts are recorded as incremental depreciation expense in the period in which the event occurs.</w:t>
      </w:r>
    </w:p>
    <w:p>
      <w:pPr>
        <w:spacing w:after="0" w:line="331"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Depreciation and depletion (including provisions for future abandonment and restoration costs) of all capitalized costs of proved oil and gas producing properties, except mineral interests, are expensed using the unit-of-production method by individual fields as the proved developed reserves are produced. Depletion expenses for capitalized costs of proved mineral interests are recognized using the unit-of-production method by individual fields as the related proved reserves are produced. Periodic valuation provisions for impairment of capitalized costs of unproved mineral interests are expensed.</w:t>
      </w:r>
    </w:p>
    <w:p>
      <w:pPr>
        <w:spacing w:after="0" w:line="164" w:lineRule="exact"/>
        <w:rPr>
          <w:sz w:val="20"/>
          <w:szCs w:val="20"/>
          <w:color w:val="auto"/>
        </w:rPr>
      </w:pPr>
    </w:p>
    <w:p>
      <w:pPr>
        <w:spacing w:after="0"/>
        <w:tabs>
          <w:tab w:leader="none" w:pos="1300" w:val="left"/>
          <w:tab w:leader="none" w:pos="1720" w:val="left"/>
          <w:tab w:leader="none" w:pos="2760" w:val="left"/>
          <w:tab w:leader="none" w:pos="3640" w:val="left"/>
          <w:tab w:leader="none" w:pos="4060" w:val="left"/>
          <w:tab w:leader="none" w:pos="4580" w:val="left"/>
          <w:tab w:leader="none" w:pos="5020" w:val="left"/>
          <w:tab w:leader="none" w:pos="6060" w:val="left"/>
          <w:tab w:leader="none" w:pos="6680" w:val="left"/>
        </w:tabs>
        <w:rPr>
          <w:sz w:val="20"/>
          <w:szCs w:val="20"/>
          <w:color w:val="auto"/>
        </w:rPr>
      </w:pPr>
      <w:r>
        <w:rPr>
          <w:rFonts w:ascii="Courier New" w:cs="Courier New" w:eastAsia="Courier New" w:hAnsi="Courier New"/>
          <w:sz w:val="14"/>
          <w:szCs w:val="14"/>
          <w:color w:val="auto"/>
        </w:rPr>
        <w:t>Depreciation</w:t>
        <w:tab/>
        <w:t>and</w:t>
        <w:tab/>
        <w:t>depletion</w:t>
        <w:tab/>
        <w:t>expenses</w:t>
        <w:tab/>
        <w:t>for</w:t>
        <w:tab/>
        <w:t>coal</w:t>
        <w:tab/>
        <w:t>are</w:t>
        <w:tab/>
        <w:t>determined</w:t>
        <w:tab/>
        <w:t>using</w:t>
        <w:tab/>
        <w:t>the</w:t>
      </w:r>
    </w:p>
    <w:p>
      <w:pPr>
        <w:sectPr>
          <w:pgSz w:w="11900" w:h="16838" w:orient="portrait"/>
          <w:cols w:equalWidth="0" w:num="1">
            <w:col w:w="10159"/>
          </w:cols>
          <w:pgMar w:left="300" w:top="620" w:right="1440" w:bottom="0" w:gutter="0" w:footer="0" w:header="0"/>
        </w:sectPr>
      </w:pPr>
    </w:p>
    <w:bookmarkStart w:id="7" w:name="page8"/>
    <w:bookmarkEnd w:id="7"/>
    <w:p>
      <w:pPr>
        <w:jc w:val="both"/>
        <w:ind w:right="3199"/>
        <w:spacing w:after="0" w:line="253" w:lineRule="auto"/>
        <w:rPr>
          <w:sz w:val="20"/>
          <w:szCs w:val="20"/>
          <w:color w:val="auto"/>
        </w:rPr>
      </w:pPr>
      <w:r>
        <w:rPr>
          <w:rFonts w:ascii="Courier New" w:cs="Courier New" w:eastAsia="Courier New" w:hAnsi="Courier New"/>
          <w:sz w:val="14"/>
          <w:szCs w:val="14"/>
          <w:color w:val="auto"/>
        </w:rPr>
        <w:t>unit-of-production method as the proved reserves are produced. The capitalized costs of all other plant and equipment are depreciated or amortized over estimated useful lives. In general, the declining-balance method is used to depreciate plant and equipment in the United States; the straight-line method generally is used to depreciate international plant and equipment and to amortize all capitalized leased assets. Gains or losses are not recognized for normal retirements of properties, plant and equipment subject to composite group amortization or depreciation.</w:t>
      </w:r>
    </w:p>
    <w:p>
      <w:pPr>
        <w:spacing w:after="0" w:line="164" w:lineRule="exact"/>
        <w:rPr>
          <w:sz w:val="20"/>
          <w:szCs w:val="20"/>
          <w:color w:val="auto"/>
        </w:rPr>
      </w:pPr>
    </w:p>
    <w:p>
      <w:pPr>
        <w:spacing w:after="0"/>
        <w:tabs>
          <w:tab w:leader="none" w:pos="1460" w:val="left"/>
          <w:tab w:leader="none" w:pos="1980" w:val="left"/>
          <w:tab w:leader="none" w:pos="2860" w:val="left"/>
          <w:tab w:leader="none" w:pos="3980" w:val="left"/>
          <w:tab w:leader="none" w:pos="5200" w:val="left"/>
          <w:tab w:leader="none" w:pos="6060" w:val="left"/>
        </w:tabs>
        <w:rPr>
          <w:sz w:val="20"/>
          <w:szCs w:val="20"/>
          <w:color w:val="auto"/>
        </w:rPr>
      </w:pPr>
      <w:r>
        <w:rPr>
          <w:rFonts w:ascii="Courier New" w:cs="Courier New" w:eastAsia="Courier New" w:hAnsi="Courier New"/>
          <w:sz w:val="14"/>
          <w:szCs w:val="14"/>
          <w:color w:val="auto"/>
        </w:rPr>
        <w:t>Gains or losses</w:t>
        <w:tab/>
        <w:t>from</w:t>
        <w:tab/>
        <w:t>abnormal</w:t>
        <w:tab/>
        <w:t>retirements</w:t>
        <w:tab/>
        <w:t>or sales are</w:t>
        <w:tab/>
        <w:t>included</w:t>
        <w:tab/>
        <w:t>in income.</w:t>
      </w:r>
    </w:p>
    <w:p>
      <w:pPr>
        <w:spacing w:after="0" w:line="175" w:lineRule="exact"/>
        <w:rPr>
          <w:sz w:val="20"/>
          <w:szCs w:val="20"/>
          <w:color w:val="auto"/>
        </w:rPr>
      </w:pPr>
    </w:p>
    <w:p>
      <w:pPr>
        <w:jc w:val="both"/>
        <w:ind w:right="3199"/>
        <w:spacing w:after="0" w:line="260" w:lineRule="auto"/>
        <w:rPr>
          <w:sz w:val="20"/>
          <w:szCs w:val="20"/>
          <w:color w:val="auto"/>
        </w:rPr>
      </w:pPr>
      <w:r>
        <w:rPr>
          <w:rFonts w:ascii="Courier New" w:cs="Courier New" w:eastAsia="Courier New" w:hAnsi="Courier New"/>
          <w:sz w:val="14"/>
          <w:szCs w:val="14"/>
          <w:color w:val="auto"/>
        </w:rPr>
        <w:t>Expenditures for maintenance, repairs and minor renewals to maintain facilities in operating condition are expensed. Major replacements and renewals are capitalized.</w:t>
      </w:r>
    </w:p>
    <w:p>
      <w:pPr>
        <w:spacing w:after="0" w:line="200" w:lineRule="exact"/>
        <w:rPr>
          <w:sz w:val="20"/>
          <w:szCs w:val="20"/>
          <w:color w:val="auto"/>
        </w:rPr>
      </w:pPr>
    </w:p>
    <w:p>
      <w:pPr>
        <w:spacing w:after="0" w:line="29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14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Expenditures</w:t>
      </w:r>
    </w:p>
    <w:p>
      <w:pPr>
        <w:spacing w:after="0" w:line="8"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Environmental expenditures that relate to current ongoing operations or to conditions caused by past operations are expensed. Expenditures that create future benefits or contribute to future revenue generation are capitalized.</w:t>
      </w:r>
    </w:p>
    <w:p>
      <w:pPr>
        <w:spacing w:after="0" w:line="16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Liabilities related to future remediation costs are recorded when environmental assessments and/or cleanups are probable and the costs can be reasonably estimated. Other than for assessments, the timing and magnitude of these accruals are generally based on the company's commitment to a formal plan of action, such as an approved remediation plan or the sale or disposal of an asset. For the company's U.S. and Canadian marketing facilities, the accrual is based on the probability that a future remediation commitment will be required. For oil and gas and coal producing properties, a provision is made through depreciation expense for anticipated abandonment and restoration costs at the end of the property's useful life.</w:t>
      </w:r>
    </w:p>
    <w:p>
      <w:pPr>
        <w:spacing w:after="0" w:line="164"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For Superfund sites, the company records a liability for its share of costs when it has been named as a Potentially Responsible Party (PRP) and when an assessment or cleanup plan has been developed. This liability includes the company's own portion of the costs and also the company's portion of amounts for other PRPs when it is probable that they will not be able to pay their share of the cleanup obligation.</w:t>
      </w:r>
    </w:p>
    <w:p>
      <w:pPr>
        <w:spacing w:after="0" w:line="165"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 records the gross amount of its liability based on its best estimate of future costs using currently available technology and applying current regulations as well as the company's own internal environmental policies. Future amounts are not discounted. Recoveries or reimbursements are recorded as an asset when receipt is reasonably ensured.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Translation</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U.S. dollar is the functional currency for the company's consolidated operations as well as for substantially all operations of its equity method companies. For those operations, all gains or losses from currency transactions are currently included in income. The cumulative translation effects for the few equity affiliates using functional currencies other than the U.S. dollar are included in the currency translation adjustment in stockholders' equity.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w:t>
      </w:r>
    </w:p>
    <w:p>
      <w:pPr>
        <w:spacing w:after="0" w:line="8"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Income taxes are accrued for retained earnings of international subsidiaries and corporate joint ventures intended to be remitted. Income taxes are not accrued for unremitted earnings of international operations that have been, or are intended to be, reinvested indefinitely.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Revenues associated with sales of crude oil, natural gas, coal, petroleum and chemicals products, and all other sources are recorded when title passes to the customer, net of royalties, discounts and allowances, as applicable. Revenues from natural gas production from properties in which Chevron has an interest with other producers are recognized on the basis of the company's net working interest (entitlement method).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Compensation</w:t>
      </w:r>
    </w:p>
    <w:p>
      <w:pPr>
        <w:spacing w:after="0" w:line="8"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 applies Accounting Principles Board (APB) Opinion No. 25, "Accounting for Stock Issued to Employees," and related interpretations in accounting for stock options and presents in Note 19 pro forma net income and earnings per share data as if the accounting prescribed by SFAS No. 123, "Accounting for Stock-Based Compensation," had been applied.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2.SPECIAL ITEMS AND OTHER FINANCIAL INFORMATION</w:t>
      </w:r>
    </w:p>
    <w:p>
      <w:pPr>
        <w:spacing w:after="0" w:line="8"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Net income is affected by transactions that are unrelated to or are not necessarily representative of the company's ongoing operations for the periods presented. These transactions, defined by management and designated "special items," can obscure the underlying results of operations for a year as well as affect comparability of results between years.</w:t>
      </w:r>
    </w:p>
    <w:p>
      <w:pPr>
        <w:spacing w:after="0" w:line="162" w:lineRule="exact"/>
        <w:rPr>
          <w:sz w:val="20"/>
          <w:szCs w:val="20"/>
          <w:color w:val="auto"/>
        </w:rPr>
      </w:pPr>
    </w:p>
    <w:p>
      <w:pPr>
        <w:spacing w:after="0"/>
        <w:tabs>
          <w:tab w:leader="none" w:pos="1560" w:val="left"/>
          <w:tab w:leader="none" w:pos="6060" w:val="left"/>
        </w:tabs>
        <w:rPr>
          <w:sz w:val="20"/>
          <w:szCs w:val="20"/>
          <w:color w:val="auto"/>
        </w:rPr>
      </w:pPr>
      <w:r>
        <w:rPr>
          <w:rFonts w:ascii="Courier New" w:cs="Courier New" w:eastAsia="Courier New" w:hAnsi="Courier New"/>
          <w:sz w:val="14"/>
          <w:szCs w:val="14"/>
          <w:color w:val="auto"/>
        </w:rPr>
        <w:t>Listed below are</w:t>
        <w:tab/>
        <w:t>categories of special items and their net increase</w:t>
        <w:tab/>
        <w:t>(decrease)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net income, after related tax effects.</w:t>
      </w:r>
    </w:p>
    <w:p>
      <w:pPr>
        <w:spacing w:after="0" w:line="200" w:lineRule="exact"/>
        <w:rPr>
          <w:sz w:val="20"/>
          <w:szCs w:val="20"/>
          <w:color w:val="auto"/>
        </w:rPr>
      </w:pPr>
    </w:p>
    <w:p>
      <w:pPr>
        <w:spacing w:after="0" w:line="309"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860"/>
        <w:spacing w:after="0"/>
        <w:tabs>
          <w:tab w:leader="none" w:pos="5620" w:val="left"/>
          <w:tab w:leader="none" w:pos="64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Asset write-offs and revaluations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Asset impairments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 Oil and gas properties .........</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(68)</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 Coal assets ....................</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U.S. refining, marketing and</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transportation assets ............</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Chemicals assets ..........................</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Real estate assets ........................</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Other .....................................</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456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bl>
    <w:p>
      <w:pPr>
        <w:spacing w:after="0" w:line="4"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 dispositions, net</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Pipeline interests ........................</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Real estate ...............................</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Coal assets ...............................</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Marketable securities .....................</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80" w:type="dxa"/>
            <w:vAlign w:val="bottom"/>
          </w:tcPr>
          <w:p>
            <w:pPr>
              <w:spacing w:after="0"/>
              <w:rPr>
                <w:sz w:val="20"/>
                <w:szCs w:val="20"/>
                <w:color w:val="auto"/>
              </w:rPr>
            </w:pPr>
            <w:r>
              <w:rPr>
                <w:rFonts w:ascii="Courier New" w:cs="Courier New" w:eastAsia="Courier New" w:hAnsi="Courier New"/>
                <w:sz w:val="14"/>
                <w:szCs w:val="14"/>
                <w:color w:val="auto"/>
              </w:rPr>
              <w:t>Oil and gas assets ........................</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bl>
    <w:p>
      <w:pPr>
        <w:sectPr>
          <w:pgSz w:w="11900" w:h="16838" w:orient="portrait"/>
          <w:cols w:equalWidth="0" w:num="1">
            <w:col w:w="10159"/>
          </w:cols>
          <w:pgMar w:left="300" w:top="620" w:right="1440" w:bottom="0" w:gutter="0" w:footer="0" w:header="0"/>
        </w:sectPr>
      </w:pPr>
    </w:p>
    <w:bookmarkStart w:id="9" w:name="page10"/>
    <w:bookmarkEnd w:id="9"/>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Caltex interest in equity affiliate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Chemicals affiliate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U.K. refining and marketing exit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Domestic shipping assets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376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4940" w:val="left"/>
          <w:tab w:leader="none" w:pos="5720" w:val="left"/>
          <w:tab w:leader="none" w:pos="6500" w:val="left"/>
        </w:tabs>
        <w:rPr>
          <w:sz w:val="20"/>
          <w:szCs w:val="20"/>
          <w:color w:val="auto"/>
        </w:rPr>
      </w:pPr>
      <w:r>
        <w:rPr>
          <w:rFonts w:ascii="Courier New" w:cs="Courier New" w:eastAsia="Courier New" w:hAnsi="Courier New"/>
          <w:sz w:val="14"/>
          <w:szCs w:val="14"/>
          <w:color w:val="auto"/>
        </w:rPr>
        <w:t>Prior-year tax adjustments .........................</w:t>
      </w:r>
      <w:r>
        <w:rPr>
          <w:sz w:val="20"/>
          <w:szCs w:val="20"/>
          <w:color w:val="auto"/>
        </w:rPr>
        <w:tab/>
      </w: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4840" w:val="left"/>
          <w:tab w:leader="none" w:pos="5720" w:val="left"/>
          <w:tab w:leader="none" w:pos="6500" w:val="left"/>
        </w:tabs>
        <w:rPr>
          <w:sz w:val="20"/>
          <w:szCs w:val="20"/>
          <w:color w:val="auto"/>
        </w:rPr>
      </w:pPr>
      <w:r>
        <w:rPr>
          <w:rFonts w:ascii="Courier New" w:cs="Courier New" w:eastAsia="Courier New" w:hAnsi="Courier New"/>
          <w:sz w:val="14"/>
          <w:szCs w:val="14"/>
          <w:color w:val="auto"/>
        </w:rPr>
        <w:t>Environmental remediation provisions, net ..........</w:t>
      </w:r>
      <w:r>
        <w:rPr>
          <w:sz w:val="20"/>
          <w:szCs w:val="20"/>
          <w:color w:val="auto"/>
        </w:rPr>
        <w:tab/>
      </w:r>
      <w:r>
        <w:rPr>
          <w:rFonts w:ascii="Courier New" w:cs="Courier New" w:eastAsia="Courier New" w:hAnsi="Courier New"/>
          <w:sz w:val="14"/>
          <w:szCs w:val="14"/>
          <w:color w:val="auto"/>
        </w:rPr>
        <w:t>(123)</w:t>
      </w:r>
      <w:r>
        <w:rPr>
          <w:sz w:val="20"/>
          <w:szCs w:val="20"/>
          <w:color w:val="auto"/>
        </w:rPr>
        <w:tab/>
      </w: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Restructurings and reorganizations</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Corporate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Caltex</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affiliate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Dynegy</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affiliate ..........................</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LIFO inventory gains (losses)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net</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Litigation and regulatory issues* .........</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Settlement of insurance claims ............</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Caltex write-off of start-up costs (SOP 98-5)</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60" w:type="dxa"/>
            <w:vAlign w:val="bottom"/>
          </w:tcPr>
          <w:p>
            <w:pPr>
              <w:spacing w:after="0"/>
              <w:rPr>
                <w:sz w:val="20"/>
                <w:szCs w:val="20"/>
                <w:color w:val="auto"/>
              </w:rPr>
            </w:pPr>
            <w:r>
              <w:rPr>
                <w:rFonts w:ascii="Courier New" w:cs="Courier New" w:eastAsia="Courier New" w:hAnsi="Courier New"/>
                <w:sz w:val="14"/>
                <w:szCs w:val="14"/>
                <w:color w:val="auto"/>
              </w:rPr>
              <w:t>Performance stock options .................</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6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6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special items, after tax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and 1998 include effects related to Cities Service litigation.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5"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14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Note 2. SPECIAL ITEMS AND OTHER FINANCIAL INFORMATION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Other financial information is as follows.</w:t>
      </w:r>
    </w:p>
    <w:p>
      <w:pPr>
        <w:spacing w:after="0" w:line="200" w:lineRule="exact"/>
        <w:rPr>
          <w:sz w:val="20"/>
          <w:szCs w:val="20"/>
          <w:color w:val="auto"/>
        </w:rPr>
      </w:pPr>
    </w:p>
    <w:p>
      <w:pPr>
        <w:spacing w:after="0" w:line="309"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3740"/>
        <w:spacing w:after="0"/>
        <w:tabs>
          <w:tab w:leader="none" w:pos="4500" w:val="left"/>
          <w:tab w:leader="none" w:pos="52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Total financing interest and debt costs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Less: capitalized interest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26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7"/>
        </w:trPr>
        <w:tc>
          <w:tcPr>
            <w:tcW w:w="3480" w:type="dxa"/>
            <w:vAlign w:val="bottom"/>
          </w:tcPr>
          <w:p>
            <w:pPr>
              <w:spacing w:after="0"/>
              <w:rPr>
                <w:sz w:val="14"/>
                <w:szCs w:val="14"/>
                <w:color w:val="auto"/>
              </w:rPr>
            </w:pPr>
          </w:p>
        </w:tc>
        <w:tc>
          <w:tcPr>
            <w:tcW w:w="2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Interest and debt expense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472</w:t>
            </w:r>
          </w:p>
        </w:tc>
        <w:tc>
          <w:tcPr>
            <w:tcW w:w="26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26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Foreign currency (losses) gains*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*Includes $(15), $(68) and $177 in 1999, 1998 and 1997, respectively, for the company's share of affiliates' foreign currency (losses) gains.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The excess of current cost (based on average acquisition costs for the year) over the carrying value of inventories for which the LIFO method is used was $871, $584 and $1,089 at December 31, 1999, 1998 and 1997,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CUMULATIVE EFFECT ON NET INCOME FROM ACCOUNTING CHANGES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In April 1998, the AICPA released Statement of Position 98-5, "Reporting on the Costs of Start-up Activities" (SOP 98-5), which introduced a broad definition of items to expense as incurred for start-up activities, including new products/services, entering new territories, initiating new processes or commencing new operations. Chevron was substantially in compliance with the pronouncement. However, Caltex capitalized these types of costs for certain projects. Chevron recorded its $25 share of the charge associated with Caltex's 1998 implementation of SOP 98-5, effective January 1, 1998.</w:t>
      </w:r>
    </w:p>
    <w:p>
      <w:pPr>
        <w:spacing w:after="0" w:line="164"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In 1998, Chevron changed its method of calculating certain Canadian deferred income taxes, effective January 1, 1998. The benefit from this change was $32.</w:t>
      </w:r>
    </w:p>
    <w:p>
      <w:pPr>
        <w:spacing w:after="0" w:line="160"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The net benefit to Chevron's 1998 net income from the cumulative effect of adopting SOP 98-5 by Caltex and the change in Chevron's method of calculating Canadian deferred taxes was immaterial.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INFORMATION RELATING TO THE CONSOLIDATED STATEMENT OF CASH FLOWS</w:t>
      </w:r>
    </w:p>
    <w:p>
      <w:pPr>
        <w:spacing w:after="0" w:line="8"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The Consolidated Statement of Cash Flows excludes the following significant noncash transactions.</w:t>
      </w:r>
    </w:p>
    <w:p>
      <w:pPr>
        <w:spacing w:after="0" w:line="160"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During 1999, the company acquired the Rutherford-Moran Oil Corporation and Petrolera Argentina San Jorge S.A. Only the net cash component of these transactions is included as "Capital expenditures." Consideration for the Rutherford-Moran transaction included 1.1 million shares of the company's treasury stock valued at $91.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During  1997,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company's</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Venice,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Louisiana,</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natural</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gas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facility</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was</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contributed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to  a</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partnership</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with</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Dynegy  Inc.</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(Dynegy).</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An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advances"</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resulted</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primarily</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from  the</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contribution</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properties,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plant</w:t>
            </w:r>
          </w:p>
        </w:tc>
        <w:tc>
          <w:tcPr>
            <w:tcW w:w="1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equipment.</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171"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The major components of "Capital expenditures" in the Consolidated Statement of Cash Flows and the reconciliation of this amount to total capital and exploratory expenditures, are presented in the following table.</w:t>
      </w:r>
    </w:p>
    <w:p>
      <w:pPr>
        <w:spacing w:after="0" w:line="200" w:lineRule="exact"/>
        <w:rPr>
          <w:sz w:val="20"/>
          <w:szCs w:val="20"/>
          <w:color w:val="auto"/>
        </w:rPr>
      </w:pPr>
    </w:p>
    <w:p>
      <w:pPr>
        <w:spacing w:after="0" w:line="296"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5220"/>
        <w:spacing w:after="0"/>
        <w:tabs>
          <w:tab w:leader="none" w:pos="6160" w:val="left"/>
          <w:tab w:leader="none" w:pos="71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Additions to</w:t>
            </w:r>
          </w:p>
        </w:tc>
        <w:tc>
          <w:tcPr>
            <w:tcW w:w="3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properties,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6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plant and</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equipment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$ 5,018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$ 3,678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$ 3,840</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Additions to</w:t>
            </w:r>
          </w:p>
        </w:tc>
        <w:tc>
          <w:tcPr>
            <w:tcW w:w="3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investments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Payments for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3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assets, net(1)...........................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3,899</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Expensed</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exploration expenditures ....................</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462</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Payments</w:t>
            </w: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of long-term debt</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Courier New" w:cs="Courier New" w:eastAsia="Courier New" w:hAnsi="Courier New"/>
                <w:sz w:val="14"/>
                <w:szCs w:val="14"/>
                <w:color w:val="auto"/>
              </w:rPr>
              <w:t>and other financing obligations(2)...........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Capital and exploratory expenditures,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excluding equity affiliates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$ 5,351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$ 4,320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$ 4,367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199" w:firstLine="9"/>
        <w:spacing w:after="0" w:line="252" w:lineRule="auto"/>
        <w:tabs>
          <w:tab w:leader="none" w:pos="34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includes liabilities assumed in acquisitions of Rutherford-Moran Oil Corporation and Petrolera Argentina San Jorge S.A</w:t>
      </w:r>
    </w:p>
    <w:p>
      <w:pPr>
        <w:ind w:right="3199" w:firstLine="9"/>
        <w:spacing w:after="0" w:line="258" w:lineRule="auto"/>
        <w:tabs>
          <w:tab w:leader="none" w:pos="34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includes obligations assumed in acquisition of Rutherford-Moran Oil Corporation and other capital lease additions.</w:t>
      </w:r>
    </w:p>
    <w:p>
      <w:pPr>
        <w:sectPr>
          <w:pgSz w:w="11900" w:h="16838" w:orient="portrait"/>
          <w:cols w:equalWidth="0" w:num="1">
            <w:col w:w="10159"/>
          </w:cols>
          <w:pgMar w:left="300" w:top="954"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Note 5. STOCKHOLDERS' EQUITY</w:t>
      </w:r>
    </w:p>
    <w:p>
      <w:pPr>
        <w:spacing w:after="0" w:line="8"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Retained earnings at December 31, 1999 and 1998, include $2,048 and $2,121, respectively, for the company's share of undistributed earnings of equity affiliates.</w:t>
      </w:r>
    </w:p>
    <w:p>
      <w:pPr>
        <w:spacing w:after="0" w:line="162"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In 1998, the company declared a dividend distribution of one Right to purchase Chevron Participating Preferred Stock. The Rights will be exercisable, unless redeemed earlier by the company, if a person or group acquires, or obtains the right to acquire, 10 percent or more of the outstanding shares of common stock or commences a tender or exchange offer that would result in acquiring 10 percent or more of the outstanding shares of common stock, either event occurring without the prior consent of the company. The amount of Chevron Series</w:t>
      </w:r>
    </w:p>
    <w:p>
      <w:pPr>
        <w:spacing w:after="0" w:line="2" w:lineRule="exact"/>
        <w:rPr>
          <w:sz w:val="20"/>
          <w:szCs w:val="20"/>
          <w:color w:val="auto"/>
        </w:rPr>
      </w:pPr>
    </w:p>
    <w:p>
      <w:pPr>
        <w:jc w:val="both"/>
        <w:ind w:right="3199" w:firstLine="9"/>
        <w:spacing w:after="0" w:line="254" w:lineRule="auto"/>
        <w:tabs>
          <w:tab w:leader="none" w:pos="2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Preferred Stock that the holder of a Right is entitled to receive and the purchase price payable upon exercise of the Chevron Right are both subject to adjustment. The person or group who had acquired 10 percent or more of the outstanding shares of common stock without the prior consent of the company would not be entitled to this purchase.</w:t>
      </w:r>
    </w:p>
    <w:p>
      <w:pPr>
        <w:spacing w:after="0" w:line="16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Rights will expire in November 2008, or they may be redeemed by the company at 1 cent per Right prior to that date. The Rights do not have voting or dividend rights and, until they become exercisable, have no dilutive effect on the earnings per share of the company. Five million shares of the company's preferred stock have been designated Series A Participating Preferred Stock and reserved for issuance upon exercise of the Rights. No event during 1999 made the Rights exercisable. Rights associated with a 1988 dividend distribution expired in 1998.</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FINANCIAL AND DERIVATIVE INSTRUMENTS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Off-Balance-Sheet Risk</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utilizes a variety of derivative instruments, both financial and commodity-based, as hedges to manage a small portion of its exposure to price volatility stemming from its integrated petroleum activities. Relatively straightforward and involving little complexity, the derivative instruments consist mainly of futures contracts traded on the New York Mercantile Exchange and the International Petroleum Exchange and of both crude and natural gas swap contracts entered into principally with major financial institutions. The futures contracts hedge anticipated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308"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Note 6. FINANCIAL</w:t>
            </w:r>
          </w:p>
        </w:tc>
        <w:tc>
          <w:tcPr>
            <w:tcW w:w="3860" w:type="dxa"/>
            <w:vAlign w:val="bottom"/>
            <w:gridSpan w:val="7"/>
          </w:tcPr>
          <w:p>
            <w:pPr>
              <w:ind w:left="60"/>
              <w:spacing w:after="0"/>
              <w:rPr>
                <w:sz w:val="20"/>
                <w:szCs w:val="20"/>
                <w:color w:val="auto"/>
              </w:rPr>
            </w:pPr>
            <w:r>
              <w:rPr>
                <w:rFonts w:ascii="Courier New" w:cs="Courier New" w:eastAsia="Courier New" w:hAnsi="Courier New"/>
                <w:sz w:val="14"/>
                <w:szCs w:val="14"/>
                <w:color w:val="auto"/>
              </w:rPr>
              <w:t>AND DERIVATIVE INSTRUMENTS - Continued</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1780" w:type="dxa"/>
            <w:vAlign w:val="bottom"/>
            <w:gridSpan w:val="4"/>
          </w:tcPr>
          <w:p>
            <w:pPr>
              <w:spacing w:after="0"/>
              <w:rPr>
                <w:sz w:val="20"/>
                <w:szCs w:val="20"/>
                <w:color w:val="auto"/>
              </w:rPr>
            </w:pPr>
            <w:r>
              <w:rPr>
                <w:rFonts w:ascii="Courier New" w:cs="Courier New" w:eastAsia="Courier New" w:hAnsi="Courier New"/>
                <w:sz w:val="14"/>
                <w:szCs w:val="14"/>
                <w:color w:val="auto"/>
              </w:rPr>
              <w:t>crude oil purchases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sales and product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generally</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forecast to occur</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within</w:t>
            </w:r>
          </w:p>
        </w:tc>
        <w:tc>
          <w:tcPr>
            <w:tcW w:w="10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 60- to</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90-day</w:t>
            </w:r>
          </w:p>
        </w:tc>
        <w:tc>
          <w:tcPr>
            <w:tcW w:w="4200" w:type="dxa"/>
            <w:vAlign w:val="bottom"/>
            <w:gridSpan w:val="6"/>
          </w:tcPr>
          <w:p>
            <w:pPr>
              <w:ind w:left="120"/>
              <w:spacing w:after="0"/>
              <w:rPr>
                <w:sz w:val="20"/>
                <w:szCs w:val="20"/>
                <w:color w:val="auto"/>
              </w:rPr>
            </w:pPr>
            <w:r>
              <w:rPr>
                <w:rFonts w:ascii="Courier New" w:cs="Courier New" w:eastAsia="Courier New" w:hAnsi="Courier New"/>
                <w:sz w:val="14"/>
                <w:szCs w:val="14"/>
                <w:color w:val="auto"/>
              </w:rPr>
              <w:t>period.  Crude  oil  swaps  are  used to  hedge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r>
      <w:tr>
        <w:trPr>
          <w:trHeight w:val="167"/>
        </w:trPr>
        <w:tc>
          <w:tcPr>
            <w:tcW w:w="2660" w:type="dxa"/>
            <w:vAlign w:val="bottom"/>
            <w:gridSpan w:val="6"/>
          </w:tcPr>
          <w:p>
            <w:pPr>
              <w:spacing w:after="0"/>
              <w:rPr>
                <w:sz w:val="20"/>
                <w:szCs w:val="20"/>
                <w:color w:val="auto"/>
              </w:rPr>
            </w:pPr>
            <w:r>
              <w:rPr>
                <w:rFonts w:ascii="Courier New" w:cs="Courier New" w:eastAsia="Courier New" w:hAnsi="Courier New"/>
                <w:sz w:val="14"/>
                <w:szCs w:val="14"/>
                <w:color w:val="auto"/>
              </w:rPr>
              <w:t>forecasted to occur within the</w:t>
            </w:r>
          </w:p>
        </w:tc>
        <w:tc>
          <w:tcPr>
            <w:tcW w:w="27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next four years.  The terms of</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swap contracts</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have</w:t>
            </w:r>
          </w:p>
        </w:tc>
        <w:tc>
          <w:tcPr>
            <w:tcW w:w="10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maturities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same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period.</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Natural gas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swaps are</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used  primarily to</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hedge</w:t>
            </w: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firmly</w:t>
            </w: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committed</w:t>
            </w:r>
          </w:p>
        </w:tc>
        <w:tc>
          <w:tcPr>
            <w:tcW w:w="15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sales,  and the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terms of</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the swap</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contracts</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held at</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year-end 1999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had</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an</w:t>
            </w:r>
          </w:p>
        </w:tc>
        <w:tc>
          <w:tcPr>
            <w:tcW w:w="1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average remaining</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maturity of</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58 months.</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Gains and losses</w:t>
            </w:r>
          </w:p>
        </w:tc>
      </w:tr>
      <w:tr>
        <w:trPr>
          <w:trHeight w:val="167"/>
        </w:trPr>
        <w:tc>
          <w:tcPr>
            <w:tcW w:w="3360" w:type="dxa"/>
            <w:vAlign w:val="bottom"/>
            <w:gridSpan w:val="7"/>
          </w:tcPr>
          <w:p>
            <w:pPr>
              <w:spacing w:after="0"/>
              <w:rPr>
                <w:sz w:val="20"/>
                <w:szCs w:val="20"/>
                <w:color w:val="auto"/>
              </w:rPr>
            </w:pPr>
            <w:r>
              <w:rPr>
                <w:rFonts w:ascii="Courier New" w:cs="Courier New" w:eastAsia="Courier New" w:hAnsi="Courier New"/>
                <w:sz w:val="14"/>
                <w:szCs w:val="14"/>
                <w:color w:val="auto"/>
              </w:rPr>
              <w:t>on these derivative instruments offset</w:t>
            </w:r>
          </w:p>
        </w:tc>
        <w:tc>
          <w:tcPr>
            <w:tcW w:w="36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and are recognized in income concurrently</w:t>
            </w:r>
          </w:p>
        </w:tc>
      </w:tr>
      <w:tr>
        <w:trPr>
          <w:trHeight w:val="167"/>
        </w:trPr>
        <w:tc>
          <w:tcPr>
            <w:tcW w:w="1780" w:type="dxa"/>
            <w:vAlign w:val="bottom"/>
            <w:gridSpan w:val="4"/>
          </w:tcPr>
          <w:p>
            <w:pPr>
              <w:spacing w:after="0"/>
              <w:rPr>
                <w:sz w:val="20"/>
                <w:szCs w:val="20"/>
                <w:color w:val="auto"/>
              </w:rPr>
            </w:pPr>
            <w:r>
              <w:rPr>
                <w:rFonts w:ascii="Courier New" w:cs="Courier New" w:eastAsia="Courier New" w:hAnsi="Courier New"/>
                <w:sz w:val="14"/>
                <w:szCs w:val="14"/>
                <w:color w:val="auto"/>
              </w:rPr>
              <w:t>with the recognition</w:t>
            </w:r>
          </w:p>
        </w:tc>
        <w:tc>
          <w:tcPr>
            <w:tcW w:w="1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 the underlying</w:t>
            </w:r>
          </w:p>
        </w:tc>
        <w:tc>
          <w:tcPr>
            <w:tcW w:w="20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physical transactions.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71"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In addition, the company in 1998 entered into managed programs using swaps and options to take advantage of perceived opportunities for favorable price movements in natural gas. The results of these programs were reflected in income and were not material in 1998. The company enters into forward exchange contracts, generally with terms of 90 days or less, as a hedge against some of its foreign currency exposures, primarily anticipated purchase transactions forecast to occur within 90 days.</w:t>
      </w:r>
    </w:p>
    <w:p>
      <w:pPr>
        <w:spacing w:after="0" w:line="16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enters into interest rate swaps as part of its overall strategy to manage the interest rate risk on its debt. Under the terms of the swaps, net cash settlements, based on the difference between fixed-rate and floating-rate interest amounts calculated by reference to agreed notional principal amounts, are made semiannually and are recorded monthly as "Interest and debt expense." At December 31, 1999, there was one outstanding contract, with a remaining term of five years and six months.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8"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The company's financial instruments that are exposed to concentrations of credit risk consist primarily of its cash equivalents, marketable securities, derivative financial instruments and trade receivables.</w:t>
      </w:r>
    </w:p>
    <w:p>
      <w:pPr>
        <w:spacing w:after="0" w:line="162"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company's short-term investments are placed with a wide array of financial institutions with high credit ratings. This diversified investment policy limits the company's exposure both to credit risk and to concentrations of credit risk. Similar standards of diversity and creditworthiness are applied to the company's counterparties in derivative instruments.</w:t>
      </w:r>
    </w:p>
    <w:p>
      <w:pPr>
        <w:spacing w:after="0" w:line="16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trade receivable balances, reflecting the company's diversified sources of revenue, are dispersed among the company's broad customer base worldwide. As a consequence, concentrations of credit risk are limited. The company routinely assesses the financial strength of its customers. Letters of credit, or negotiated contracts when the financial strength of a customer is not considered sufficient, are the principal securities obtained to support lines of credit.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8"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Fair values are derived either from quoted market prices where available or, in their absence, the present value of the expected cash flows. The fair values reflect the cash that would have been received or paid if the instruments were settled at year-end. At December 31, 1999 and 1998, the fair values of the financial and derivative instruments were:</w:t>
      </w:r>
    </w:p>
    <w:p>
      <w:pPr>
        <w:spacing w:after="0" w:line="162"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Long-term debt of $2,449 and $1,403 had estimated fair values of $2,430 and $1,485.</w:t>
      </w:r>
    </w:p>
    <w:p>
      <w:pPr>
        <w:spacing w:after="0" w:line="160"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notional principal amounts of the interest rate swaps totaled $350 and $700, with approximate fair values totaling $11 and $(21). The notional amounts of these and other derivative instruments do not represent assets or liabilities of the company but, rather, are the basis for the settlements under the contract terms.</w:t>
      </w:r>
    </w:p>
    <w:p>
      <w:pPr>
        <w:spacing w:after="0" w:line="330"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holds cash equivalents and U.S. dollar marketable securities in domestic and offshore portfolios. Eurodollar bonds, floating-rate notes, time deposits and commercial paper are the primary instruments held. Cash equivalents and marketable securities had fair values of $1,762 and $1,206. Of these balances, $1,075 and $362 classified as cash equivalents had average maturities under 90 days, while the remainder, classified as marketable securities, had average maturities of approximately three years and two years.</w:t>
      </w:r>
    </w:p>
    <w:p>
      <w:pPr>
        <w:spacing w:after="0" w:line="16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For other derivatives the contract or notional values were as follows: Crude oil and products futures had net contract values of $143 and $33. Forward exchange contracts had contract values of $123 and $180. Gas swap contracts are based on notional gas volumes of approximately 44 and 67 billion cubic feet. Crude oil swap contracts are based on notional crude volumes of approximately 9 million barrels. Fair values for all of these derivatives were not material in 1999 and 1998. Deferred gains and losses that were accrued on the Consolidated Balance Sheet were not 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SUMMARIZED FINANCIAL DATA - CHEVRON U.S.A. INC.</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At December 31, 1999, Chevron U.S.A. Inc. was Chevron's principal operating company, consisting primarily of its U.S. integrated petroleum operations (excluding most of the domestic pipeline operations) and, effective February 1, 1998, the majority of its worldwide petrochemicals operations. In 1999, these operations were conducted primarily by three divisions: Chevron U.S.A. Production Company, Chevron Products Company and Chevron Chemical Company LLC. Summarized financial information for Chevron U.S.A. Inc. and its consolidated subsidiaries is presented below.</w:t>
      </w:r>
    </w:p>
    <w:p>
      <w:pPr>
        <w:spacing w:after="0" w:line="200" w:lineRule="exact"/>
        <w:rPr>
          <w:sz w:val="20"/>
          <w:szCs w:val="20"/>
          <w:color w:val="auto"/>
        </w:rPr>
      </w:pPr>
    </w:p>
    <w:p>
      <w:pPr>
        <w:spacing w:after="0" w:line="298"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3660"/>
        <w:spacing w:after="0"/>
        <w:tabs>
          <w:tab w:leader="none" w:pos="4500" w:val="left"/>
          <w:tab w:leader="none" w:pos="53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ectPr>
          <w:pgSz w:w="11900" w:h="16838" w:orient="portrait"/>
          <w:cols w:equalWidth="0" w:num="1">
            <w:col w:w="10159"/>
          </w:cols>
          <w:pgMar w:left="300" w:top="954" w:right="1440"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other operating revenues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$28,957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$24,440</w:t>
        <w:tab/>
        <w:t>$28,130</w:t>
      </w:r>
    </w:p>
    <w:p>
      <w:pPr>
        <w:sectPr>
          <w:pgSz w:w="11900" w:h="16838" w:orient="portrait"/>
          <w:cols w:equalWidth="0" w:num="3">
            <w:col w:w="2960" w:space="440"/>
            <w:col w:w="600" w:space="260"/>
            <w:col w:w="5899"/>
          </w:cols>
          <w:pgMar w:left="300" w:top="954"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Total costs and other deductions ...</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28,329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24,338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26,354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At December 31</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tabs>
          <w:tab w:leader="none" w:pos="39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assets ....</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$ 3,889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$ 3,227</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assets ......</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18,330</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liabilities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3,809</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liabilities .</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6,541</w:t>
            </w:r>
          </w:p>
        </w:tc>
      </w:tr>
      <w:tr>
        <w:trPr>
          <w:trHeight w:val="167"/>
        </w:trPr>
        <w:tc>
          <w:tcPr>
            <w:tcW w:w="2180" w:type="dxa"/>
            <w:vAlign w:val="bottom"/>
            <w:gridSpan w:val="3"/>
          </w:tcPr>
          <w:p>
            <w:pPr>
              <w:spacing w:after="0"/>
              <w:rPr>
                <w:sz w:val="20"/>
                <w:szCs w:val="20"/>
                <w:color w:val="auto"/>
              </w:rPr>
            </w:pPr>
            <w:r>
              <w:rPr>
                <w:rFonts w:ascii="Courier New" w:cs="Courier New" w:eastAsia="Courier New" w:hAnsi="Courier New"/>
                <w:sz w:val="14"/>
                <w:szCs w:val="14"/>
                <w:color w:val="auto"/>
              </w:rPr>
              <w:t>Net equity ........</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Memo: Total Debt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$ 7,462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$ 3,546</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Certain amounts have been reclassified to conform to current presentation.</w:t>
      </w:r>
    </w:p>
    <w:p>
      <w:pPr>
        <w:spacing w:after="0" w:line="200" w:lineRule="exact"/>
        <w:rPr>
          <w:sz w:val="20"/>
          <w:szCs w:val="20"/>
          <w:color w:val="auto"/>
        </w:rPr>
      </w:pPr>
    </w:p>
    <w:p>
      <w:pPr>
        <w:spacing w:after="0" w:line="309"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The primary cause of the reduction in net equity from 1998 to 1999 was a return of $2,000 of capital to Chevron Corporation in exchange for a loan.</w:t>
      </w:r>
    </w:p>
    <w:p>
      <w:pPr>
        <w:spacing w:after="0" w:line="160"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Note 8. SUMMARIZED FINANCIAL DATA - CHEVRON TRANSPORT CORPORATION LIMITED Effective July 1999, Chevron Transport Corporation, a Liberian corporation, was merged into Chevron Transport Corporation Limited (CTC), a Bermuda corporation, which assumed all of the assets and liabilities of</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141" w:right="1440" w:bottom="1440" w:gutter="0" w:footer="0" w:header="0"/>
        </w:sectPr>
      </w:pPr>
    </w:p>
    <w:bookmarkStart w:id="14" w:name="page15"/>
    <w:bookmarkEnd w:id="14"/>
    <w:p>
      <w:pPr>
        <w:jc w:val="both"/>
        <w:ind w:right="3199"/>
        <w:spacing w:after="0" w:line="258" w:lineRule="auto"/>
        <w:rPr>
          <w:sz w:val="20"/>
          <w:szCs w:val="20"/>
          <w:color w:val="auto"/>
        </w:rPr>
      </w:pPr>
      <w:r>
        <w:rPr>
          <w:rFonts w:ascii="Courier New" w:cs="Courier New" w:eastAsia="Courier New" w:hAnsi="Courier New"/>
          <w:sz w:val="14"/>
          <w:szCs w:val="14"/>
          <w:color w:val="auto"/>
        </w:rPr>
        <w:t>Note 8. SUMMARIZED FINANCIAL DATA - CHEVRON TRANSPORT CORPORATION LIMITED - Continued</w:t>
      </w:r>
    </w:p>
    <w:p>
      <w:pPr>
        <w:spacing w:after="0" w:line="160"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Chevron Transport Corporation. CTC is an indirect, wholly owned subsidiary of Chevron Corporation. CTC is the principal operator of Chevron's international tanker fleet and is engaged in the marine transportation of oil and refined petroleum products. Most of CTC's shipping revenue is derived by providing transportation services to other Chevron companies. Chevron Corporation has guaranteed this subsidiary's obligations in connection with certain debt securities where CTC is deemed to be an issuer. In accordance with the Securities and Exchange Commission's disclosure requirements, summarized financial information for CTC and its consolidated subsidiaries is presented below. This information was derived from the financial statements prepared on a stand-alone basis in conformity with generally accepted accounting principles.</w:t>
      </w:r>
    </w:p>
    <w:p>
      <w:pPr>
        <w:spacing w:after="0" w:line="163"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During 1999, CTC's parent contributed an additional $62 of paid-in capital. Separate CTC financial statements and other disclosures are omitted, as such information is not material to investors in the debt securities deemed issued by CTC. There were no restrictions on CTC's ability to pay dividends or make loans or advances at December 31, 1999.</w:t>
      </w:r>
    </w:p>
    <w:p>
      <w:pPr>
        <w:spacing w:after="0" w:line="200" w:lineRule="exact"/>
        <w:rPr>
          <w:sz w:val="20"/>
          <w:szCs w:val="20"/>
          <w:color w:val="auto"/>
        </w:rPr>
      </w:pPr>
    </w:p>
    <w:p>
      <w:pPr>
        <w:spacing w:after="0" w:line="296" w:lineRule="exact"/>
        <w:rPr>
          <w:sz w:val="20"/>
          <w:szCs w:val="20"/>
          <w:color w:val="auto"/>
        </w:rPr>
      </w:pPr>
    </w:p>
    <w:p>
      <w:pPr>
        <w:jc w:val="right"/>
        <w:ind w:right="4779"/>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47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3560"/>
        <w:spacing w:after="0"/>
        <w:tabs>
          <w:tab w:leader="none" w:pos="4320" w:val="left"/>
          <w:tab w:leader="none" w:pos="50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and other</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operating revenues..</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$ 504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$ 573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$ 544</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costs and</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deductions ...</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7"/>
        </w:trPr>
        <w:tc>
          <w:tcPr>
            <w:tcW w:w="33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Net (loss) income ..................</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5459"/>
        <w:spacing w:after="0"/>
        <w:rPr>
          <w:sz w:val="20"/>
          <w:szCs w:val="20"/>
          <w:color w:val="auto"/>
        </w:rPr>
      </w:pPr>
      <w:r>
        <w:rPr>
          <w:rFonts w:ascii="Courier New" w:cs="Courier New" w:eastAsia="Courier New" w:hAnsi="Courier New"/>
          <w:sz w:val="14"/>
          <w:szCs w:val="14"/>
          <w:color w:val="auto"/>
        </w:rPr>
        <w:t>At December 31</w:t>
      </w:r>
    </w:p>
    <w:p>
      <w:pPr>
        <w:spacing w:after="0" w:line="8" w:lineRule="exact"/>
        <w:rPr>
          <w:sz w:val="20"/>
          <w:szCs w:val="20"/>
          <w:color w:val="auto"/>
        </w:rPr>
      </w:pPr>
    </w:p>
    <w:p>
      <w:pPr>
        <w:jc w:val="right"/>
        <w:ind w:right="545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3300"/>
        <w:spacing w:after="0"/>
        <w:tabs>
          <w:tab w:leader="none" w:pos="43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2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assets .........</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assets ...........</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982</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2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liabilities.....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liabilities ......</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r>
        <w:trPr>
          <w:trHeight w:val="167"/>
        </w:trPr>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Net equity .............</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OPERATING SEGMENTS AND GEOGRAPHIC DATA</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Chevron manages its exploration and production; refining, marketing and transportation; and chemicals businesses separately. The company's primary country of operation is the United States, its country of domicile. The remainder of the company's operations is reported as International (outside the United States), since its activities in no other country meet the requirements for separate disclosure.</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February 2000, Chevron and Phillips Petroleum Company signed a letter of intent and exclusivity agreement to combine most of their chemicals businesses in a joint venture. Each company will own 50 percent of the joint venture, which would have had 1999 sales of $6,000 and is expected to have total assets of about $6,000. The combination is subject to final approval of the companies' boards of directors, signing of definitive agreements and regulatory review, all of which are expected to be completed by mid-2000.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Earnings</w:t>
      </w:r>
    </w:p>
    <w:p>
      <w:pPr>
        <w:spacing w:after="0" w:line="8"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The company evaluates the performance of its operating segments on an after-tax basis, without considering the effects of debt financing interest expense or investment interest income, both of which are managed by the corporation on a worldwide basis. Corporate administrative costs and assets are not allocated to</w:t>
      </w:r>
    </w:p>
    <w:p>
      <w:pPr>
        <w:spacing w:after="0" w:line="1"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operating segments; instead, operating segments are billed only for direct corporate services. Nonbillable costs remain as corporate center expenses. After-tax segment operating earnings for the years 1999, 1998 and 1997 are presented in the following table.</w:t>
      </w:r>
    </w:p>
    <w:p>
      <w:pPr>
        <w:spacing w:after="0" w:line="200" w:lineRule="exact"/>
        <w:rPr>
          <w:sz w:val="20"/>
          <w:szCs w:val="20"/>
          <w:color w:val="auto"/>
        </w:rPr>
      </w:pPr>
    </w:p>
    <w:p>
      <w:pPr>
        <w:spacing w:after="0" w:line="297"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tabs>
          <w:tab w:leader="none" w:pos="4580" w:val="left"/>
          <w:tab w:leader="none" w:pos="55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EXPLORATION AND PRODUCTION</w:t>
      </w:r>
    </w:p>
    <w:p>
      <w:pPr>
        <w:spacing w:after="0" w:line="8" w:lineRule="exact"/>
        <w:rPr>
          <w:sz w:val="20"/>
          <w:szCs w:val="20"/>
          <w:color w:val="auto"/>
        </w:rPr>
      </w:pPr>
    </w:p>
    <w:p>
      <w:pPr>
        <w:ind w:left="800"/>
        <w:spacing w:after="0"/>
        <w:tabs>
          <w:tab w:leader="none" w:pos="3380" w:val="left"/>
          <w:tab w:leader="none" w:pos="3720" w:val="left"/>
          <w:tab w:leader="none" w:pos="4320" w:val="left"/>
          <w:tab w:leader="none" w:pos="4680" w:val="left"/>
          <w:tab w:leader="none" w:pos="5280" w:val="left"/>
        </w:tabs>
        <w:rPr>
          <w:sz w:val="20"/>
          <w:szCs w:val="20"/>
          <w:color w:val="auto"/>
        </w:rPr>
      </w:pPr>
      <w:r>
        <w:rPr>
          <w:rFonts w:ascii="Courier New" w:cs="Courier New" w:eastAsia="Courier New" w:hAnsi="Courier New"/>
          <w:sz w:val="14"/>
          <w:szCs w:val="14"/>
          <w:color w:val="auto"/>
        </w:rPr>
        <w:t>United States .............</w:t>
        <w:tab/>
        <w:t>$</w:t>
        <w:tab/>
        <w:t>526</w:t>
      </w:r>
      <w:r>
        <w:rPr>
          <w:sz w:val="20"/>
          <w:szCs w:val="20"/>
          <w:color w:val="auto"/>
        </w:rPr>
        <w:tab/>
      </w:r>
      <w:r>
        <w:rPr>
          <w:rFonts w:ascii="Courier New" w:cs="Courier New" w:eastAsia="Courier New" w:hAnsi="Courier New"/>
          <w:sz w:val="14"/>
          <w:szCs w:val="14"/>
          <w:color w:val="auto"/>
        </w:rPr>
        <w:t>$</w:t>
        <w:tab/>
        <w:t>365</w:t>
      </w:r>
      <w:r>
        <w:rPr>
          <w:sz w:val="20"/>
          <w:szCs w:val="20"/>
          <w:color w:val="auto"/>
        </w:rPr>
        <w:tab/>
      </w:r>
      <w:r>
        <w:rPr>
          <w:rFonts w:ascii="Courier New" w:cs="Courier New" w:eastAsia="Courier New" w:hAnsi="Courier New"/>
          <w:sz w:val="14"/>
          <w:szCs w:val="14"/>
          <w:color w:val="auto"/>
        </w:rPr>
        <w:t>$ 1,001</w:t>
      </w:r>
    </w:p>
    <w:p>
      <w:pPr>
        <w:spacing w:after="0" w:line="8" w:lineRule="exact"/>
        <w:rPr>
          <w:sz w:val="20"/>
          <w:szCs w:val="20"/>
          <w:color w:val="auto"/>
        </w:rPr>
      </w:pPr>
    </w:p>
    <w:p>
      <w:pPr>
        <w:ind w:left="800"/>
        <w:spacing w:after="0"/>
        <w:tabs>
          <w:tab w:leader="none" w:pos="3540" w:val="left"/>
          <w:tab w:leader="none" w:pos="4680" w:val="left"/>
          <w:tab w:leader="none" w:pos="5460" w:val="left"/>
        </w:tabs>
        <w:rPr>
          <w:sz w:val="20"/>
          <w:szCs w:val="20"/>
          <w:color w:val="auto"/>
        </w:rPr>
      </w:pPr>
      <w:r>
        <w:rPr>
          <w:rFonts w:ascii="Courier New" w:cs="Courier New" w:eastAsia="Courier New" w:hAnsi="Courier New"/>
          <w:sz w:val="14"/>
          <w:szCs w:val="14"/>
          <w:color w:val="auto"/>
        </w:rPr>
        <w:t>International .............</w:t>
      </w:r>
      <w:r>
        <w:rPr>
          <w:sz w:val="20"/>
          <w:szCs w:val="20"/>
          <w:color w:val="auto"/>
        </w:rPr>
        <w:tab/>
      </w:r>
      <w:r>
        <w:rPr>
          <w:rFonts w:ascii="Courier New" w:cs="Courier New" w:eastAsia="Courier New" w:hAnsi="Courier New"/>
          <w:sz w:val="14"/>
          <w:szCs w:val="14"/>
          <w:color w:val="auto"/>
        </w:rPr>
        <w:t>1,093</w:t>
      </w:r>
      <w:r>
        <w:rPr>
          <w:sz w:val="20"/>
          <w:szCs w:val="20"/>
          <w:color w:val="auto"/>
        </w:rPr>
        <w:tab/>
      </w:r>
      <w:r>
        <w:rPr>
          <w:rFonts w:ascii="Courier New" w:cs="Courier New" w:eastAsia="Courier New" w:hAnsi="Courier New"/>
          <w:sz w:val="14"/>
          <w:szCs w:val="14"/>
          <w:color w:val="auto"/>
        </w:rPr>
        <w:t>707</w:t>
      </w:r>
      <w:r>
        <w:rPr>
          <w:sz w:val="20"/>
          <w:szCs w:val="20"/>
          <w:color w:val="auto"/>
        </w:rPr>
        <w:tab/>
      </w:r>
      <w:r>
        <w:rPr>
          <w:rFonts w:ascii="Courier New" w:cs="Courier New" w:eastAsia="Courier New" w:hAnsi="Courier New"/>
          <w:sz w:val="14"/>
          <w:szCs w:val="14"/>
          <w:color w:val="auto"/>
        </w:rPr>
        <w:t>1,252</w:t>
      </w:r>
    </w:p>
    <w:p>
      <w:pPr>
        <w:spacing w:after="0" w:line="8"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EXPLORATION</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AND PRODUCTION ............</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2,253</w:t>
            </w:r>
          </w:p>
        </w:tc>
      </w:tr>
    </w:tbl>
    <w:p>
      <w:pPr>
        <w:spacing w:after="0" w:line="4"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REFINING, MARKETING</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TRANSPORTATION</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United States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r>
      <w:tr>
        <w:trPr>
          <w:trHeight w:val="167"/>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International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954"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TOTAL REFINING, MARKETING</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440" w:type="dxa"/>
            <w:vAlign w:val="bottom"/>
          </w:tcPr>
          <w:p>
            <w:pPr>
              <w:ind w:left="800"/>
              <w:spacing w:after="0"/>
              <w:rPr>
                <w:sz w:val="20"/>
                <w:szCs w:val="20"/>
                <w:color w:val="auto"/>
              </w:rPr>
            </w:pPr>
            <w:r>
              <w:rPr>
                <w:rFonts w:ascii="Courier New" w:cs="Courier New" w:eastAsia="Courier New" w:hAnsi="Courier New"/>
                <w:sz w:val="14"/>
                <w:szCs w:val="14"/>
                <w:color w:val="auto"/>
              </w:rPr>
              <w:t>AND TRANSPORTATION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899</w:t>
            </w:r>
          </w:p>
        </w:tc>
      </w:tr>
    </w:tbl>
    <w:p>
      <w:pPr>
        <w:spacing w:after="0" w:line="4"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CHEMICALS</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United States .............</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International .............</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TOTAL CHEMICALS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20"/>
                <w:szCs w:val="20"/>
                <w:color w:val="auto"/>
              </w:rPr>
            </w:pPr>
            <w:r>
              <w:rPr>
                <w:rFonts w:ascii="Courier New" w:cs="Courier New" w:eastAsia="Courier New" w:hAnsi="Courier New"/>
                <w:sz w:val="14"/>
                <w:szCs w:val="14"/>
                <w:color w:val="auto"/>
              </w:rPr>
              <w:t>TOTAL SEGMENT INCOME ...............</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Interest Income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$ 2,070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$ 3,256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UNITED STATES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642</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1,622</w:t>
            </w:r>
          </w:p>
        </w:tc>
      </w:tr>
      <w:tr>
        <w:trPr>
          <w:trHeight w:val="167"/>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INTERNATIONAL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NET INCOME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$ 2,070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$ 3,256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Assets</w:t>
      </w:r>
    </w:p>
    <w:p>
      <w:pPr>
        <w:spacing w:after="0" w:line="8" w:lineRule="exact"/>
        <w:rPr>
          <w:sz w:val="20"/>
          <w:szCs w:val="20"/>
          <w:color w:val="auto"/>
        </w:rPr>
      </w:pPr>
    </w:p>
    <w:p>
      <w:pPr>
        <w:spacing w:after="0"/>
        <w:tabs>
          <w:tab w:leader="none" w:pos="780" w:val="left"/>
          <w:tab w:leader="none" w:pos="1460" w:val="left"/>
          <w:tab w:leader="none" w:pos="1820" w:val="left"/>
          <w:tab w:leader="none" w:pos="2240" w:val="left"/>
          <w:tab w:leader="none" w:pos="3120" w:val="left"/>
          <w:tab w:leader="none" w:pos="4420" w:val="left"/>
          <w:tab w:leader="none" w:pos="5540" w:val="left"/>
          <w:tab w:leader="none" w:pos="5880" w:val="left"/>
        </w:tabs>
        <w:rPr>
          <w:sz w:val="20"/>
          <w:szCs w:val="20"/>
          <w:color w:val="auto"/>
        </w:rPr>
      </w:pPr>
      <w:r>
        <w:rPr>
          <w:rFonts w:ascii="Courier New" w:cs="Courier New" w:eastAsia="Courier New" w:hAnsi="Courier New"/>
          <w:sz w:val="14"/>
          <w:szCs w:val="14"/>
          <w:color w:val="auto"/>
        </w:rPr>
        <w:t>Segment</w:t>
        <w:tab/>
        <w:t>assets</w:t>
        <w:tab/>
        <w:t>do</w:t>
        <w:tab/>
        <w:t>not</w:t>
        <w:tab/>
        <w:t>include</w:t>
        <w:tab/>
        <w:t>intercompany</w:t>
        <w:tab/>
        <w:t>investments</w:t>
        <w:tab/>
        <w:t>or</w:t>
        <w:tab/>
        <w:t>intercompany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receivables.  "All  Other"  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consist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primarily</w:t>
            </w:r>
          </w:p>
        </w:tc>
        <w:tc>
          <w:tcPr>
            <w:tcW w:w="2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worldwide  cash  and</w:t>
            </w:r>
          </w:p>
        </w:tc>
      </w:tr>
      <w:tr>
        <w:trPr>
          <w:trHeight w:val="167"/>
        </w:trPr>
        <w:tc>
          <w:tcPr>
            <w:tcW w:w="4820" w:type="dxa"/>
            <w:vAlign w:val="bottom"/>
            <w:gridSpan w:val="3"/>
          </w:tcPr>
          <w:p>
            <w:pPr>
              <w:spacing w:after="0"/>
              <w:rPr>
                <w:sz w:val="20"/>
                <w:szCs w:val="20"/>
                <w:color w:val="auto"/>
              </w:rPr>
            </w:pPr>
            <w:r>
              <w:rPr>
                <w:rFonts w:ascii="Courier New" w:cs="Courier New" w:eastAsia="Courier New" w:hAnsi="Courier New"/>
                <w:sz w:val="14"/>
                <w:szCs w:val="14"/>
                <w:color w:val="auto"/>
              </w:rPr>
              <w:t>marketable securities, company real estate, information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systems,</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and coal mining</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assets. Segment assets at year-end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 and</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1998 are as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follows.</w:t>
            </w:r>
          </w:p>
        </w:tc>
        <w:tc>
          <w:tcPr>
            <w:tcW w:w="136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At December 31</w:t>
      </w:r>
    </w:p>
    <w:p>
      <w:pPr>
        <w:spacing w:after="0" w:line="8"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2960"/>
        <w:spacing w:after="0"/>
        <w:tabs>
          <w:tab w:leader="none" w:pos="38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EXPLORATION AND</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PRODUCTION</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States .....</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$ 5,566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$ 6,026</w:t>
            </w:r>
          </w:p>
        </w:tc>
      </w:tr>
      <w:tr>
        <w:trPr>
          <w:trHeight w:val="167"/>
        </w:trPr>
        <w:tc>
          <w:tcPr>
            <w:tcW w:w="25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International .....</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10,794</w:t>
            </w:r>
          </w:p>
        </w:tc>
      </w:tr>
    </w:tbl>
    <w:p>
      <w:pPr>
        <w:spacing w:after="0" w:line="4"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EXPLORATION</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AND PRODUCTION ....</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19,314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16,820</w:t>
            </w:r>
          </w:p>
        </w:tc>
      </w:tr>
    </w:tbl>
    <w:p>
      <w:pPr>
        <w:spacing w:after="0" w:line="4" w:lineRule="exact"/>
        <w:rPr>
          <w:sz w:val="20"/>
          <w:szCs w:val="20"/>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REFINING, MARKETING</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TRANSPORTATION</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United States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8,178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8,084</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International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3,559</w:t>
            </w:r>
          </w:p>
        </w:tc>
      </w:tr>
    </w:tbl>
    <w:p>
      <w:pPr>
        <w:spacing w:after="0" w:line="4"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REFINING, MARKETING</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AND TRANSPORTATION</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11,787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11,643</w:t>
            </w:r>
          </w:p>
        </w:tc>
      </w:tr>
    </w:tbl>
    <w:p>
      <w:pPr>
        <w:spacing w:after="0" w:line="4"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CHEMICALS</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United States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3,045</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International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2860" w:val="left"/>
          <w:tab w:leader="none" w:pos="3720" w:val="left"/>
        </w:tabs>
        <w:rPr>
          <w:sz w:val="20"/>
          <w:szCs w:val="20"/>
          <w:color w:val="auto"/>
        </w:rPr>
      </w:pPr>
      <w:r>
        <w:rPr>
          <w:rFonts w:ascii="Courier New" w:cs="Courier New" w:eastAsia="Courier New" w:hAnsi="Courier New"/>
          <w:sz w:val="14"/>
          <w:szCs w:val="14"/>
          <w:color w:val="auto"/>
        </w:rPr>
        <w:t>TOTAL CHEMICALS ............</w:t>
      </w:r>
      <w:r>
        <w:rPr>
          <w:sz w:val="20"/>
          <w:szCs w:val="20"/>
          <w:color w:val="auto"/>
        </w:rPr>
        <w:tab/>
      </w:r>
      <w:r>
        <w:rPr>
          <w:rFonts w:ascii="Courier New" w:cs="Courier New" w:eastAsia="Courier New" w:hAnsi="Courier New"/>
          <w:sz w:val="14"/>
          <w:szCs w:val="14"/>
          <w:color w:val="auto"/>
        </w:rPr>
        <w:t>4,226</w:t>
      </w:r>
      <w:r>
        <w:rPr>
          <w:sz w:val="20"/>
          <w:szCs w:val="20"/>
          <w:color w:val="auto"/>
        </w:rPr>
        <w:tab/>
      </w:r>
      <w:r>
        <w:rPr>
          <w:rFonts w:ascii="Courier New" w:cs="Courier New" w:eastAsia="Courier New" w:hAnsi="Courier New"/>
          <w:sz w:val="14"/>
          <w:szCs w:val="14"/>
          <w:color w:val="auto"/>
        </w:rPr>
        <w:t>3,873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2760" w:val="left"/>
          <w:tab w:leader="none" w:pos="3640" w:val="left"/>
        </w:tabs>
        <w:rPr>
          <w:sz w:val="20"/>
          <w:szCs w:val="20"/>
          <w:color w:val="auto"/>
        </w:rPr>
      </w:pPr>
      <w:r>
        <w:rPr>
          <w:rFonts w:ascii="Courier New" w:cs="Courier New" w:eastAsia="Courier New" w:hAnsi="Courier New"/>
          <w:sz w:val="14"/>
          <w:szCs w:val="14"/>
          <w:color w:val="auto"/>
        </w:rPr>
        <w:t>TOTAL SEGMENT ASSETS .......</w:t>
      </w:r>
      <w:r>
        <w:rPr>
          <w:sz w:val="20"/>
          <w:szCs w:val="20"/>
          <w:color w:val="auto"/>
        </w:rPr>
        <w:tab/>
      </w:r>
      <w:r>
        <w:rPr>
          <w:rFonts w:ascii="Courier New" w:cs="Courier New" w:eastAsia="Courier New" w:hAnsi="Courier New"/>
          <w:sz w:val="14"/>
          <w:szCs w:val="14"/>
          <w:color w:val="auto"/>
        </w:rPr>
        <w:t>35,327</w:t>
      </w:r>
      <w:r>
        <w:rPr>
          <w:sz w:val="20"/>
          <w:szCs w:val="20"/>
          <w:color w:val="auto"/>
        </w:rPr>
        <w:tab/>
      </w:r>
      <w:r>
        <w:rPr>
          <w:rFonts w:ascii="Courier New" w:cs="Courier New" w:eastAsia="Courier New" w:hAnsi="Courier New"/>
          <w:sz w:val="14"/>
          <w:szCs w:val="14"/>
          <w:color w:val="auto"/>
        </w:rPr>
        <w:t>32,336</w:t>
      </w:r>
    </w:p>
    <w:p>
      <w:pPr>
        <w:spacing w:after="0" w:line="8"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United States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2,467</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International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TOTAL All OTHER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4,204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UNITED STATES</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20,868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19,622</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INTERNATIONAL</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20,147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16,918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ASSETS ......</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$41,015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14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Note 9. OPERATING SEGMENTS AND GEOGRAPHIC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Income Taxes</w:t>
      </w:r>
    </w:p>
    <w:p>
      <w:pPr>
        <w:spacing w:after="0" w:line="8" w:lineRule="exact"/>
        <w:rPr>
          <w:sz w:val="20"/>
          <w:szCs w:val="20"/>
          <w:color w:val="auto"/>
        </w:rPr>
      </w:pPr>
    </w:p>
    <w:p>
      <w:pPr>
        <w:spacing w:after="0"/>
        <w:tabs>
          <w:tab w:leader="none" w:pos="780" w:val="left"/>
          <w:tab w:leader="none" w:pos="4320" w:val="left"/>
        </w:tabs>
        <w:rPr>
          <w:sz w:val="20"/>
          <w:szCs w:val="20"/>
          <w:color w:val="auto"/>
        </w:rPr>
      </w:pPr>
      <w:r>
        <w:rPr>
          <w:rFonts w:ascii="Courier New" w:cs="Courier New" w:eastAsia="Courier New" w:hAnsi="Courier New"/>
          <w:sz w:val="14"/>
          <w:szCs w:val="14"/>
          <w:color w:val="auto"/>
        </w:rPr>
        <w:t>Segment</w:t>
        <w:tab/>
        <w:t>income tax expenses for the years 1999,</w:t>
        <w:tab/>
        <w:t>1998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are as follows.</w:t>
      </w:r>
    </w:p>
    <w:p>
      <w:pPr>
        <w:spacing w:after="0" w:line="200" w:lineRule="exact"/>
        <w:rPr>
          <w:sz w:val="20"/>
          <w:szCs w:val="20"/>
          <w:color w:val="auto"/>
        </w:rPr>
      </w:pPr>
    </w:p>
    <w:p>
      <w:pPr>
        <w:spacing w:after="0" w:line="309"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tabs>
          <w:tab w:leader="none" w:pos="4320" w:val="left"/>
          <w:tab w:leader="none" w:pos="52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EXPLORATION AND</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PRODUCTION</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States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559</w:t>
            </w:r>
          </w:p>
        </w:tc>
      </w:tr>
      <w:tr>
        <w:trPr>
          <w:trHeight w:val="167"/>
        </w:trPr>
        <w:tc>
          <w:tcPr>
            <w:tcW w:w="30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International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1,488</w:t>
            </w:r>
          </w:p>
        </w:tc>
      </w:tr>
    </w:tbl>
    <w:p>
      <w:pPr>
        <w:spacing w:after="0" w:line="4"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EXPLORATION</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280" w:type="dxa"/>
            <w:vAlign w:val="bottom"/>
          </w:tcPr>
          <w:p>
            <w:pPr>
              <w:spacing w:after="0"/>
              <w:rPr>
                <w:sz w:val="20"/>
                <w:szCs w:val="20"/>
                <w:color w:val="auto"/>
              </w:rPr>
            </w:pPr>
            <w:r>
              <w:rPr>
                <w:rFonts w:ascii="Courier New" w:cs="Courier New" w:eastAsia="Courier New" w:hAnsi="Courier New"/>
                <w:sz w:val="14"/>
                <w:szCs w:val="14"/>
                <w:color w:val="auto"/>
              </w:rPr>
              <w:t>AND PRODUCTION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1,607</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2,047</w:t>
            </w:r>
          </w:p>
        </w:tc>
      </w:tr>
    </w:tbl>
    <w:p>
      <w:pPr>
        <w:spacing w:after="0" w:line="4"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REFINING, MARKETING</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AND TRANSPORTATION</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United States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International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REFINING, MARKETING</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AND TRANSPORTATION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r>
    </w:tbl>
    <w:p>
      <w:pPr>
        <w:spacing w:after="0" w:line="4" w:lineRule="exact"/>
        <w:rPr>
          <w:sz w:val="20"/>
          <w:szCs w:val="20"/>
          <w:color w:val="auto"/>
        </w:rPr>
      </w:pPr>
    </w:p>
    <w:p>
      <w:pPr>
        <w:ind w:left="180" w:hanging="171"/>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CHEMICALS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United States ..........</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6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w:t>
            </w:r>
          </w:p>
        </w:tc>
        <w:tc>
          <w:tcPr>
            <w:tcW w:w="1220" w:type="dxa"/>
            <w:vAlign w:val="bottom"/>
          </w:tcPr>
          <w:p>
            <w:pPr>
              <w:spacing w:after="0"/>
              <w:rPr>
                <w:sz w:val="14"/>
                <w:szCs w:val="14"/>
                <w:color w:val="auto"/>
              </w:rPr>
            </w:pPr>
          </w:p>
        </w:tc>
      </w:tr>
      <w:tr>
        <w:trPr>
          <w:trHeight w:val="167"/>
        </w:trPr>
        <w:tc>
          <w:tcPr>
            <w:tcW w:w="3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International ..........</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w:t>
            </w:r>
          </w:p>
        </w:tc>
        <w:tc>
          <w:tcPr>
            <w:tcW w:w="46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1220" w:type="dxa"/>
            <w:vAlign w:val="bottom"/>
          </w:tcPr>
          <w:p>
            <w:pPr>
              <w:spacing w:after="0"/>
              <w:rPr>
                <w:sz w:val="14"/>
                <w:szCs w:val="14"/>
                <w:color w:val="auto"/>
              </w:rPr>
            </w:pPr>
          </w:p>
        </w:tc>
      </w:tr>
      <w:tr>
        <w:trPr>
          <w:trHeight w:val="167"/>
        </w:trPr>
        <w:tc>
          <w:tcPr>
            <w:tcW w:w="69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TOTAL CHEMICALS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46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w:t>
            </w:r>
          </w:p>
        </w:tc>
        <w:tc>
          <w:tcPr>
            <w:tcW w:w="1220" w:type="dxa"/>
            <w:vAlign w:val="bottom"/>
          </w:tcPr>
          <w:p>
            <w:pPr>
              <w:spacing w:after="0"/>
              <w:rPr>
                <w:sz w:val="14"/>
                <w:szCs w:val="14"/>
                <w:color w:val="auto"/>
              </w:rPr>
            </w:pPr>
          </w:p>
        </w:tc>
      </w:tr>
      <w:tr>
        <w:trPr>
          <w:trHeight w:val="167"/>
        </w:trPr>
        <w:tc>
          <w:tcPr>
            <w:tcW w:w="69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All Other ..............</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c>
          <w:tcPr>
            <w:tcW w:w="46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(666)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c>
          <w:tcPr>
            <w:tcW w:w="1220" w:type="dxa"/>
            <w:vAlign w:val="bottom"/>
          </w:tcPr>
          <w:p>
            <w:pPr>
              <w:spacing w:after="0"/>
              <w:rPr>
                <w:sz w:val="14"/>
                <w:szCs w:val="14"/>
                <w:color w:val="auto"/>
              </w:rPr>
            </w:pPr>
          </w:p>
        </w:tc>
      </w:tr>
      <w:tr>
        <w:trPr>
          <w:trHeight w:val="167"/>
        </w:trPr>
        <w:tc>
          <w:tcPr>
            <w:tcW w:w="69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TOTAL INCOME TAX EXPENSE</w:t>
            </w:r>
          </w:p>
        </w:tc>
        <w:tc>
          <w:tcPr>
            <w:tcW w:w="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$ 1,578</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$ 2,246</w:t>
            </w:r>
          </w:p>
        </w:tc>
        <w:tc>
          <w:tcPr>
            <w:tcW w:w="1220" w:type="dxa"/>
            <w:vAlign w:val="bottom"/>
          </w:tcPr>
          <w:p>
            <w:pPr>
              <w:spacing w:after="0"/>
              <w:rPr>
                <w:sz w:val="14"/>
                <w:szCs w:val="14"/>
                <w:color w:val="auto"/>
              </w:rPr>
            </w:pPr>
          </w:p>
        </w:tc>
      </w:tr>
      <w:tr>
        <w:trPr>
          <w:trHeight w:val="167"/>
        </w:trPr>
        <w:tc>
          <w:tcPr>
            <w:tcW w:w="57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501"/>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Segment Sales and Other Operating Revenues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Revenues for the</w:t>
            </w:r>
          </w:p>
        </w:tc>
        <w:tc>
          <w:tcPr>
            <w:tcW w:w="2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exploration and production</w:t>
            </w:r>
          </w:p>
        </w:tc>
        <w:tc>
          <w:tcPr>
            <w:tcW w:w="18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segments are derived</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primarily from</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the  production</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of  crude  oil and</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natural</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gas.</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Revenues  for</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the  refining,</w:t>
            </w:r>
          </w:p>
        </w:tc>
      </w:tr>
    </w:tbl>
    <w:p>
      <w:pPr>
        <w:spacing w:after="0" w:line="4"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marketing and transportation segments are derived from the refining and marketing of petroleum products such as gasoline, jet fuel, gas oils, kerosene, residual fuel oils and other products derived from crude oil. This segment also generates revenues from the transportation and trading of crude oil and refined products. Chemicals segment revenues are derived from the manufacture and sale of petrochemicals, plastic resins, and lube oil and fuel additives.</w:t>
      </w:r>
    </w:p>
    <w:p>
      <w:pPr>
        <w:spacing w:after="0" w:line="165"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"All Other" activities include corporate administrative costs, worldwide cash management and debt financing activities, coal mining operations, insurance operations, and real estate activities.</w:t>
      </w:r>
    </w:p>
    <w:p>
      <w:pPr>
        <w:spacing w:after="0" w:line="162"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Reportable operating segment sales and other operating revenues, including internal transfers, for the years 1999, 1998 and 1997 are presented in the table that follows. Sales from the transfer of products between segments are at estimated market prices.</w:t>
      </w:r>
    </w:p>
    <w:p>
      <w:pPr>
        <w:spacing w:after="0" w:line="200" w:lineRule="exact"/>
        <w:rPr>
          <w:sz w:val="20"/>
          <w:szCs w:val="20"/>
          <w:color w:val="auto"/>
        </w:rPr>
      </w:pPr>
    </w:p>
    <w:p>
      <w:pPr>
        <w:spacing w:after="0" w:line="297"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560"/>
        <w:spacing w:after="0"/>
        <w:tabs>
          <w:tab w:leader="none" w:pos="6500" w:val="left"/>
          <w:tab w:leader="none" w:pos="76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1998(1)</w:t>
      </w:r>
      <w:r>
        <w:rPr>
          <w:sz w:val="20"/>
          <w:szCs w:val="20"/>
          <w:color w:val="auto"/>
        </w:rPr>
        <w:tab/>
      </w:r>
      <w:r>
        <w:rPr>
          <w:rFonts w:ascii="Courier New" w:cs="Courier New" w:eastAsia="Courier New" w:hAnsi="Courier New"/>
          <w:sz w:val="14"/>
          <w:szCs w:val="14"/>
          <w:color w:val="auto"/>
        </w:rPr>
        <w:t>1997(1)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EXPLORATION AND PRODUCTION</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5080" w:type="dxa"/>
            <w:vAlign w:val="bottom"/>
          </w:tcPr>
          <w:p>
            <w:pPr>
              <w:ind w:left="800"/>
              <w:spacing w:after="0"/>
              <w:rPr>
                <w:sz w:val="20"/>
                <w:szCs w:val="20"/>
                <w:color w:val="auto"/>
              </w:rPr>
            </w:pPr>
            <w:r>
              <w:rPr>
                <w:rFonts w:ascii="Courier New" w:cs="Courier New" w:eastAsia="Courier New" w:hAnsi="Courier New"/>
                <w:sz w:val="14"/>
                <w:szCs w:val="14"/>
                <w:color w:val="auto"/>
              </w:rPr>
              <w:t>Crude oil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080" w:type="dxa"/>
            <w:vAlign w:val="bottom"/>
          </w:tcPr>
          <w:p>
            <w:pPr>
              <w:ind w:left="800"/>
              <w:spacing w:after="0"/>
              <w:rPr>
                <w:sz w:val="20"/>
                <w:szCs w:val="20"/>
                <w:color w:val="auto"/>
              </w:rPr>
            </w:pPr>
            <w:r>
              <w:rPr>
                <w:rFonts w:ascii="Courier New" w:cs="Courier New" w:eastAsia="Courier New" w:hAnsi="Courier New"/>
                <w:sz w:val="14"/>
                <w:szCs w:val="14"/>
                <w:color w:val="auto"/>
              </w:rPr>
              <w:t>Natural gas ....................................</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1,578</w:t>
            </w:r>
          </w:p>
        </w:tc>
        <w:tc>
          <w:tcPr>
            <w:tcW w:w="36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1,599</w:t>
            </w:r>
          </w:p>
        </w:tc>
        <w:tc>
          <w:tcPr>
            <w:tcW w:w="3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1,978</w:t>
            </w:r>
          </w:p>
        </w:tc>
      </w:tr>
      <w:tr>
        <w:trPr>
          <w:trHeight w:val="167"/>
        </w:trPr>
        <w:tc>
          <w:tcPr>
            <w:tcW w:w="5080" w:type="dxa"/>
            <w:vAlign w:val="bottom"/>
          </w:tcPr>
          <w:p>
            <w:pPr>
              <w:ind w:left="800"/>
              <w:spacing w:after="0"/>
              <w:rPr>
                <w:sz w:val="20"/>
                <w:szCs w:val="20"/>
                <w:color w:val="auto"/>
              </w:rPr>
            </w:pPr>
            <w:r>
              <w:rPr>
                <w:rFonts w:ascii="Courier New" w:cs="Courier New" w:eastAsia="Courier New" w:hAnsi="Courier New"/>
                <w:sz w:val="14"/>
                <w:szCs w:val="14"/>
                <w:color w:val="auto"/>
              </w:rPr>
              <w:t>Natural gas liquids ............................</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36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w:t>
            </w:r>
          </w:p>
        </w:tc>
        <w:tc>
          <w:tcPr>
            <w:tcW w:w="3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r>
      <w:tr>
        <w:trPr>
          <w:trHeight w:val="167"/>
        </w:trPr>
        <w:tc>
          <w:tcPr>
            <w:tcW w:w="5080" w:type="dxa"/>
            <w:vAlign w:val="bottom"/>
          </w:tcPr>
          <w:p>
            <w:pPr>
              <w:ind w:left="800"/>
              <w:spacing w:after="0"/>
              <w:rPr>
                <w:sz w:val="20"/>
                <w:szCs w:val="20"/>
                <w:color w:val="auto"/>
              </w:rPr>
            </w:pPr>
            <w:r>
              <w:rPr>
                <w:rFonts w:ascii="Courier New" w:cs="Courier New" w:eastAsia="Courier New" w:hAnsi="Courier New"/>
                <w:sz w:val="14"/>
                <w:szCs w:val="14"/>
                <w:color w:val="auto"/>
              </w:rPr>
              <w:t>Other ..........................................</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3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5080" w:type="dxa"/>
            <w:vAlign w:val="bottom"/>
          </w:tcPr>
          <w:p>
            <w:pPr>
              <w:ind w:left="800"/>
              <w:spacing w:after="0"/>
              <w:rPr>
                <w:sz w:val="20"/>
                <w:szCs w:val="20"/>
                <w:color w:val="auto"/>
              </w:rPr>
            </w:pPr>
            <w:r>
              <w:rPr>
                <w:rFonts w:ascii="Courier New" w:cs="Courier New" w:eastAsia="Courier New" w:hAnsi="Courier New"/>
                <w:sz w:val="14"/>
                <w:szCs w:val="14"/>
                <w:color w:val="auto"/>
              </w:rPr>
              <w:t>Intersegment ...................................</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1,985</w:t>
            </w:r>
          </w:p>
        </w:tc>
        <w:tc>
          <w:tcPr>
            <w:tcW w:w="36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1,453</w:t>
            </w:r>
          </w:p>
        </w:tc>
        <w:tc>
          <w:tcPr>
            <w:tcW w:w="3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4,362</w:t>
            </w:r>
          </w:p>
        </w:tc>
      </w:tr>
      <w:tr>
        <w:trPr>
          <w:trHeight w:val="167"/>
        </w:trPr>
        <w:tc>
          <w:tcPr>
            <w:tcW w:w="5080" w:type="dxa"/>
            <w:vAlign w:val="bottom"/>
          </w:tcPr>
          <w:p>
            <w:pPr>
              <w:spacing w:after="0"/>
              <w:rPr>
                <w:sz w:val="14"/>
                <w:szCs w:val="14"/>
                <w:color w:val="auto"/>
              </w:rPr>
            </w:pPr>
          </w:p>
        </w:tc>
        <w:tc>
          <w:tcPr>
            <w:tcW w:w="30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800"/>
              <w:spacing w:after="0"/>
              <w:rPr>
                <w:sz w:val="20"/>
                <w:szCs w:val="20"/>
                <w:color w:val="auto"/>
              </w:rPr>
            </w:pPr>
            <w:r>
              <w:rPr>
                <w:rFonts w:ascii="Courier New" w:cs="Courier New" w:eastAsia="Courier New" w:hAnsi="Courier New"/>
                <w:sz w:val="14"/>
                <w:szCs w:val="14"/>
                <w:color w:val="auto"/>
              </w:rPr>
              <w:t>Total United States ............................</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3,730</w:t>
            </w:r>
          </w:p>
        </w:tc>
        <w:tc>
          <w:tcPr>
            <w:tcW w:w="36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3,192</w:t>
            </w:r>
          </w:p>
        </w:tc>
        <w:tc>
          <w:tcPr>
            <w:tcW w:w="3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6,542</w:t>
            </w:r>
          </w:p>
        </w:tc>
      </w:tr>
    </w:tbl>
    <w:p>
      <w:pPr>
        <w:spacing w:after="0" w:line="4"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Refined products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Crude oil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2,586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2,790</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Natural gas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678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Natural gas liquids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Intersegment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2,876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2,810</w:t>
            </w:r>
          </w:p>
        </w:tc>
      </w:tr>
      <w:tr>
        <w:trPr>
          <w:trHeight w:val="167"/>
        </w:trPr>
        <w:tc>
          <w:tcPr>
            <w:tcW w:w="42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International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6,463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6,478</w:t>
            </w:r>
          </w:p>
        </w:tc>
      </w:tr>
    </w:tbl>
    <w:p>
      <w:pPr>
        <w:spacing w:after="0" w:line="4" w:lineRule="exact"/>
        <w:rPr>
          <w:sz w:val="20"/>
          <w:szCs w:val="20"/>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EXPLORATION</w:t>
      </w:r>
    </w:p>
    <w:p>
      <w:pPr>
        <w:spacing w:after="0" w:line="8" w:lineRule="exact"/>
        <w:rPr>
          <w:sz w:val="20"/>
          <w:szCs w:val="20"/>
          <w:color w:val="auto"/>
        </w:rPr>
      </w:pPr>
    </w:p>
    <w:tbl>
      <w:tblPr>
        <w:tblLayout w:type="fixed"/>
        <w:tblInd w:w="236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AND PRODUCTION ...............</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10,193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7,662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13,020</w:t>
            </w:r>
          </w:p>
        </w:tc>
      </w:tr>
    </w:tbl>
    <w:p>
      <w:pPr>
        <w:spacing w:after="0" w:line="4" w:lineRule="exact"/>
        <w:rPr>
          <w:sz w:val="20"/>
          <w:szCs w:val="20"/>
          <w:color w:val="auto"/>
        </w:rPr>
      </w:pPr>
    </w:p>
    <w:p>
      <w:pPr>
        <w:ind w:left="180" w:hanging="171"/>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REFINING, MARKETING</w:t>
      </w:r>
    </w:p>
    <w:p>
      <w:pPr>
        <w:spacing w:after="0" w:line="8" w:lineRule="exact"/>
        <w:rPr>
          <w:rFonts w:ascii="Courier New" w:cs="Courier New" w:eastAsia="Courier New" w:hAnsi="Courier New"/>
          <w:sz w:val="14"/>
          <w:szCs w:val="14"/>
          <w:color w:val="auto"/>
        </w:rPr>
      </w:pPr>
    </w:p>
    <w:p>
      <w:pPr>
        <w:ind w:right="7799" w:firstLine="78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TRANSPORTATION United States</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Refined products ...............................</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12,765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12,586</w:t>
            </w:r>
          </w:p>
        </w:tc>
      </w:tr>
    </w:tbl>
    <w:p>
      <w:pPr>
        <w:sectPr>
          <w:pgSz w:w="11900" w:h="16838" w:orient="portrait"/>
          <w:cols w:equalWidth="0" w:num="1">
            <w:col w:w="10159"/>
          </w:cols>
          <w:pgMar w:left="300" w:top="954" w:right="1440" w:bottom="0" w:gutter="0" w:footer="0" w:header="0"/>
        </w:sectPr>
      </w:pPr>
    </w:p>
    <w:bookmarkStart w:id="17" w:name="page18"/>
    <w:bookmarkEnd w:id="17"/>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Crude oil ......................................</w:t>
            </w:r>
          </w:p>
        </w:tc>
        <w:tc>
          <w:tcPr>
            <w:tcW w:w="11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3,618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4,531</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Natural gas liquids ............................</w:t>
            </w:r>
          </w:p>
        </w:tc>
        <w:tc>
          <w:tcPr>
            <w:tcW w:w="11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133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1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654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Excise taxes ...................................</w:t>
            </w:r>
          </w:p>
        </w:tc>
        <w:tc>
          <w:tcPr>
            <w:tcW w:w="11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3,386</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Intersegment ...................................</w:t>
            </w:r>
          </w:p>
        </w:tc>
        <w:tc>
          <w:tcPr>
            <w:tcW w:w="11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7"/>
        </w:trPr>
        <w:tc>
          <w:tcPr>
            <w:tcW w:w="42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United States ............................</w:t>
            </w:r>
          </w:p>
        </w:tc>
        <w:tc>
          <w:tcPr>
            <w:tcW w:w="11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21,238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21,566</w:t>
            </w:r>
          </w:p>
        </w:tc>
      </w:tr>
    </w:tbl>
    <w:p>
      <w:pPr>
        <w:spacing w:after="0" w:line="4" w:lineRule="exact"/>
        <w:rPr>
          <w:sz w:val="20"/>
          <w:szCs w:val="20"/>
          <w:color w:val="auto"/>
        </w:rPr>
      </w:pPr>
    </w:p>
    <w:p>
      <w:pPr>
        <w:ind w:left="180" w:hanging="171"/>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Refined products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2,998</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Crude oil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3,874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3,978</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Natural gas liquids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Excise taxes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2,188</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Intersegment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42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International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5,315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4,898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9,609</w:t>
            </w:r>
          </w:p>
        </w:tc>
      </w:tr>
    </w:tbl>
    <w:p>
      <w:pPr>
        <w:spacing w:after="0" w:line="4"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REFINING, MARKETING</w:t>
      </w:r>
    </w:p>
    <w:p>
      <w:pPr>
        <w:spacing w:after="0" w:line="8" w:lineRule="exact"/>
        <w:rPr>
          <w:sz w:val="20"/>
          <w:szCs w:val="20"/>
          <w:color w:val="auto"/>
        </w:rPr>
      </w:pPr>
    </w:p>
    <w:tbl>
      <w:tblPr>
        <w:tblLayout w:type="fixed"/>
        <w:tblInd w:w="236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AND TRANSPORTATION ...........</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26,553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31,175</w:t>
            </w:r>
          </w:p>
        </w:tc>
      </w:tr>
    </w:tbl>
    <w:p>
      <w:pPr>
        <w:spacing w:after="0" w:line="4"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90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CHEMICALS United States</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Products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2,794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2,933</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Excise taxes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Intersegment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7"/>
        </w:trPr>
        <w:tc>
          <w:tcPr>
            <w:tcW w:w="42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United States ............................</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2,958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3,045</w:t>
            </w:r>
          </w:p>
        </w:tc>
      </w:tr>
    </w:tbl>
    <w:p>
      <w:pPr>
        <w:spacing w:after="0" w:line="4"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Products .......................................</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715</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Excise taxes ...................................</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Intersegment ...................................</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42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International ............................</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779</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3640" w:type="dxa"/>
            <w:vAlign w:val="bottom"/>
          </w:tcPr>
          <w:p>
            <w:pPr>
              <w:spacing w:after="0"/>
              <w:rPr>
                <w:sz w:val="20"/>
                <w:szCs w:val="20"/>
                <w:color w:val="auto"/>
              </w:rPr>
            </w:pPr>
            <w:r>
              <w:rPr>
                <w:rFonts w:ascii="Courier New" w:cs="Courier New" w:eastAsia="Courier New" w:hAnsi="Courier New"/>
                <w:sz w:val="14"/>
                <w:szCs w:val="14"/>
                <w:color w:val="auto"/>
              </w:rPr>
              <w:t>TOTAL CHEMICALS .......................</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3,737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3,647</w:t>
            </w:r>
          </w:p>
        </w:tc>
      </w:tr>
    </w:tbl>
    <w:p>
      <w:pPr>
        <w:spacing w:after="0" w:line="4" w:lineRule="exact"/>
        <w:rPr>
          <w:sz w:val="20"/>
          <w:szCs w:val="20"/>
          <w:color w:val="auto"/>
        </w:rPr>
      </w:pPr>
    </w:p>
    <w:p>
      <w:pPr>
        <w:ind w:left="180" w:hanging="171"/>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United</w:t>
            </w:r>
          </w:p>
        </w:tc>
        <w:tc>
          <w:tcPr>
            <w:tcW w:w="4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States - Coal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360</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United</w:t>
            </w:r>
          </w:p>
        </w:tc>
        <w:tc>
          <w:tcPr>
            <w:tcW w:w="4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States - Other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International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Intersegment</w:t>
            </w:r>
          </w:p>
        </w:tc>
        <w:tc>
          <w:tcPr>
            <w:tcW w:w="4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United States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Intersegment</w:t>
            </w:r>
          </w:p>
        </w:tc>
        <w:tc>
          <w:tcPr>
            <w:tcW w:w="4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International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ALL OTHER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430</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bl>
    <w:p>
      <w:pPr>
        <w:spacing w:after="0" w:line="4" w:lineRule="exact"/>
        <w:rPr>
          <w:sz w:val="20"/>
          <w:szCs w:val="20"/>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Sales and Other Operating Revenues</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United States ................................</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28,349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31,567</w:t>
            </w:r>
          </w:p>
        </w:tc>
      </w:tr>
      <w:tr>
        <w:trPr>
          <w:trHeight w:val="167"/>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International ................................</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12,564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16,690</w:t>
            </w:r>
          </w:p>
        </w:tc>
      </w:tr>
    </w:tbl>
    <w:p>
      <w:pPr>
        <w:spacing w:after="0" w:line="4" w:lineRule="exact"/>
        <w:rPr>
          <w:sz w:val="20"/>
          <w:szCs w:val="20"/>
          <w:color w:val="auto"/>
        </w:rPr>
      </w:pPr>
    </w:p>
    <w:p>
      <w:pPr>
        <w:ind w:left="180" w:hanging="171"/>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Segment Sales and</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Other Operating Revenues .......................</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40,913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48,257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Elimination of Intersegment Sales .......................</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(5,465)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(7,661)</w:t>
            </w:r>
          </w:p>
        </w:tc>
      </w:tr>
    </w:tbl>
    <w:p>
      <w:pPr>
        <w:spacing w:after="0" w:line="4" w:lineRule="exact"/>
        <w:rPr>
          <w:sz w:val="20"/>
          <w:szCs w:val="20"/>
          <w:color w:val="auto"/>
        </w:rPr>
      </w:pPr>
    </w:p>
    <w:p>
      <w:pPr>
        <w:ind w:left="180" w:hanging="171"/>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Sales and</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Operating Revenues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$35,448</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$29,943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$40,596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Certain amounts have been restated to conform to the 1999 presentation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Segment Information</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Investments in and earnings from affiliated companies are included in the segments in which the affiliates operate. Dynegy Inc. is included in U.S. exploration and production; P.T. Caltex Pacific Indonesia (CPI) and Tengizchevroil (TCO) are included in International exploration and production; and Caltex Corporation is included in International refining, marketing and transportation. The company's other affiliates are not material to any segment's assets or results of operations. Information on equity affiliates, including carrying value and equity earnings, is included in Note 12.</w:t>
      </w:r>
    </w:p>
    <w:p>
      <w:pPr>
        <w:spacing w:after="0" w:line="164"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Additions to long-lived assets and depreciation expense, by operating segment, are included in Note 13.</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14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Note 10. LITIGATION</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is a party, along with other oil companies, to numerous lawsuits and claims, including actions challenging oil and gas royalty and severance tax payments based on posted prices, and actions related to the use of the chemical MTBE in certain oxygenated gasolines. In some of these actions, plaintiffs may seek to recover large and sometimes unspecified amounts. In others, the plaintiffs may seek to have the company perform specific actions, including remediation of alleged damages. These matters may remain unresolved for several years, and it is not practical to estimate a range of possible loss. Although losses could be material with respect to earnings in any given period, management believes that resolution of these matters will not result in any significant liability to the company in relation to its consolidated financial position or have a significant effect on its liquidity.</w:t>
      </w:r>
    </w:p>
    <w:p>
      <w:pPr>
        <w:spacing w:after="0" w:line="163"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In a lawsuit in Los Angeles, Calif., brought in 1995, the company and five other oil companies are contesting the validity of a patent granted to Unocal Corporation (Unocal) for certain types of reformulated gasoline, which the company sells in California during certain months of the year. The first two phases of the trial were concluded in 1997, with the jury upholding the validity of the patent and assessing damages at the rate of 5.75 cents per gallon of gasoline produced in infringement of the patent between March 1 and July 1, 1996. In the third phase of the trial, the judge heard evidence to determine if the patent was enforceable. In 1998, the judge ruled the patent was enforceable. The defendants filed an appeal in January 1999 and oral arguments were made before the court in July 1999. While the ultimate outcome of this matter cannot be determined with certainty, the company believes Unocal's patent is invalid and any unfavorable rulings should be reversed upon appeal. Unocal also has filed for additional patents for alternate formulations. Should the jury's finding and Unocal's patent ultimately be upheld, the company's financial exposure includes royalties, plus interest, for past production of gasoline that is ruled to have infringed the applicable patent and royalty payments for any future production of gasoline that infringes this patent. The effect of unfavorable rulings with respect to future reformulated gasoline production would depend on the availability of alternate formulations and the industry's ability to recover additional costs of production through prices charged to its customers. The company believes that its ultimate exposure in this matter will not materially affect its financial position or liquidity, although the costs of resolution of any unfavorable ruling could be material with respect to earnings in any given period.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 11.</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LEASE COMMITMENTS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Certain</w:t>
            </w:r>
          </w:p>
        </w:tc>
        <w:tc>
          <w:tcPr>
            <w:tcW w:w="500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noncancelable  leases are classified as capital leases,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and the leased</w:t>
            </w: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assets are included as part of "Properties,</w:t>
            </w:r>
          </w:p>
        </w:tc>
        <w:tc>
          <w:tcPr>
            <w:tcW w:w="19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plant and equipment."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Other leases</w:t>
            </w:r>
          </w:p>
        </w:tc>
      </w:tr>
      <w:tr>
        <w:trPr>
          <w:trHeight w:val="167"/>
        </w:trPr>
        <w:tc>
          <w:tcPr>
            <w:tcW w:w="4520" w:type="dxa"/>
            <w:vAlign w:val="bottom"/>
            <w:gridSpan w:val="4"/>
          </w:tcPr>
          <w:p>
            <w:pPr>
              <w:spacing w:after="0"/>
              <w:rPr>
                <w:sz w:val="20"/>
                <w:szCs w:val="20"/>
                <w:color w:val="auto"/>
              </w:rPr>
            </w:pPr>
            <w:r>
              <w:rPr>
                <w:rFonts w:ascii="Courier New" w:cs="Courier New" w:eastAsia="Courier New" w:hAnsi="Courier New"/>
                <w:sz w:val="14"/>
                <w:szCs w:val="14"/>
                <w:color w:val="auto"/>
              </w:rPr>
              <w:t>are  classified  as  operating  leases and are not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capitalized.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Details of the</w:t>
            </w: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capitalized leased assets are as follows.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8"/>
        </w:trPr>
        <w:tc>
          <w:tcPr>
            <w:tcW w:w="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At December 31</w:t>
            </w:r>
          </w:p>
        </w:tc>
        <w:tc>
          <w:tcPr>
            <w:tcW w:w="122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000" w:type="dxa"/>
            <w:vAlign w:val="bottom"/>
            <w:gridSpan w:val="5"/>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4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1998</w:t>
            </w:r>
          </w:p>
        </w:tc>
        <w:tc>
          <w:tcPr>
            <w:tcW w:w="1220" w:type="dxa"/>
            <w:vAlign w:val="bottom"/>
          </w:tcPr>
          <w:p>
            <w:pPr>
              <w:spacing w:after="0"/>
              <w:rPr>
                <w:sz w:val="14"/>
                <w:szCs w:val="14"/>
                <w:color w:val="auto"/>
              </w:rPr>
            </w:pPr>
          </w:p>
        </w:tc>
      </w:tr>
      <w:tr>
        <w:trPr>
          <w:trHeight w:val="167"/>
        </w:trPr>
        <w:tc>
          <w:tcPr>
            <w:tcW w:w="574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r>
      <w:tr>
        <w:trPr>
          <w:trHeight w:val="334"/>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Exploration and Production  ..........</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1220" w:type="dxa"/>
            <w:vAlign w:val="bottom"/>
          </w:tcPr>
          <w:p>
            <w:pPr>
              <w:spacing w:after="0"/>
              <w:rPr>
                <w:sz w:val="24"/>
                <w:szCs w:val="24"/>
                <w:color w:val="auto"/>
              </w:rPr>
            </w:pP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Refining, Marketing and Transportation</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c>
          <w:tcPr>
            <w:tcW w:w="4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757</w:t>
            </w:r>
          </w:p>
        </w:tc>
        <w:tc>
          <w:tcPr>
            <w:tcW w:w="1220" w:type="dxa"/>
            <w:vAlign w:val="bottom"/>
          </w:tcPr>
          <w:p>
            <w:pPr>
              <w:spacing w:after="0"/>
              <w:rPr>
                <w:sz w:val="14"/>
                <w:szCs w:val="14"/>
                <w:color w:val="auto"/>
              </w:rPr>
            </w:pPr>
          </w:p>
        </w:tc>
      </w:tr>
      <w:tr>
        <w:trPr>
          <w:trHeight w:val="167"/>
        </w:trPr>
        <w:tc>
          <w:tcPr>
            <w:tcW w:w="574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Total .......................</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865</w:t>
            </w:r>
          </w:p>
        </w:tc>
        <w:tc>
          <w:tcPr>
            <w:tcW w:w="4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762</w:t>
            </w:r>
          </w:p>
        </w:tc>
        <w:tc>
          <w:tcPr>
            <w:tcW w:w="1220" w:type="dxa"/>
            <w:vAlign w:val="bottom"/>
          </w:tcPr>
          <w:p>
            <w:pPr>
              <w:spacing w:after="0"/>
              <w:rPr>
                <w:sz w:val="14"/>
                <w:szCs w:val="14"/>
                <w:color w:val="auto"/>
              </w:rPr>
            </w:pP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amortization .......</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c>
          <w:tcPr>
            <w:tcW w:w="4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398</w:t>
            </w:r>
          </w:p>
        </w:tc>
        <w:tc>
          <w:tcPr>
            <w:tcW w:w="1220" w:type="dxa"/>
            <w:vAlign w:val="bottom"/>
          </w:tcPr>
          <w:p>
            <w:pPr>
              <w:spacing w:after="0"/>
              <w:rPr>
                <w:sz w:val="14"/>
                <w:szCs w:val="14"/>
                <w:color w:val="auto"/>
              </w:rPr>
            </w:pPr>
          </w:p>
        </w:tc>
      </w:tr>
      <w:tr>
        <w:trPr>
          <w:trHeight w:val="167"/>
        </w:trPr>
        <w:tc>
          <w:tcPr>
            <w:tcW w:w="574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Net capitalized leased assets ........</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364</w:t>
            </w:r>
          </w:p>
        </w:tc>
        <w:tc>
          <w:tcPr>
            <w:tcW w:w="1220" w:type="dxa"/>
            <w:vAlign w:val="bottom"/>
          </w:tcPr>
          <w:p>
            <w:pPr>
              <w:spacing w:after="0"/>
              <w:rPr>
                <w:sz w:val="14"/>
                <w:szCs w:val="14"/>
                <w:color w:val="auto"/>
              </w:rPr>
            </w:pPr>
          </w:p>
        </w:tc>
      </w:tr>
      <w:tr>
        <w:trPr>
          <w:trHeight w:val="167"/>
        </w:trPr>
        <w:tc>
          <w:tcPr>
            <w:tcW w:w="5740" w:type="dxa"/>
            <w:vAlign w:val="bottom"/>
            <w:gridSpan w:val="6"/>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bl>
    <w:p>
      <w:pPr>
        <w:spacing w:after="0" w:line="338"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Rental expenses incurred for operating leases during 1999, 1998 and 1997 were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8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2880" w:type="dxa"/>
            <w:vAlign w:val="bottom"/>
          </w:tcPr>
          <w:p>
            <w:pPr>
              <w:spacing w:after="0"/>
              <w:rPr>
                <w:sz w:val="14"/>
                <w:szCs w:val="14"/>
                <w:color w:val="auto"/>
              </w:rPr>
            </w:pPr>
          </w:p>
        </w:tc>
        <w:tc>
          <w:tcPr>
            <w:tcW w:w="408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Minimum rentals ............</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$465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$443</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Contingent rentals .........</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2880" w:type="dxa"/>
            <w:vAlign w:val="bottom"/>
          </w:tcPr>
          <w:p>
            <w:pPr>
              <w:ind w:left="800"/>
              <w:spacing w:after="0"/>
              <w:rPr>
                <w:sz w:val="20"/>
                <w:szCs w:val="20"/>
                <w:color w:val="auto"/>
              </w:rPr>
            </w:pPr>
            <w:r>
              <w:rPr>
                <w:rFonts w:ascii="Courier New" w:cs="Courier New" w:eastAsia="Courier New" w:hAnsi="Courier New"/>
                <w:sz w:val="14"/>
                <w:szCs w:val="14"/>
                <w:color w:val="auto"/>
              </w:rPr>
              <w:t>Total .............</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468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448</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Less: sublease rental income</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rental expense .........</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$465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w:t>
            </w:r>
          </w:p>
        </w:tc>
        <w:tc>
          <w:tcPr>
            <w:tcW w:w="19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$443</w:t>
            </w:r>
          </w:p>
        </w:tc>
      </w:tr>
      <w:tr>
        <w:trPr>
          <w:trHeight w:val="167"/>
        </w:trPr>
        <w:tc>
          <w:tcPr>
            <w:tcW w:w="6960" w:type="dxa"/>
            <w:vAlign w:val="bottom"/>
            <w:gridSpan w:val="4"/>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501"/>
        </w:trPr>
        <w:tc>
          <w:tcPr>
            <w:tcW w:w="2880" w:type="dxa"/>
            <w:vAlign w:val="bottom"/>
          </w:tcPr>
          <w:p>
            <w:pPr>
              <w:spacing w:after="0"/>
              <w:rPr>
                <w:sz w:val="20"/>
                <w:szCs w:val="20"/>
                <w:color w:val="auto"/>
              </w:rPr>
            </w:pPr>
            <w:r>
              <w:rPr>
                <w:rFonts w:ascii="Courier New" w:cs="Courier New" w:eastAsia="Courier New" w:hAnsi="Courier New"/>
                <w:sz w:val="14"/>
                <w:szCs w:val="14"/>
                <w:color w:val="auto"/>
              </w:rPr>
              <w:t>At December 31, 1999,  the future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minimum lease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payments</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under  operating and</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capital leases are as follows.</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834"/>
        </w:trPr>
        <w:tc>
          <w:tcPr>
            <w:tcW w:w="2880" w:type="dxa"/>
            <w:vAlign w:val="bottom"/>
          </w:tcPr>
          <w:p>
            <w:pPr>
              <w:spacing w:after="0"/>
              <w:rPr>
                <w:sz w:val="24"/>
                <w:szCs w:val="24"/>
                <w:color w:val="auto"/>
              </w:rPr>
            </w:pPr>
          </w:p>
        </w:tc>
        <w:tc>
          <w:tcPr>
            <w:tcW w:w="4080" w:type="dxa"/>
            <w:vAlign w:val="bottom"/>
            <w:gridSpan w:val="3"/>
          </w:tcPr>
          <w:p>
            <w:pPr>
              <w:jc w:val="right"/>
              <w:ind w:right="1668"/>
              <w:spacing w:after="0"/>
              <w:rPr>
                <w:sz w:val="20"/>
                <w:szCs w:val="20"/>
                <w:color w:val="auto"/>
              </w:rPr>
            </w:pPr>
            <w:r>
              <w:rPr>
                <w:rFonts w:ascii="Courier New" w:cs="Courier New" w:eastAsia="Courier New" w:hAnsi="Courier New"/>
                <w:sz w:val="14"/>
                <w:szCs w:val="14"/>
                <w:color w:val="auto"/>
              </w:rPr>
              <w:t>At December 31</w:t>
            </w:r>
          </w:p>
        </w:tc>
      </w:tr>
      <w:tr>
        <w:trPr>
          <w:trHeight w:val="167"/>
        </w:trPr>
        <w:tc>
          <w:tcPr>
            <w:tcW w:w="2880" w:type="dxa"/>
            <w:vAlign w:val="bottom"/>
          </w:tcPr>
          <w:p>
            <w:pPr>
              <w:spacing w:after="0"/>
              <w:rPr>
                <w:sz w:val="14"/>
                <w:szCs w:val="14"/>
                <w:color w:val="auto"/>
              </w:rPr>
            </w:pPr>
          </w:p>
        </w:tc>
        <w:tc>
          <w:tcPr>
            <w:tcW w:w="4080" w:type="dxa"/>
            <w:vAlign w:val="bottom"/>
            <w:gridSpan w:val="3"/>
          </w:tcPr>
          <w:p>
            <w:pPr>
              <w:jc w:val="right"/>
              <w:ind w:right="166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Operating</w:t>
            </w:r>
          </w:p>
        </w:tc>
        <w:tc>
          <w:tcPr>
            <w:tcW w:w="2780" w:type="dxa"/>
            <w:vAlign w:val="bottom"/>
            <w:gridSpan w:val="2"/>
          </w:tcPr>
          <w:p>
            <w:pPr>
              <w:jc w:val="right"/>
              <w:ind w:right="1668"/>
              <w:spacing w:after="0"/>
              <w:rPr>
                <w:sz w:val="20"/>
                <w:szCs w:val="20"/>
                <w:color w:val="auto"/>
              </w:rPr>
            </w:pPr>
            <w:r>
              <w:rPr>
                <w:rFonts w:ascii="Courier New" w:cs="Courier New" w:eastAsia="Courier New" w:hAnsi="Courier New"/>
                <w:sz w:val="14"/>
                <w:szCs w:val="14"/>
                <w:color w:val="auto"/>
              </w:rPr>
              <w:t>Capital</w:t>
            </w:r>
          </w:p>
        </w:tc>
      </w:tr>
      <w:tr>
        <w:trPr>
          <w:trHeight w:val="167"/>
        </w:trPr>
        <w:tc>
          <w:tcPr>
            <w:tcW w:w="28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w:t>
            </w:r>
          </w:p>
        </w:tc>
        <w:tc>
          <w:tcPr>
            <w:tcW w:w="2780" w:type="dxa"/>
            <w:vAlign w:val="bottom"/>
            <w:gridSpan w:val="2"/>
          </w:tcPr>
          <w:p>
            <w:pPr>
              <w:jc w:val="right"/>
              <w:ind w:right="1668"/>
              <w:spacing w:after="0"/>
              <w:rPr>
                <w:sz w:val="20"/>
                <w:szCs w:val="20"/>
                <w:color w:val="auto"/>
              </w:rPr>
            </w:pPr>
            <w:r>
              <w:rPr>
                <w:rFonts w:ascii="Courier New" w:cs="Courier New" w:eastAsia="Courier New" w:hAnsi="Courier New"/>
                <w:sz w:val="14"/>
                <w:szCs w:val="14"/>
                <w:color w:val="auto"/>
              </w:rPr>
              <w:t>Leases</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334"/>
        </w:trPr>
        <w:tc>
          <w:tcPr>
            <w:tcW w:w="2880" w:type="dxa"/>
            <w:vAlign w:val="bottom"/>
          </w:tcPr>
          <w:p>
            <w:pPr>
              <w:ind w:left="132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2880" w:type="dxa"/>
            <w:vAlign w:val="bottom"/>
          </w:tcPr>
          <w:p>
            <w:pPr>
              <w:ind w:left="1320"/>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1668"/>
              <w:spacing w:after="0"/>
              <w:rPr>
                <w:sz w:val="20"/>
                <w:szCs w:val="20"/>
                <w:color w:val="auto"/>
              </w:rPr>
            </w:pPr>
            <w:r>
              <w:rPr>
                <w:rFonts w:ascii="Courier New" w:cs="Courier New" w:eastAsia="Courier New" w:hAnsi="Courier New"/>
                <w:sz w:val="14"/>
                <w:szCs w:val="14"/>
                <w:color w:val="auto"/>
                <w:w w:val="94"/>
              </w:rPr>
              <w:t>81</w:t>
            </w:r>
          </w:p>
        </w:tc>
      </w:tr>
    </w:tbl>
    <w:p>
      <w:pPr>
        <w:sectPr>
          <w:pgSz w:w="11900" w:h="16838" w:orient="portrait"/>
          <w:cols w:equalWidth="0" w:num="1">
            <w:col w:w="10159"/>
          </w:cols>
          <w:pgMar w:left="300" w:top="453"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2001</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7"/>
        </w:trPr>
        <w:tc>
          <w:tcPr>
            <w:tcW w:w="2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2002</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7"/>
        </w:trPr>
        <w:tc>
          <w:tcPr>
            <w:tcW w:w="2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2003</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7"/>
        </w:trPr>
        <w:tc>
          <w:tcPr>
            <w:tcW w:w="2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2004</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7"/>
        </w:trPr>
        <w:tc>
          <w:tcPr>
            <w:tcW w:w="266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Thereafter</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$1,184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1,268</w:t>
            </w:r>
          </w:p>
        </w:tc>
      </w:tr>
      <w:tr>
        <w:trPr>
          <w:trHeight w:val="167"/>
        </w:trPr>
        <w:tc>
          <w:tcPr>
            <w:tcW w:w="43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Less: amounts representing interest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300" w:type="dxa"/>
            <w:vAlign w:val="bottom"/>
          </w:tcPr>
          <w:p>
            <w:pPr>
              <w:ind w:left="960"/>
              <w:spacing w:after="0"/>
              <w:rPr>
                <w:sz w:val="20"/>
                <w:szCs w:val="20"/>
                <w:color w:val="auto"/>
              </w:rPr>
            </w:pPr>
            <w:r>
              <w:rPr>
                <w:rFonts w:ascii="Courier New" w:cs="Courier New" w:eastAsia="Courier New" w:hAnsi="Courier New"/>
                <w:sz w:val="14"/>
                <w:szCs w:val="14"/>
                <w:color w:val="auto"/>
              </w:rPr>
              <w:t>and executory costs</w:t>
            </w:r>
          </w:p>
        </w:tc>
        <w:tc>
          <w:tcPr>
            <w:tcW w:w="1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present values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643</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Less: capital lease obligations</w:t>
            </w:r>
          </w:p>
        </w:tc>
        <w:tc>
          <w:tcPr>
            <w:tcW w:w="1080" w:type="dxa"/>
            <w:vAlign w:val="bottom"/>
          </w:tcPr>
          <w:p>
            <w:pPr>
              <w:spacing w:after="0"/>
              <w:rPr>
                <w:sz w:val="14"/>
                <w:szCs w:val="14"/>
                <w:color w:val="auto"/>
              </w:rPr>
            </w:pPr>
          </w:p>
        </w:tc>
      </w:tr>
      <w:tr>
        <w:trPr>
          <w:trHeight w:val="167"/>
        </w:trPr>
        <w:tc>
          <w:tcPr>
            <w:tcW w:w="3960" w:type="dxa"/>
            <w:vAlign w:val="bottom"/>
          </w:tcPr>
          <w:p>
            <w:pPr>
              <w:ind w:left="780"/>
              <w:spacing w:after="0"/>
              <w:rPr>
                <w:sz w:val="20"/>
                <w:szCs w:val="20"/>
                <w:color w:val="auto"/>
              </w:rPr>
            </w:pPr>
            <w:r>
              <w:rPr>
                <w:rFonts w:ascii="Courier New" w:cs="Courier New" w:eastAsia="Courier New" w:hAnsi="Courier New"/>
                <w:sz w:val="14"/>
                <w:szCs w:val="14"/>
                <w:color w:val="auto"/>
              </w:rPr>
              <w:t>included in short-term debt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Long-term capital lease obligations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311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tabs>
          <w:tab w:leader="none" w:pos="3380" w:val="left"/>
          <w:tab w:leader="none" w:pos="3800" w:val="left"/>
          <w:tab w:leader="none" w:pos="4680" w:val="left"/>
          <w:tab w:leader="none" w:pos="5100" w:val="left"/>
        </w:tabs>
        <w:rPr>
          <w:sz w:val="20"/>
          <w:szCs w:val="20"/>
          <w:color w:val="auto"/>
        </w:rPr>
      </w:pPr>
      <w:r>
        <w:rPr>
          <w:rFonts w:ascii="Courier New" w:cs="Courier New" w:eastAsia="Courier New" w:hAnsi="Courier New"/>
          <w:sz w:val="14"/>
          <w:szCs w:val="14"/>
          <w:color w:val="auto"/>
        </w:rPr>
        <w:t>Future sublease rental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Contingent rentals are based on factors other than the passage of time, principally sales volumes at leased service stations. Certain leases include escalation clauses for adjusting rentals to reflect changes in price indices, renewal options ranging from one to 25 years, and/or options to purchase the leased property during or at the end of the initial lease period for the fair market value at that time.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INVESTMENTS AND ADVANCES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Chevron owns 50 percent each of P.T. Caltex Pacific Indonesia, an exploration and production company operating in Indonesia; Caltex Corporation, which, through its subsidiaries and affiliates, conducts refining and marketing activities in Asia, Africa, the Middle East, Australia and New Zealand; and American Overseas Petroleum Limited, which, through its subsidiary, manages certain of the company's operations in Indonesia. These companies and their subsidiaries and affiliates are collectively called the Caltex Group.</w:t>
      </w:r>
    </w:p>
    <w:p>
      <w:pPr>
        <w:spacing w:after="0" w:line="16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Tengizchevroil (TCO) is a joint venture formed in 1993 to develop the Tengiz and Korolev oil fields in Kazakhstan over a 40-year period. Chevron's ownership was reduced from 50 percent to 45 percent in April 1997 through a sale of a portion of its interest. The company has an obligation of $420, payable to the Republic of Kazakhstan upon the attainment of a dedicated export system with the capability of the greater of 260,000 barrels of oil per day or TCO's production capacity. This amount was included in the value of the investment, as the company believed at the time, and continues to believe, that its payment is beyond a reasonable doubt given the original intent and continuing commitment</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14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Note 12. INVESTMENTS AND ADVANCES - Continued</w:t>
      </w:r>
    </w:p>
    <w:p>
      <w:pPr>
        <w:spacing w:after="0" w:line="8"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of both parties to realizing the full potential of the venture over its 40-year life.</w:t>
      </w:r>
    </w:p>
    <w:p>
      <w:pPr>
        <w:spacing w:after="0" w:line="160"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Chevron owns 28 percent of Dynegy Inc., a gatherer, processor, transporter and marketer of energy products in North America and the United Kingdom. These products include natural gas, natural gas liquids, crude oil and electricity. The market value of Chevron's shares of Dynegy common stock at December 31, 1999, was $1,133 based on quoted closing market prices. In February 2000, Dynegy completed a merger with Illinova Corporation, an energy services holding company in Illinois. Chevron increased its investment by $200 to maintain a 28 percent ownership in the merged company.</w:t>
      </w:r>
    </w:p>
    <w:p>
      <w:pPr>
        <w:spacing w:after="0" w:line="164"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 received dividends and distributions of $268, $254 and $335 in 1999, 1998 and 1997, respectively, including $212, $167 and $207 from the Caltex Group. During 1998, Dynegy repaid a $155 loan from Chevron, which is reflected as a decrease in the company's investment in the affiliate.</w:t>
      </w:r>
    </w:p>
    <w:p>
      <w:pPr>
        <w:spacing w:after="0" w:line="163"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company's transactions with affiliated companies are summarized in the table that follows. These are primarily for the purchase of Indonesian crude oil from CPI, the sale of crude oil and products to Caltex Corporation's refining and marketing companies, the sale of natural gas to Dynegy, and the purchase of natural gas and natural gas liquids from Dynegy.</w:t>
      </w:r>
    </w:p>
    <w:p>
      <w:pPr>
        <w:spacing w:after="0" w:line="162"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"Accounts and notes receivable" in the Consolidated Balance Sheet include $277 and $156 at December 31, 1999 and 1998, respectively, of amounts due from affiliated companies. "Accounts payable" include $53 and $41 at December 31, 1999 and 1998, respectively, of amounts due to affiliated companies.</w:t>
      </w:r>
    </w:p>
    <w:p>
      <w:pPr>
        <w:spacing w:after="0" w:line="200" w:lineRule="exact"/>
        <w:rPr>
          <w:sz w:val="20"/>
          <w:szCs w:val="20"/>
          <w:color w:val="auto"/>
        </w:rPr>
      </w:pPr>
    </w:p>
    <w:p>
      <w:pPr>
        <w:spacing w:after="0" w:line="297"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3920"/>
        <w:spacing w:after="0"/>
        <w:tabs>
          <w:tab w:leader="none" w:pos="4680" w:val="left"/>
          <w:tab w:leader="none" w:pos="54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Sales to</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Caltex Group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687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772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$1,335</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Sales to</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Dynegy Inc.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1,822</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Fuel &amp; Marine Marketing LLC*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other affiliates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ind w:left="180" w:hanging="171"/>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sales to affiliates  ....   $2,340   $2,105   $3,165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Purchases from</w:t>
            </w:r>
          </w:p>
        </w:tc>
        <w:tc>
          <w:tcPr>
            <w:tcW w:w="2360" w:type="dxa"/>
            <w:vAlign w:val="bottom"/>
          </w:tcPr>
          <w:p>
            <w:pPr>
              <w:ind w:left="60"/>
              <w:spacing w:after="0"/>
              <w:rPr>
                <w:sz w:val="20"/>
                <w:szCs w:val="20"/>
                <w:color w:val="auto"/>
              </w:rPr>
            </w:pPr>
            <w:r>
              <w:rPr>
                <w:rFonts w:ascii="Courier New" w:cs="Courier New" w:eastAsia="Courier New" w:hAnsi="Courier New"/>
                <w:sz w:val="14"/>
                <w:szCs w:val="14"/>
                <w:color w:val="auto"/>
              </w:rPr>
              <w:t>Caltex Group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867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681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932</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2360" w:type="dxa"/>
            <w:vAlign w:val="bottom"/>
          </w:tcPr>
          <w:p>
            <w:pPr>
              <w:ind w:left="60"/>
              <w:spacing w:after="0"/>
              <w:rPr>
                <w:sz w:val="20"/>
                <w:szCs w:val="20"/>
                <w:color w:val="auto"/>
              </w:rPr>
            </w:pPr>
            <w:r>
              <w:rPr>
                <w:rFonts w:ascii="Courier New" w:cs="Courier New" w:eastAsia="Courier New" w:hAnsi="Courier New"/>
                <w:sz w:val="14"/>
                <w:szCs w:val="14"/>
                <w:color w:val="auto"/>
              </w:rPr>
              <w:t>Dynegy Inc.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854</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2360" w:type="dxa"/>
            <w:vAlign w:val="bottom"/>
          </w:tcPr>
          <w:p>
            <w:pPr>
              <w:ind w:left="60"/>
              <w:spacing w:after="0"/>
              <w:rPr>
                <w:sz w:val="20"/>
                <w:szCs w:val="20"/>
                <w:color w:val="auto"/>
              </w:rPr>
            </w:pPr>
            <w:r>
              <w:rPr>
                <w:rFonts w:ascii="Courier New" w:cs="Courier New" w:eastAsia="Courier New" w:hAnsi="Courier New"/>
                <w:sz w:val="14"/>
                <w:szCs w:val="14"/>
                <w:color w:val="auto"/>
              </w:rPr>
              <w:t>other affiliates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pacing w:after="0" w:line="4" w:lineRule="exact"/>
        <w:rPr>
          <w:sz w:val="20"/>
          <w:szCs w:val="20"/>
          <w:color w:val="auto"/>
        </w:rPr>
      </w:pPr>
    </w:p>
    <w:p>
      <w:pPr>
        <w:ind w:left="180" w:hanging="171"/>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purchases from affiliates   $1,658   $1,325   $1,802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Affiliate formed in November 1998 owned 31 percent by Chevron.</w:t>
      </w:r>
    </w:p>
    <w:p>
      <w:pPr>
        <w:spacing w:after="0" w:line="200" w:lineRule="exact"/>
        <w:rPr>
          <w:sz w:val="20"/>
          <w:szCs w:val="20"/>
          <w:color w:val="auto"/>
        </w:rPr>
      </w:pPr>
    </w:p>
    <w:p>
      <w:pPr>
        <w:spacing w:after="0" w:line="309"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Equity in earnings, together with investments in and advances to companies accounted for using the equity method, and other investments accounted for at or below cost, are as follows.</w:t>
      </w:r>
    </w:p>
    <w:p>
      <w:pPr>
        <w:spacing w:after="0" w:line="200" w:lineRule="exact"/>
        <w:rPr>
          <w:sz w:val="20"/>
          <w:szCs w:val="20"/>
          <w:color w:val="auto"/>
        </w:rPr>
      </w:pPr>
    </w:p>
    <w:p>
      <w:pPr>
        <w:spacing w:after="0" w:line="296" w:lineRule="exact"/>
        <w:rPr>
          <w:sz w:val="20"/>
          <w:szCs w:val="20"/>
          <w:color w:val="auto"/>
        </w:rPr>
      </w:pPr>
    </w:p>
    <w:p>
      <w:pPr>
        <w:ind w:left="2620"/>
        <w:spacing w:after="0"/>
        <w:tabs>
          <w:tab w:leader="none" w:pos="5540" w:val="left"/>
        </w:tabs>
        <w:rPr>
          <w:sz w:val="20"/>
          <w:szCs w:val="20"/>
          <w:color w:val="auto"/>
        </w:rPr>
      </w:pPr>
      <w:r>
        <w:rPr>
          <w:rFonts w:ascii="Courier New" w:cs="Courier New" w:eastAsia="Courier New" w:hAnsi="Courier New"/>
          <w:sz w:val="14"/>
          <w:szCs w:val="14"/>
          <w:color w:val="auto"/>
        </w:rPr>
        <w:t>Investments and Advances</w:t>
      </w:r>
      <w:r>
        <w:rPr>
          <w:sz w:val="20"/>
          <w:szCs w:val="20"/>
          <w:color w:val="auto"/>
        </w:rPr>
        <w:tab/>
      </w:r>
      <w:r>
        <w:rPr>
          <w:rFonts w:ascii="Courier New" w:cs="Courier New" w:eastAsia="Courier New" w:hAnsi="Courier New"/>
          <w:sz w:val="14"/>
          <w:szCs w:val="14"/>
          <w:color w:val="auto"/>
        </w:rPr>
        <w:t>Equity in Earnings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tabs>
          <w:tab w:leader="none" w:pos="5200" w:val="left"/>
        </w:tabs>
        <w:rPr>
          <w:sz w:val="20"/>
          <w:szCs w:val="20"/>
          <w:color w:val="auto"/>
        </w:rPr>
      </w:pPr>
      <w:r>
        <w:rPr>
          <w:rFonts w:ascii="Courier New" w:cs="Courier New" w:eastAsia="Courier New" w:hAnsi="Courier New"/>
          <w:sz w:val="14"/>
          <w:szCs w:val="14"/>
          <w:color w:val="auto"/>
        </w:rPr>
        <w:t>At December 31</w:t>
      </w:r>
      <w:r>
        <w:rPr>
          <w:sz w:val="20"/>
          <w:szCs w:val="20"/>
          <w:color w:val="auto"/>
        </w:rPr>
        <w:tab/>
      </w: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tabs>
          <w:tab w:leader="none" w:pos="4320" w:val="left"/>
          <w:tab w:leader="none" w:pos="5100" w:val="left"/>
          <w:tab w:leader="none" w:pos="5880" w:val="left"/>
          <w:tab w:leader="none" w:pos="67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Exploration and Production</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Tengizchevroil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$1,722</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177</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169</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Caltex Group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Dynegy Inc.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Other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 Exploration</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and Production</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2,726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r>
    </w:tbl>
    <w:p>
      <w:pPr>
        <w:spacing w:after="0" w:line="4" w:lineRule="exact"/>
        <w:rPr>
          <w:sz w:val="20"/>
          <w:szCs w:val="20"/>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Refining, Marketing and Transportation</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Caltex Group ..........</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1,751</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bl>
    <w:p>
      <w:pPr>
        <w:spacing w:after="0" w:line="4" w:lineRule="exact"/>
        <w:rPr>
          <w:sz w:val="20"/>
          <w:szCs w:val="20"/>
          <w:color w:val="auto"/>
        </w:rPr>
      </w:pPr>
    </w:p>
    <w:p>
      <w:pPr>
        <w:ind w:left="180" w:hanging="171"/>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Refining,</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Marketing and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560" w:type="dxa"/>
            <w:vAlign w:val="bottom"/>
          </w:tcPr>
          <w:p>
            <w:pPr>
              <w:spacing w:after="0"/>
              <w:rPr>
                <w:sz w:val="20"/>
                <w:szCs w:val="20"/>
                <w:color w:val="auto"/>
              </w:rPr>
            </w:pPr>
            <w:r>
              <w:rPr>
                <w:rFonts w:ascii="Courier New" w:cs="Courier New" w:eastAsia="Courier New" w:hAnsi="Courier New"/>
                <w:sz w:val="14"/>
                <w:szCs w:val="14"/>
                <w:color w:val="auto"/>
              </w:rPr>
              <w:t>Transportation</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Chemicals ...............</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All Other ...............</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Equity Method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$4,964</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$4,390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526</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688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at or Below Cost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 Investments and</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Advances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$5,231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$4,604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954" w:right="1440" w:bottom="0" w:gutter="0" w:footer="0" w:header="0"/>
        </w:sectPr>
      </w:pPr>
    </w:p>
    <w:bookmarkStart w:id="21" w:name="page22"/>
    <w:bookmarkEnd w:id="21"/>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Reclassified to conform to the 1998 presentation.</w:t>
      </w:r>
    </w:p>
    <w:p>
      <w:pPr>
        <w:spacing w:after="0" w:line="200" w:lineRule="exact"/>
        <w:rPr>
          <w:sz w:val="20"/>
          <w:szCs w:val="20"/>
          <w:color w:val="auto"/>
        </w:rPr>
      </w:pPr>
    </w:p>
    <w:p>
      <w:pPr>
        <w:spacing w:after="0" w:line="309" w:lineRule="exact"/>
        <w:rPr>
          <w:sz w:val="20"/>
          <w:szCs w:val="20"/>
          <w:color w:val="auto"/>
        </w:rPr>
      </w:pPr>
    </w:p>
    <w:p>
      <w:pPr>
        <w:jc w:val="both"/>
        <w:ind w:right="4240"/>
        <w:spacing w:after="0" w:line="255" w:lineRule="auto"/>
        <w:rPr>
          <w:sz w:val="20"/>
          <w:szCs w:val="20"/>
          <w:color w:val="auto"/>
        </w:rPr>
      </w:pPr>
      <w:r>
        <w:rPr>
          <w:rFonts w:ascii="Courier New" w:cs="Courier New" w:eastAsia="Courier New" w:hAnsi="Courier New"/>
          <w:sz w:val="14"/>
          <w:szCs w:val="14"/>
          <w:color w:val="auto"/>
        </w:rPr>
        <w:t>The following tables summarize the combined financial information for the Caltex Group and all of the other equity-method companies, together with Chevron's share. Amounts shown for the affiliates are 100 percent.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40"/>
        <w:spacing w:after="0"/>
        <w:tabs>
          <w:tab w:leader="none" w:pos="6580" w:val="left"/>
          <w:tab w:leader="none" w:pos="9280" w:val="left"/>
        </w:tabs>
        <w:rPr>
          <w:sz w:val="20"/>
          <w:szCs w:val="20"/>
          <w:color w:val="auto"/>
        </w:rPr>
      </w:pPr>
      <w:r>
        <w:rPr>
          <w:rFonts w:ascii="Courier New" w:cs="Courier New" w:eastAsia="Courier New" w:hAnsi="Courier New"/>
          <w:sz w:val="14"/>
          <w:szCs w:val="14"/>
          <w:color w:val="auto"/>
        </w:rPr>
        <w:t>Caltex Group</w:t>
      </w:r>
      <w:r>
        <w:rPr>
          <w:sz w:val="20"/>
          <w:szCs w:val="20"/>
          <w:color w:val="auto"/>
        </w:rPr>
        <w:tab/>
      </w:r>
      <w:r>
        <w:rPr>
          <w:rFonts w:ascii="Courier New" w:cs="Courier New" w:eastAsia="Courier New" w:hAnsi="Courier New"/>
          <w:sz w:val="14"/>
          <w:szCs w:val="14"/>
          <w:color w:val="auto"/>
        </w:rPr>
        <w:t>Other Affiliates</w:t>
      </w:r>
      <w:r>
        <w:rPr>
          <w:sz w:val="20"/>
          <w:szCs w:val="20"/>
          <w:color w:val="auto"/>
        </w:rPr>
        <w:tab/>
      </w:r>
      <w:r>
        <w:rPr>
          <w:rFonts w:ascii="Courier New" w:cs="Courier New" w:eastAsia="Courier New" w:hAnsi="Courier New"/>
          <w:sz w:val="14"/>
          <w:szCs w:val="14"/>
          <w:color w:val="auto"/>
        </w:rPr>
        <w:t>Chevron's Share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280" w:val="left"/>
          <w:tab w:leader="none" w:pos="4160" w:val="left"/>
          <w:tab w:leader="none" w:pos="5020" w:val="left"/>
          <w:tab w:leader="none" w:pos="5880" w:val="left"/>
          <w:tab w:leader="none" w:pos="6760" w:val="left"/>
          <w:tab w:leader="none" w:pos="7620" w:val="left"/>
          <w:tab w:leader="none" w:pos="8500" w:val="left"/>
          <w:tab w:leader="none" w:pos="9360" w:val="left"/>
          <w:tab w:leader="none" w:pos="10220" w:val="left"/>
        </w:tabs>
        <w:rPr>
          <w:sz w:val="20"/>
          <w:szCs w:val="20"/>
          <w:color w:val="auto"/>
        </w:rPr>
      </w:pPr>
      <w:r>
        <w:rPr>
          <w:rFonts w:ascii="Courier New" w:cs="Courier New" w:eastAsia="Courier New" w:hAnsi="Courier New"/>
          <w:sz w:val="14"/>
          <w:szCs w:val="14"/>
          <w:color w:val="auto"/>
        </w:rPr>
        <w:t>Year ended December 31</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$14,915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$11,506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$15,699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$20,645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$16,842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$16,574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$13,660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$12,717</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costs and other deductions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14,134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10,986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14,489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19,805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16,430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15,770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12,863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10,672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11,789</w:t>
            </w:r>
          </w:p>
        </w:tc>
      </w:tr>
      <w:tr>
        <w:trPr>
          <w:trHeight w:val="167"/>
        </w:trPr>
        <w:tc>
          <w:tcPr>
            <w:tcW w:w="2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Net income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600"/>
        <w:spacing w:after="0" w:line="252" w:lineRule="auto"/>
        <w:rPr>
          <w:sz w:val="20"/>
          <w:szCs w:val="20"/>
          <w:color w:val="auto"/>
        </w:rPr>
      </w:pPr>
      <w:r>
        <w:rPr>
          <w:rFonts w:ascii="Courier New" w:cs="Courier New" w:eastAsia="Courier New" w:hAnsi="Courier New"/>
          <w:sz w:val="14"/>
          <w:szCs w:val="14"/>
          <w:color w:val="auto"/>
        </w:rPr>
        <w:t>Caltex Group              Other Affiliates               Chevron's Share ---------------------------------------------------------------------------------------- At December 31 .................      1999      1998      1997      1999      1998      1997      1999      1998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2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assets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$ 4,928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$ 1,974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$ 2,521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$ 4,640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$ 3,326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$ 3,232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$ 3,962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$ 2,015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$ 2,289</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assets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5,381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7,683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7,193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10,255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8,868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6,713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5,971</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2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liabilities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3,395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2,232</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liabilities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8,362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7,147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5,448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1,740</w:t>
            </w:r>
          </w:p>
        </w:tc>
      </w:tr>
      <w:tr>
        <w:trPr>
          <w:trHeight w:val="167"/>
        </w:trPr>
        <w:tc>
          <w:tcPr>
            <w:tcW w:w="2920" w:type="dxa"/>
            <w:vAlign w:val="bottom"/>
            <w:gridSpan w:val="3"/>
          </w:tcPr>
          <w:p>
            <w:pPr>
              <w:spacing w:after="0"/>
              <w:rPr>
                <w:sz w:val="20"/>
                <w:szCs w:val="20"/>
                <w:color w:val="auto"/>
              </w:rPr>
            </w:pPr>
            <w:r>
              <w:rPr>
                <w:rFonts w:ascii="Courier New" w:cs="Courier New" w:eastAsia="Courier New" w:hAnsi="Courier New"/>
                <w:sz w:val="14"/>
                <w:szCs w:val="14"/>
                <w:color w:val="auto"/>
              </w:rPr>
              <w:t>Net equity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4,276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4,397</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4,592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4,964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right="4240"/>
        <w:spacing w:after="0" w:line="254" w:lineRule="auto"/>
        <w:rPr>
          <w:sz w:val="20"/>
          <w:szCs w:val="20"/>
          <w:color w:val="auto"/>
        </w:rPr>
      </w:pPr>
      <w:r>
        <w:rPr>
          <w:rFonts w:ascii="Courier New" w:cs="Courier New" w:eastAsia="Courier New" w:hAnsi="Courier New"/>
          <w:sz w:val="14"/>
          <w:szCs w:val="14"/>
          <w:color w:val="auto"/>
        </w:rPr>
        <w:t>*Caltex "Total revenues" and "Total costs and other deductions" have been reclassified to net certain offsetting trading sale and purchase contracts. The reclassifications conform to the 1999 presentation and have no impact on net income.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PROPERTIES, PLANT AND EQUIPMENT</w:t>
      </w:r>
    </w:p>
    <w:p>
      <w:pPr>
        <w:spacing w:after="0" w:line="200" w:lineRule="exact"/>
        <w:rPr>
          <w:sz w:val="20"/>
          <w:szCs w:val="20"/>
          <w:color w:val="auto"/>
        </w:rPr>
      </w:pPr>
    </w:p>
    <w:p>
      <w:pPr>
        <w:spacing w:after="0" w:line="309" w:lineRule="exact"/>
        <w:rPr>
          <w:sz w:val="20"/>
          <w:szCs w:val="20"/>
          <w:color w:val="auto"/>
        </w:rPr>
      </w:pPr>
    </w:p>
    <w:tbl>
      <w:tblPr>
        <w:tblLayout w:type="fixed"/>
        <w:tblInd w:w="23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At December 31</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Gross Investment at Cost</w:t>
            </w:r>
          </w:p>
        </w:tc>
        <w:tc>
          <w:tcPr>
            <w:tcW w:w="900" w:type="dxa"/>
            <w:vAlign w:val="bottom"/>
          </w:tcPr>
          <w:p>
            <w:pPr>
              <w:spacing w:after="0"/>
              <w:rPr>
                <w:sz w:val="14"/>
                <w:szCs w:val="14"/>
                <w:color w:val="auto"/>
              </w:rPr>
            </w:pPr>
          </w:p>
        </w:tc>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Net Investment</w:t>
            </w:r>
          </w:p>
        </w:tc>
        <w:tc>
          <w:tcPr>
            <w:tcW w:w="2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Additions at Cost(1)</w:t>
            </w:r>
          </w:p>
        </w:tc>
        <w:tc>
          <w:tcPr>
            <w:tcW w:w="1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Depreciation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Expense</w:t>
            </w:r>
          </w:p>
        </w:tc>
      </w:tr>
      <w:tr>
        <w:trPr>
          <w:trHeight w:val="167"/>
        </w:trPr>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6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620" w:type="dxa"/>
            <w:vAlign w:val="bottom"/>
          </w:tcPr>
          <w:p>
            <w:pPr>
              <w:spacing w:after="0"/>
              <w:rPr>
                <w:sz w:val="14"/>
                <w:szCs w:val="14"/>
                <w:color w:val="auto"/>
              </w:rPr>
            </w:pPr>
          </w:p>
        </w:tc>
        <w:tc>
          <w:tcPr>
            <w:tcW w:w="21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00" w:type="dxa"/>
            <w:vAlign w:val="bottom"/>
          </w:tcPr>
          <w:p>
            <w:pPr>
              <w:jc w:val="right"/>
              <w:ind w:right="275"/>
              <w:spacing w:after="0"/>
              <w:rPr>
                <w:sz w:val="20"/>
                <w:szCs w:val="20"/>
                <w:color w:val="auto"/>
              </w:rPr>
            </w:pPr>
            <w:r>
              <w:rPr>
                <w:rFonts w:ascii="Courier New" w:cs="Courier New" w:eastAsia="Courier New" w:hAnsi="Courier New"/>
                <w:sz w:val="14"/>
                <w:szCs w:val="14"/>
                <w:color w:val="auto"/>
              </w:rPr>
              <w:t>1999</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Courier New" w:cs="Courier New" w:eastAsia="Courier New" w:hAnsi="Courier New"/>
                <w:sz w:val="14"/>
                <w:szCs w:val="14"/>
                <w:color w:val="auto"/>
              </w:rPr>
              <w:t>Exploration and Production</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$17,947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$18,372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$18,104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$5,052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$ 887</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15,876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11,752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9,465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6,691</w:t>
            </w:r>
          </w:p>
        </w:tc>
        <w:tc>
          <w:tcPr>
            <w:tcW w:w="1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3,251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r>
    </w:tbl>
    <w:p>
      <w:pPr>
        <w:spacing w:after="0" w:line="4" w:lineRule="exact"/>
        <w:rPr>
          <w:sz w:val="20"/>
          <w:szCs w:val="20"/>
          <w:color w:val="auto"/>
        </w:rPr>
      </w:pPr>
    </w:p>
    <w:p>
      <w:pPr>
        <w:ind w:left="180" w:hanging="171"/>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Exploration</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and Production</w:t>
            </w: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33,823  31,127   29,856   14,174  12,385  11,743   3,961</w:t>
            </w:r>
          </w:p>
        </w:tc>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rPr>
              <w:t>2,221   2,476   1,981   1,548   1,521</w:t>
            </w:r>
          </w:p>
        </w:tc>
      </w:tr>
    </w:tbl>
    <w:p>
      <w:pPr>
        <w:spacing w:after="0" w:line="4" w:lineRule="exact"/>
        <w:rPr>
          <w:sz w:val="20"/>
          <w:szCs w:val="20"/>
          <w:color w:val="auto"/>
        </w:rPr>
      </w:pPr>
    </w:p>
    <w:p>
      <w:pPr>
        <w:ind w:left="180" w:hanging="171"/>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jc w:val="right"/>
        <w:ind w:left="100" w:right="9540" w:hanging="8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Refining, Marketing and Transportation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12,025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11,793</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11,378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6,196</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6,186</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515</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665</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538</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1,030</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bl>
    <w:p>
      <w:pPr>
        <w:spacing w:after="0" w:line="4" w:lineRule="exact"/>
        <w:rPr>
          <w:sz w:val="20"/>
          <w:szCs w:val="20"/>
          <w:color w:val="auto"/>
        </w:rPr>
      </w:pPr>
    </w:p>
    <w:p>
      <w:pPr>
        <w:ind w:left="180" w:hanging="171"/>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Refining, Marketing</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and Transportation</w:t>
            </w:r>
          </w:p>
        </w:tc>
        <w:tc>
          <w:tcPr>
            <w:tcW w:w="2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13,863  13,798   13,441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7,226</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7,407   7,396</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715</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r>
    </w:tbl>
    <w:p>
      <w:pPr>
        <w:spacing w:after="0" w:line="4" w:lineRule="exact"/>
        <w:rPr>
          <w:sz w:val="20"/>
          <w:szCs w:val="20"/>
          <w:color w:val="auto"/>
        </w:rPr>
      </w:pPr>
    </w:p>
    <w:p>
      <w:pPr>
        <w:ind w:left="180" w:hanging="171"/>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Chemicals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3,689</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3,436</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1,931</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385</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 Chemicals</w:t>
            </w:r>
          </w:p>
        </w:tc>
        <w:tc>
          <w:tcPr>
            <w:tcW w:w="2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4,403   4,098</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2,807</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2,625   2,240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501</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All Other(2)</w:t>
            </w:r>
          </w:p>
        </w:tc>
        <w:tc>
          <w:tcPr>
            <w:tcW w:w="2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2,123   2,314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1,312   1,292</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202</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Total United States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35,783</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35,915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14,369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15,028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14,461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w:t>
            </w:r>
          </w:p>
        </w:tc>
      </w:tr>
      <w:tr>
        <w:trPr>
          <w:trHeight w:val="167"/>
        </w:trPr>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Total International</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18,429</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15,422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10,948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8,701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8,210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757</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$54,212</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$51,337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$49,233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$25,317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$23,729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$22,671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hanging="351"/>
        <w:spacing w:after="0"/>
        <w:tabs>
          <w:tab w:leader="none" w:pos="3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dry hole expense related to prior years' expenditures of $126, $40 and $31 in 1999, 1998 and 1997, respectively.</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coal and real estate assets and management information systems.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TAXES</w:t>
      </w:r>
    </w:p>
    <w:p>
      <w:pPr>
        <w:spacing w:after="0" w:line="200" w:lineRule="exact"/>
        <w:rPr>
          <w:sz w:val="20"/>
          <w:szCs w:val="20"/>
          <w:color w:val="auto"/>
        </w:rPr>
      </w:pPr>
    </w:p>
    <w:p>
      <w:pPr>
        <w:spacing w:after="0" w:line="309"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40"/>
        <w:spacing w:after="0"/>
        <w:tabs>
          <w:tab w:leader="none" w:pos="5200" w:val="left"/>
          <w:tab w:leader="none" w:pos="59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 other than on income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United States</w:t>
      </w:r>
    </w:p>
    <w:p>
      <w:pPr>
        <w:sectPr>
          <w:pgSz w:w="11900" w:h="16855" w:orient="portrait"/>
          <w:cols w:equalWidth="0" w:num="1">
            <w:col w:w="11200"/>
          </w:cols>
          <w:pgMar w:left="300" w:top="141" w:right="399" w:bottom="0" w:gutter="0" w:footer="0" w:header="0"/>
        </w:sectPr>
      </w:pPr>
    </w:p>
    <w:bookmarkStart w:id="22" w:name="page23"/>
    <w:bookmarkEnd w:id="22"/>
    <w:tbl>
      <w:tblPr>
        <w:tblLayout w:type="fixed"/>
        <w:tblInd w:w="15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Excise taxes</w:t>
            </w: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on products</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merchandise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$3,386</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miscellaneous taxes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7"/>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Payroll taxes</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Taxes on</w:t>
            </w:r>
          </w:p>
        </w:tc>
        <w:tc>
          <w:tcPr>
            <w:tcW w:w="18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production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360"/>
        <w:spacing w:after="0"/>
        <w:tabs>
          <w:tab w:leader="none" w:pos="4320" w:val="left"/>
          <w:tab w:leader="none" w:pos="5100" w:val="left"/>
          <w:tab w:leader="none" w:pos="5880" w:val="left"/>
        </w:tabs>
        <w:rPr>
          <w:sz w:val="20"/>
          <w:szCs w:val="20"/>
          <w:color w:val="auto"/>
        </w:rPr>
      </w:pPr>
      <w:r>
        <w:rPr>
          <w:rFonts w:ascii="Courier New" w:cs="Courier New" w:eastAsia="Courier New" w:hAnsi="Courier New"/>
          <w:sz w:val="14"/>
          <w:szCs w:val="14"/>
          <w:color w:val="auto"/>
        </w:rPr>
        <w:t>Total United States</w:t>
      </w:r>
      <w:r>
        <w:rPr>
          <w:sz w:val="20"/>
          <w:szCs w:val="20"/>
          <w:color w:val="auto"/>
        </w:rPr>
        <w:tab/>
      </w:r>
      <w:r>
        <w:rPr>
          <w:rFonts w:ascii="Courier New" w:cs="Courier New" w:eastAsia="Courier New" w:hAnsi="Courier New"/>
          <w:sz w:val="14"/>
          <w:szCs w:val="14"/>
          <w:color w:val="auto"/>
        </w:rPr>
        <w:t>4,189</w:t>
      </w:r>
      <w:r>
        <w:rPr>
          <w:sz w:val="20"/>
          <w:szCs w:val="20"/>
          <w:color w:val="auto"/>
        </w:rPr>
        <w:tab/>
      </w:r>
      <w:r>
        <w:rPr>
          <w:rFonts w:ascii="Courier New" w:cs="Courier New" w:eastAsia="Courier New" w:hAnsi="Courier New"/>
          <w:sz w:val="14"/>
          <w:szCs w:val="14"/>
          <w:color w:val="auto"/>
        </w:rPr>
        <w:t>3,988</w:t>
      </w:r>
      <w:r>
        <w:rPr>
          <w:sz w:val="20"/>
          <w:szCs w:val="20"/>
          <w:color w:val="auto"/>
        </w:rPr>
        <w:tab/>
      </w:r>
      <w:r>
        <w:rPr>
          <w:rFonts w:ascii="Courier New" w:cs="Courier New" w:eastAsia="Courier New" w:hAnsi="Courier New"/>
          <w:sz w:val="14"/>
          <w:szCs w:val="14"/>
          <w:color w:val="auto"/>
        </w:rPr>
        <w:t>3,901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50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Excise taxes</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on products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5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merchandise ...</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2,201</w:t>
            </w:r>
          </w:p>
        </w:tc>
      </w:tr>
      <w:tr>
        <w:trPr>
          <w:trHeight w:val="167"/>
        </w:trPr>
        <w:tc>
          <w:tcPr>
            <w:tcW w:w="1500" w:type="dxa"/>
            <w:vAlign w:val="bottom"/>
          </w:tcPr>
          <w:p>
            <w:pPr>
              <w:ind w:left="780"/>
              <w:spacing w:after="0"/>
              <w:rPr>
                <w:sz w:val="20"/>
                <w:szCs w:val="20"/>
                <w:color w:val="auto"/>
              </w:rPr>
            </w:pPr>
            <w:r>
              <w:rPr>
                <w:rFonts w:ascii="Courier New" w:cs="Courier New" w:eastAsia="Courier New" w:hAnsi="Courier New"/>
                <w:sz w:val="14"/>
                <w:szCs w:val="14"/>
                <w:color w:val="auto"/>
              </w:rPr>
              <w:t>Property</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56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9"/>
              </w:rPr>
              <w:t>other</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500" w:type="dxa"/>
            <w:vAlign w:val="bottom"/>
          </w:tcPr>
          <w:p>
            <w:pPr>
              <w:spacing w:after="0"/>
              <w:rPr>
                <w:sz w:val="14"/>
                <w:szCs w:val="14"/>
                <w:color w:val="auto"/>
              </w:rPr>
            </w:pPr>
          </w:p>
        </w:tc>
        <w:tc>
          <w:tcPr>
            <w:tcW w:w="1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miscellaneous taxes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7"/>
        </w:trPr>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Payroll taxes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1500" w:type="dxa"/>
            <w:vAlign w:val="bottom"/>
          </w:tcPr>
          <w:p>
            <w:pPr>
              <w:ind w:left="780"/>
              <w:spacing w:after="0"/>
              <w:rPr>
                <w:sz w:val="20"/>
                <w:szCs w:val="20"/>
                <w:color w:val="auto"/>
              </w:rPr>
            </w:pPr>
            <w:r>
              <w:rPr>
                <w:rFonts w:ascii="Courier New" w:cs="Courier New" w:eastAsia="Courier New" w:hAnsi="Courier New"/>
                <w:sz w:val="14"/>
                <w:szCs w:val="14"/>
                <w:color w:val="auto"/>
              </w:rPr>
              <w:t>Taxes on</w:t>
            </w:r>
          </w:p>
        </w:tc>
        <w:tc>
          <w:tcPr>
            <w:tcW w:w="1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production ........</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360"/>
        <w:spacing w:after="0"/>
        <w:tabs>
          <w:tab w:leader="none" w:pos="4500" w:val="left"/>
          <w:tab w:leader="none" w:pos="5280" w:val="left"/>
          <w:tab w:leader="none" w:pos="5880" w:val="left"/>
        </w:tabs>
        <w:rPr>
          <w:sz w:val="20"/>
          <w:szCs w:val="20"/>
          <w:color w:val="auto"/>
        </w:rPr>
      </w:pPr>
      <w:r>
        <w:rPr>
          <w:rFonts w:ascii="Courier New" w:cs="Courier New" w:eastAsia="Courier New" w:hAnsi="Courier New"/>
          <w:sz w:val="14"/>
          <w:szCs w:val="14"/>
          <w:color w:val="auto"/>
        </w:rPr>
        <w:t>Total International</w:t>
      </w:r>
      <w:r>
        <w:rPr>
          <w:sz w:val="20"/>
          <w:szCs w:val="20"/>
          <w:color w:val="auto"/>
        </w:rPr>
        <w:tab/>
      </w:r>
      <w:r>
        <w:rPr>
          <w:rFonts w:ascii="Courier New" w:cs="Courier New" w:eastAsia="Courier New" w:hAnsi="Courier New"/>
          <w:sz w:val="14"/>
          <w:szCs w:val="14"/>
          <w:color w:val="auto"/>
        </w:rPr>
        <w:t>397</w:t>
      </w:r>
      <w:r>
        <w:rPr>
          <w:sz w:val="20"/>
          <w:szCs w:val="20"/>
          <w:color w:val="auto"/>
        </w:rPr>
        <w:tab/>
      </w:r>
      <w:r>
        <w:rPr>
          <w:rFonts w:ascii="Courier New" w:cs="Courier New" w:eastAsia="Courier New" w:hAnsi="Courier New"/>
          <w:sz w:val="14"/>
          <w:szCs w:val="14"/>
          <w:color w:val="auto"/>
        </w:rPr>
        <w:t>423</w:t>
      </w:r>
      <w:r>
        <w:rPr>
          <w:sz w:val="20"/>
          <w:szCs w:val="20"/>
          <w:color w:val="auto"/>
        </w:rPr>
        <w:tab/>
      </w:r>
      <w:r>
        <w:rPr>
          <w:rFonts w:ascii="Courier New" w:cs="Courier New" w:eastAsia="Courier New" w:hAnsi="Courier New"/>
          <w:sz w:val="14"/>
          <w:szCs w:val="14"/>
          <w:color w:val="auto"/>
        </w:rPr>
        <w:t>2,419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4240" w:val="left"/>
          <w:tab w:leader="none" w:pos="5020" w:val="left"/>
          <w:tab w:leader="none" w:pos="5800" w:val="left"/>
        </w:tabs>
        <w:rPr>
          <w:sz w:val="20"/>
          <w:szCs w:val="20"/>
          <w:color w:val="auto"/>
        </w:rPr>
      </w:pPr>
      <w:r>
        <w:rPr>
          <w:rFonts w:ascii="Courier New" w:cs="Courier New" w:eastAsia="Courier New" w:hAnsi="Courier New"/>
          <w:sz w:val="14"/>
          <w:szCs w:val="14"/>
          <w:color w:val="auto"/>
        </w:rPr>
        <w:t>Total taxes other than on income .............</w:t>
        <w:tab/>
        <w:t>$4,586</w:t>
        <w:tab/>
        <w:t>$4,411</w:t>
        <w:tab/>
        <w:t>$6,320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U.S. federal income tax expense was reduced by $89, $84 and $93 in 1999, 1998 and 1997, respectively, for low-income housing and other business tax credits.</w:t>
      </w:r>
    </w:p>
    <w:p>
      <w:pPr>
        <w:spacing w:after="0" w:line="160"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In 1999, before-tax income, including related corporate and other charges, for U.S. operations was $1,254, compared with $728 in 1998 and $2,054 in 1997. For international operations, before-tax income was $2,394, $1,106 and $3,448 in 1999, 1998 and 1997, respectively.</w:t>
      </w:r>
    </w:p>
    <w:p>
      <w:pPr>
        <w:spacing w:after="0" w:line="163"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The deferred income tax provisions included costs of $788, $470 and $304 related to properties, plant and equipment in 1999, 1998 and 1997, respectively.</w:t>
      </w:r>
    </w:p>
    <w:p>
      <w:pPr>
        <w:spacing w:after="0" w:line="200" w:lineRule="exact"/>
        <w:rPr>
          <w:sz w:val="20"/>
          <w:szCs w:val="20"/>
          <w:color w:val="auto"/>
        </w:rPr>
      </w:pPr>
    </w:p>
    <w:p>
      <w:pPr>
        <w:spacing w:after="0" w:line="293"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00"/>
        <w:spacing w:after="0"/>
        <w:tabs>
          <w:tab w:leader="none" w:pos="5620" w:val="left"/>
          <w:tab w:leader="none" w:pos="65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jc w:val="right"/>
              <w:ind w:right="2908"/>
              <w:spacing w:after="0"/>
              <w:rPr>
                <w:sz w:val="20"/>
                <w:szCs w:val="20"/>
                <w:color w:val="auto"/>
              </w:rPr>
            </w:pPr>
            <w:r>
              <w:rPr>
                <w:rFonts w:ascii="Courier New" w:cs="Courier New" w:eastAsia="Courier New" w:hAnsi="Courier New"/>
                <w:sz w:val="14"/>
                <w:szCs w:val="14"/>
                <w:color w:val="auto"/>
              </w:rPr>
              <w:t>Taxes on income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30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U.S. federal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135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(176)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369</w:t>
            </w:r>
          </w:p>
        </w:tc>
      </w:tr>
      <w:tr>
        <w:trPr>
          <w:trHeight w:val="167"/>
        </w:trPr>
        <w:tc>
          <w:tcPr>
            <w:tcW w:w="4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r>
      <w:tr>
        <w:trPr>
          <w:trHeight w:val="167"/>
        </w:trPr>
        <w:tc>
          <w:tcPr>
            <w:tcW w:w="4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State and local .......................</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236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United States .</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807</w:t>
            </w:r>
          </w:p>
        </w:tc>
      </w:tr>
    </w:tbl>
    <w:p>
      <w:pPr>
        <w:spacing w:after="0" w:line="4" w:lineRule="exact"/>
        <w:rPr>
          <w:sz w:val="20"/>
          <w:szCs w:val="20"/>
          <w:color w:val="auto"/>
        </w:rPr>
      </w:pPr>
    </w:p>
    <w:p>
      <w:pPr>
        <w:ind w:left="180" w:hanging="171"/>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w:t>
      </w: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Current ......................</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1,174</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Deferred .....................</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360"/>
        <w:spacing w:after="0"/>
        <w:tabs>
          <w:tab w:leader="none" w:pos="4580" w:val="left"/>
          <w:tab w:leader="none" w:pos="5720" w:val="left"/>
          <w:tab w:leader="none" w:pos="6500" w:val="left"/>
        </w:tabs>
        <w:rPr>
          <w:sz w:val="20"/>
          <w:szCs w:val="20"/>
          <w:color w:val="auto"/>
        </w:rPr>
      </w:pPr>
      <w:r>
        <w:rPr>
          <w:rFonts w:ascii="Courier New" w:cs="Courier New" w:eastAsia="Courier New" w:hAnsi="Courier New"/>
          <w:sz w:val="14"/>
          <w:szCs w:val="14"/>
          <w:color w:val="auto"/>
        </w:rPr>
        <w:t>Total International .</w:t>
      </w:r>
      <w:r>
        <w:rPr>
          <w:sz w:val="20"/>
          <w:szCs w:val="20"/>
          <w:color w:val="auto"/>
        </w:rPr>
        <w:tab/>
      </w:r>
      <w:r>
        <w:rPr>
          <w:rFonts w:ascii="Courier New" w:cs="Courier New" w:eastAsia="Courier New" w:hAnsi="Courier New"/>
          <w:sz w:val="14"/>
          <w:szCs w:val="14"/>
          <w:color w:val="auto"/>
        </w:rPr>
        <w:t>1,312</w:t>
      </w:r>
      <w:r>
        <w:rPr>
          <w:sz w:val="20"/>
          <w:szCs w:val="20"/>
          <w:color w:val="auto"/>
        </w:rPr>
        <w:tab/>
      </w:r>
      <w:r>
        <w:rPr>
          <w:rFonts w:ascii="Courier New" w:cs="Courier New" w:eastAsia="Courier New" w:hAnsi="Courier New"/>
          <w:sz w:val="14"/>
          <w:szCs w:val="14"/>
          <w:color w:val="auto"/>
        </w:rPr>
        <w:t>580</w:t>
      </w:r>
      <w:r>
        <w:rPr>
          <w:sz w:val="20"/>
          <w:szCs w:val="20"/>
          <w:color w:val="auto"/>
        </w:rPr>
        <w:tab/>
      </w:r>
      <w:r>
        <w:rPr>
          <w:rFonts w:ascii="Courier New" w:cs="Courier New" w:eastAsia="Courier New" w:hAnsi="Courier New"/>
          <w:sz w:val="14"/>
          <w:szCs w:val="14"/>
          <w:color w:val="auto"/>
        </w:rPr>
        <w:t>1,439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360"/>
        <w:spacing w:after="0"/>
        <w:tabs>
          <w:tab w:leader="none" w:pos="4420" w:val="left"/>
          <w:tab w:leader="none" w:pos="5360" w:val="left"/>
          <w:tab w:leader="none" w:pos="5720" w:val="left"/>
          <w:tab w:leader="none" w:pos="6320" w:val="left"/>
        </w:tabs>
        <w:rPr>
          <w:sz w:val="20"/>
          <w:szCs w:val="20"/>
          <w:color w:val="auto"/>
        </w:rPr>
      </w:pPr>
      <w:r>
        <w:rPr>
          <w:rFonts w:ascii="Courier New" w:cs="Courier New" w:eastAsia="Courier New" w:hAnsi="Courier New"/>
          <w:sz w:val="14"/>
          <w:szCs w:val="14"/>
          <w:color w:val="auto"/>
        </w:rPr>
        <w:t>Total taxes on income</w:t>
        <w:tab/>
        <w:t>$ 1,578</w:t>
      </w:r>
      <w:r>
        <w:rPr>
          <w:sz w:val="20"/>
          <w:szCs w:val="20"/>
          <w:color w:val="auto"/>
        </w:rPr>
        <w:tab/>
      </w:r>
      <w:r>
        <w:rPr>
          <w:rFonts w:ascii="Courier New" w:cs="Courier New" w:eastAsia="Courier New" w:hAnsi="Courier New"/>
          <w:sz w:val="14"/>
          <w:szCs w:val="14"/>
          <w:color w:val="auto"/>
        </w:rPr>
        <w:t>$</w:t>
        <w:tab/>
        <w:t>495</w:t>
      </w:r>
      <w:r>
        <w:rPr>
          <w:sz w:val="20"/>
          <w:szCs w:val="20"/>
          <w:color w:val="auto"/>
        </w:rPr>
        <w:tab/>
      </w:r>
      <w:r>
        <w:rPr>
          <w:rFonts w:ascii="Courier New" w:cs="Courier New" w:eastAsia="Courier New" w:hAnsi="Courier New"/>
          <w:sz w:val="14"/>
          <w:szCs w:val="14"/>
          <w:color w:val="auto"/>
        </w:rPr>
        <w:t>$ 2,246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The company's effective income tax rate varied from the U.S. statutory federal income tax rate because of the following.</w:t>
      </w:r>
    </w:p>
    <w:p>
      <w:pPr>
        <w:spacing w:after="0" w:line="200" w:lineRule="exact"/>
        <w:rPr>
          <w:sz w:val="20"/>
          <w:szCs w:val="20"/>
          <w:color w:val="auto"/>
        </w:rPr>
      </w:pPr>
    </w:p>
    <w:p>
      <w:pPr>
        <w:spacing w:after="0" w:line="293"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860"/>
        <w:spacing w:after="0"/>
        <w:tabs>
          <w:tab w:leader="none" w:pos="5800" w:val="left"/>
          <w:tab w:leader="none" w:pos="67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Statutory U.S. federal income tax rate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Effect of income taxes from international</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operations in excess of taxes at the</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U.S. statutory rate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State and local taxes on income, net</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of U.S. federal income tax benefit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Prior-year tax adjustments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Tax credits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Consolidated companies ........</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45.8</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27.3</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42.2</w:t>
            </w:r>
          </w:p>
        </w:tc>
      </w:tr>
      <w:tr>
        <w:trPr>
          <w:trHeight w:val="167"/>
        </w:trPr>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Effect of recording</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equity in income</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000" w:type="dxa"/>
            <w:vAlign w:val="bottom"/>
          </w:tcPr>
          <w:p>
            <w:pPr>
              <w:ind w:left="800"/>
              <w:spacing w:after="0"/>
              <w:rPr>
                <w:sz w:val="20"/>
                <w:szCs w:val="20"/>
                <w:color w:val="auto"/>
              </w:rPr>
            </w:pPr>
            <w:r>
              <w:rPr>
                <w:rFonts w:ascii="Courier New" w:cs="Courier New" w:eastAsia="Courier New" w:hAnsi="Courier New"/>
                <w:sz w:val="14"/>
                <w:szCs w:val="14"/>
                <w:color w:val="auto"/>
              </w:rPr>
              <w:t>of</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certain</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affiliated companies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000" w:type="dxa"/>
            <w:vAlign w:val="bottom"/>
          </w:tcPr>
          <w:p>
            <w:pPr>
              <w:ind w:left="800"/>
              <w:spacing w:after="0"/>
              <w:rPr>
                <w:sz w:val="20"/>
                <w:szCs w:val="20"/>
                <w:color w:val="auto"/>
              </w:rPr>
            </w:pPr>
            <w:r>
              <w:rPr>
                <w:rFonts w:ascii="Courier New" w:cs="Courier New" w:eastAsia="Courier New" w:hAnsi="Courier New"/>
                <w:sz w:val="14"/>
                <w:szCs w:val="14"/>
                <w:color w:val="auto"/>
              </w:rPr>
              <w:t>on</w:t>
            </w:r>
          </w:p>
        </w:tc>
        <w:tc>
          <w:tcPr>
            <w:tcW w:w="3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an after-tax basis ..................</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(2.5)</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(0.3)</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Effective tax rate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141" w:right="1440" w:bottom="1132" w:gutter="0" w:footer="0" w:header="0"/>
        </w:sectPr>
      </w:pP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159"/>
          </w:cols>
          <w:pgMar w:left="300" w:top="141" w:right="1440" w:bottom="1132" w:gutter="0" w:footer="0" w:header="0"/>
          <w:type w:val="continuous"/>
        </w:sectPr>
      </w:pPr>
    </w:p>
    <w:bookmarkStart w:id="23" w:name="page24"/>
    <w:bookmarkEnd w:id="2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TAXES - Continued</w:t>
      </w:r>
    </w:p>
    <w:p>
      <w:pPr>
        <w:spacing w:after="0" w:line="17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increase in the 1999 effective tax rate from the prior year is primarily due to increased foreign taxes on higher foreign earnings in 1999 compared with 1998. Additional increases in the effective tax rate in 1999 were from tax credits as a smaller proportion of before-tax income in 1999 than 1998 and from less beneficial prior-period tax adjustments on the 1998 tax return compared with the 1997 tax return. The other effects on the 1999 effective tax rate include settlement of outstanding issues, utilization of additional capital loss benefits and permanent differences. These factors were slightly offset by the effect of lower taxable income received from equity affiliates in 1999.</w:t>
      </w:r>
    </w:p>
    <w:p>
      <w:pPr>
        <w:spacing w:after="0" w:line="164"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The company records its deferred taxes on a tax-jurisdiction basis and classifies those net amounts as current or noncurrent based on the balance sheet classification of the related assets or liabilities.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At  December  31,  1999  and  1998,</w:t>
            </w:r>
          </w:p>
        </w:tc>
        <w:tc>
          <w:tcPr>
            <w:tcW w:w="36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deferred  taxes  were  classified  in  the</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Consolidated Balance Sheet as follows.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834"/>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2"/>
          </w:tcPr>
          <w:p>
            <w:pPr>
              <w:jc w:val="right"/>
              <w:ind w:right="1508"/>
              <w:spacing w:after="0"/>
              <w:rPr>
                <w:sz w:val="20"/>
                <w:szCs w:val="20"/>
                <w:color w:val="auto"/>
              </w:rPr>
            </w:pPr>
            <w:r>
              <w:rPr>
                <w:rFonts w:ascii="Courier New" w:cs="Courier New" w:eastAsia="Courier New" w:hAnsi="Courier New"/>
                <w:sz w:val="14"/>
                <w:szCs w:val="14"/>
                <w:color w:val="auto"/>
              </w:rPr>
              <w:t>At December 31</w:t>
            </w:r>
          </w:p>
        </w:tc>
      </w:tr>
      <w:tr>
        <w:trPr>
          <w:trHeight w:val="167"/>
        </w:trPr>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gridSpan w:val="2"/>
          </w:tcPr>
          <w:p>
            <w:pPr>
              <w:jc w:val="right"/>
              <w:ind w:right="15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21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334"/>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(546)</w:t>
            </w:r>
          </w:p>
        </w:tc>
        <w:tc>
          <w:tcPr>
            <w:tcW w:w="218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   (30)</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Deferred charges and other assets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218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(264)</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Federal and other taxes on income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21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Noncurrent deferred income taxes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5,010</w:t>
            </w:r>
          </w:p>
        </w:tc>
        <w:tc>
          <w:tcPr>
            <w:tcW w:w="21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3,645</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6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Total deferred income taxes, net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$ 4,270</w:t>
            </w:r>
          </w:p>
        </w:tc>
        <w:tc>
          <w:tcPr>
            <w:tcW w:w="2180" w:type="dxa"/>
            <w:vAlign w:val="bottom"/>
          </w:tcPr>
          <w:p>
            <w:pPr>
              <w:jc w:val="right"/>
              <w:ind w:right="1508"/>
              <w:spacing w:after="0"/>
              <w:rPr>
                <w:sz w:val="20"/>
                <w:szCs w:val="20"/>
                <w:color w:val="auto"/>
              </w:rPr>
            </w:pPr>
            <w:r>
              <w:rPr>
                <w:rFonts w:ascii="Courier New" w:cs="Courier New" w:eastAsia="Courier New" w:hAnsi="Courier New"/>
                <w:sz w:val="14"/>
                <w:szCs w:val="14"/>
                <w:color w:val="auto"/>
                <w:w w:val="98"/>
              </w:rPr>
              <w:t>$ 3,351</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501"/>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The reported  deferred tax balances are composed of the</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following  deferred tax</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liabilities (assets).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834"/>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2"/>
          </w:tcPr>
          <w:p>
            <w:pPr>
              <w:jc w:val="right"/>
              <w:ind w:right="1068"/>
              <w:spacing w:after="0"/>
              <w:rPr>
                <w:sz w:val="20"/>
                <w:szCs w:val="20"/>
                <w:color w:val="auto"/>
              </w:rPr>
            </w:pPr>
            <w:r>
              <w:rPr>
                <w:rFonts w:ascii="Courier New" w:cs="Courier New" w:eastAsia="Courier New" w:hAnsi="Courier New"/>
                <w:sz w:val="14"/>
                <w:szCs w:val="14"/>
                <w:color w:val="auto"/>
              </w:rPr>
              <w:t>At December 31</w:t>
            </w:r>
          </w:p>
        </w:tc>
      </w:tr>
      <w:tr>
        <w:trPr>
          <w:trHeight w:val="167"/>
        </w:trPr>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gridSpan w:val="2"/>
          </w:tcPr>
          <w:p>
            <w:pPr>
              <w:jc w:val="right"/>
              <w:ind w:right="106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334"/>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Properties, plant and equipment .......</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$ 5,800</w:t>
            </w: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$ 5,150</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Inventory .............................</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w:t>
            </w: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 .........................</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w:t>
            </w: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6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Total deferred tax liabilities</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6,139</w:t>
            </w: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5,478</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Abandonment/environmental reserves ....</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21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(774)</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Employee benefits .....................</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21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(592)</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AMT/other tax credits .................</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w:t>
            </w:r>
          </w:p>
        </w:tc>
        <w:tc>
          <w:tcPr>
            <w:tcW w:w="21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(354)</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Other accrued liabilities .............</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w:t>
            </w:r>
          </w:p>
        </w:tc>
        <w:tc>
          <w:tcPr>
            <w:tcW w:w="21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(408)</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 .........................</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(316)</w:t>
            </w:r>
          </w:p>
        </w:tc>
        <w:tc>
          <w:tcPr>
            <w:tcW w:w="21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(294)</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6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Total deferred tax assets ....</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(2,321)</w:t>
            </w:r>
          </w:p>
        </w:tc>
        <w:tc>
          <w:tcPr>
            <w:tcW w:w="21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(2,422)</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assets valuation allowance</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452</w:t>
            </w: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295</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6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Total deferred taxes, net ....</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$ 4,270</w:t>
            </w: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$ 3,351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It is the company's policy for subsidiaries included in the U.S. consolidated tax return to record income tax expense as though they filed separately, with the parent recording the adjustment to income tax expense for the effects of consolidation.</w:t>
      </w:r>
    </w:p>
    <w:p>
      <w:pPr>
        <w:spacing w:after="0" w:line="163"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Undistributed earnings of international consolidated subsidiaries and affiliates for which no deferred income tax provision has been made for possible future remittances totaled approximately $4,602 at December 31, 1999. Substantially all of this amount represents earnings reinvested as part of the company's ongoing business. It is not practical to estimate the amount of taxes that might be payable on the eventual remittance of such earnings. On remittance, certain countries impose withholding taxes that, subject to certain limitations, are then available for use as tax credits against a U.S. tax liability, if any. The company estimates withholding taxes of approximately $187 would be payable upon remittance of these earnings.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SHORT-TERM DEBT</w:t>
      </w:r>
    </w:p>
    <w:p>
      <w:pPr>
        <w:spacing w:after="0" w:line="8" w:lineRule="exact"/>
        <w:rPr>
          <w:sz w:val="20"/>
          <w:szCs w:val="20"/>
          <w:color w:val="auto"/>
        </w:rPr>
      </w:pPr>
    </w:p>
    <w:p>
      <w:pPr>
        <w:jc w:val="both"/>
        <w:ind w:right="3199"/>
        <w:spacing w:after="0" w:line="256" w:lineRule="auto"/>
        <w:rPr>
          <w:sz w:val="20"/>
          <w:szCs w:val="20"/>
          <w:color w:val="auto"/>
        </w:rPr>
      </w:pPr>
      <w:r>
        <w:rPr>
          <w:rFonts w:ascii="Courier New" w:cs="Courier New" w:eastAsia="Courier New" w:hAnsi="Courier New"/>
          <w:sz w:val="14"/>
          <w:szCs w:val="14"/>
          <w:color w:val="auto"/>
        </w:rPr>
        <w:t>Redeemable long-term obligations consist primarily of tax-exempt variable-rate put bonds that are included as current liabilities because they become redeemable at the option of the bondholders during the year following the balance sheet date.</w:t>
      </w:r>
    </w:p>
    <w:p>
      <w:pPr>
        <w:spacing w:after="0" w:line="327"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 has entered into interest rate swaps on a portion of its short-term debt. At December 31, 1999 and 1998, the company had swapped notional amounts of $350 and $700 of floating rate debt to fixed rates. The effect of these swaps on the company's interest expense was not material.</w:t>
      </w:r>
    </w:p>
    <w:p>
      <w:pPr>
        <w:sectPr>
          <w:pgSz w:w="11900" w:h="16845" w:orient="portrait"/>
          <w:cols w:equalWidth="0" w:num="1">
            <w:col w:w="10159"/>
          </w:cols>
          <w:pgMar w:left="300" w:top="954" w:right="1440" w:bottom="0" w:gutter="0" w:footer="0" w:header="0"/>
        </w:sectPr>
      </w:pPr>
    </w:p>
    <w:bookmarkStart w:id="24" w:name="page25"/>
    <w:bookmarkEnd w:id="24"/>
    <w:p>
      <w:pPr>
        <w:jc w:val="right"/>
        <w:ind w:right="3719"/>
        <w:spacing w:after="0"/>
        <w:rPr>
          <w:sz w:val="20"/>
          <w:szCs w:val="20"/>
          <w:color w:val="auto"/>
        </w:rPr>
      </w:pPr>
      <w:r>
        <w:rPr>
          <w:rFonts w:ascii="Courier New" w:cs="Courier New" w:eastAsia="Courier New" w:hAnsi="Courier New"/>
          <w:sz w:val="14"/>
          <w:szCs w:val="14"/>
          <w:color w:val="auto"/>
        </w:rPr>
        <w:t>At December 31</w:t>
      </w:r>
    </w:p>
    <w:p>
      <w:pPr>
        <w:spacing w:after="0" w:line="8"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4520"/>
        <w:spacing w:after="0"/>
        <w:tabs>
          <w:tab w:leader="none" w:pos="60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Commercial paper(1)</w:t>
            </w:r>
          </w:p>
        </w:tc>
        <w:tc>
          <w:tcPr>
            <w:tcW w:w="2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$ 5,265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$ 4,875</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Current maturities</w:t>
            </w:r>
          </w:p>
        </w:tc>
        <w:tc>
          <w:tcPr>
            <w:tcW w:w="2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long-term debt .........</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Current maturities</w:t>
            </w:r>
          </w:p>
        </w:tc>
        <w:tc>
          <w:tcPr>
            <w:tcW w:w="2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long-term capital leases</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Redeemable long-term obligations</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660" w:type="dxa"/>
            <w:vAlign w:val="bottom"/>
          </w:tcPr>
          <w:p>
            <w:pPr>
              <w:ind w:left="800"/>
              <w:spacing w:after="0"/>
              <w:rPr>
                <w:sz w:val="20"/>
                <w:szCs w:val="20"/>
                <w:color w:val="auto"/>
              </w:rPr>
            </w:pPr>
            <w:r>
              <w:rPr>
                <w:rFonts w:ascii="Courier New" w:cs="Courier New" w:eastAsia="Courier New" w:hAnsi="Courier New"/>
                <w:sz w:val="14"/>
                <w:szCs w:val="14"/>
                <w:color w:val="auto"/>
              </w:rPr>
              <w:t>Long-term</w:t>
            </w:r>
          </w:p>
        </w:tc>
        <w:tc>
          <w:tcPr>
            <w:tcW w:w="2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debt ......................</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r>
      <w:tr>
        <w:trPr>
          <w:trHeight w:val="167"/>
        </w:trPr>
        <w:tc>
          <w:tcPr>
            <w:tcW w:w="4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Capital leases ......................</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67"/>
        </w:trPr>
        <w:tc>
          <w:tcPr>
            <w:tcW w:w="4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Notes payable(2)..............................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4000" w:type="dxa"/>
            <w:vAlign w:val="bottom"/>
          </w:tcPr>
          <w:p>
            <w:pPr>
              <w:ind w:left="660"/>
              <w:spacing w:after="0"/>
              <w:rPr>
                <w:sz w:val="20"/>
                <w:szCs w:val="20"/>
                <w:color w:val="auto"/>
              </w:rPr>
            </w:pPr>
            <w:r>
              <w:rPr>
                <w:rFonts w:ascii="Courier New" w:cs="Courier New" w:eastAsia="Courier New" w:hAnsi="Courier New"/>
                <w:sz w:val="14"/>
                <w:szCs w:val="14"/>
                <w:color w:val="auto"/>
              </w:rPr>
              <w:t>Subtotal(3)..........................</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6,159</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5,890</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Reclassified to long-term debt ...............</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(2,725)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4000" w:type="dxa"/>
            <w:vAlign w:val="bottom"/>
          </w:tcPr>
          <w:p>
            <w:pPr>
              <w:ind w:left="660"/>
              <w:spacing w:after="0"/>
              <w:rPr>
                <w:sz w:val="20"/>
                <w:szCs w:val="20"/>
                <w:color w:val="auto"/>
              </w:rPr>
            </w:pPr>
            <w:r>
              <w:rPr>
                <w:rFonts w:ascii="Courier New" w:cs="Courier New" w:eastAsia="Courier New" w:hAnsi="Courier New"/>
                <w:sz w:val="14"/>
                <w:szCs w:val="14"/>
                <w:color w:val="auto"/>
              </w:rPr>
              <w:t>Total short-term debt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$ 3,434</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$ 3,165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199" w:firstLine="9"/>
        <w:spacing w:after="0" w:line="252" w:lineRule="auto"/>
        <w:tabs>
          <w:tab w:leader="none" w:pos="3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 interest rates at December 31, 1999 and 1998, were 6.0 percent and 5.6 percent, respectively, including the effect of interest rate swaps.</w:t>
      </w:r>
    </w:p>
    <w:p>
      <w:pPr>
        <w:spacing w:after="0" w:line="1"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 guarantee of ESOP debt.</w:t>
      </w:r>
    </w:p>
    <w:p>
      <w:pPr>
        <w:spacing w:after="0" w:line="8" w:lineRule="exact"/>
        <w:rPr>
          <w:rFonts w:ascii="Courier New" w:cs="Courier New" w:eastAsia="Courier New" w:hAnsi="Courier New"/>
          <w:sz w:val="14"/>
          <w:szCs w:val="14"/>
          <w:color w:val="auto"/>
        </w:rPr>
      </w:pPr>
    </w:p>
    <w:p>
      <w:pPr>
        <w:ind w:right="3299" w:firstLine="9"/>
        <w:spacing w:after="0" w:line="258" w:lineRule="auto"/>
        <w:tabs>
          <w:tab w:leader="none" w:pos="3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 interest rates at December 31, 1999 and 1998, were 5.8 percent for both years, including the effect of interest rate swaps.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 16.</w:t>
            </w:r>
          </w:p>
        </w:tc>
        <w:tc>
          <w:tcPr>
            <w:tcW w:w="29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LONG-TERM DEBT</w:t>
            </w:r>
          </w:p>
        </w:tc>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Chevron has</w:t>
            </w:r>
          </w:p>
        </w:tc>
        <w:tc>
          <w:tcPr>
            <w:tcW w:w="2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three "shelf" registrations on</w:t>
            </w:r>
          </w:p>
        </w:tc>
        <w:tc>
          <w:tcPr>
            <w:tcW w:w="3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file with the Securities and Exchange</w:t>
            </w: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Commission</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that</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together would permit the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issuance</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of $2,800 of debt securities</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Rule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415 of the Securities Act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of 1933.</w:t>
            </w:r>
          </w:p>
        </w:tc>
        <w:tc>
          <w:tcPr>
            <w:tcW w:w="2480" w:type="dxa"/>
            <w:vAlign w:val="bottom"/>
          </w:tcPr>
          <w:p>
            <w:pPr>
              <w:spacing w:after="0"/>
              <w:rPr>
                <w:sz w:val="14"/>
                <w:szCs w:val="14"/>
                <w:color w:val="auto"/>
              </w:rPr>
            </w:pPr>
          </w:p>
        </w:tc>
      </w:tr>
    </w:tbl>
    <w:p>
      <w:pPr>
        <w:spacing w:after="0" w:line="171"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At year-end 1999, the company had $4,750 of committed credit facilities with banks worldwide, $2,725 of which had termination dates beyond one year. The facilities support the company's commercial paper borrowings. Interest on borrowings under the terms of specific agreements may be based on the London Interbank Offered Rate, the Reserve Adjusted Domestic Certificate of Deposit Rate, or bank prime rate. No amounts were outstanding under these credit agreements during the year or at year-end.</w:t>
      </w:r>
    </w:p>
    <w:p>
      <w:pPr>
        <w:spacing w:after="0" w:line="165"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At December 31, 1999 and 1998, the company classified $2,725 of short-term debt as long-term. Settlement of these obligations is not expected to require the use of working capital in 2000 as the company has both the intent and ability to refinance this debt on a long-term basis.</w:t>
      </w:r>
    </w:p>
    <w:p>
      <w:pPr>
        <w:spacing w:after="0" w:line="163" w:lineRule="exact"/>
        <w:rPr>
          <w:sz w:val="20"/>
          <w:szCs w:val="20"/>
          <w:color w:val="auto"/>
        </w:rPr>
      </w:pPr>
    </w:p>
    <w:p>
      <w:pPr>
        <w:jc w:val="both"/>
        <w:ind w:right="3199"/>
        <w:spacing w:after="0" w:line="260" w:lineRule="auto"/>
        <w:rPr>
          <w:sz w:val="20"/>
          <w:szCs w:val="20"/>
          <w:color w:val="auto"/>
        </w:rPr>
      </w:pPr>
      <w:r>
        <w:rPr>
          <w:rFonts w:ascii="Courier New" w:cs="Courier New" w:eastAsia="Courier New" w:hAnsi="Courier New"/>
          <w:sz w:val="14"/>
          <w:szCs w:val="14"/>
          <w:color w:val="auto"/>
        </w:rPr>
        <w:t>Consolidated long-term debt maturing in each of the five years after December 31, 1999, is as follows: 2000-$127, 2001-$285, 2002-$172, 2003-$184 and 2004-$1,134.</w:t>
      </w:r>
    </w:p>
    <w:p>
      <w:pPr>
        <w:spacing w:after="0" w:line="200" w:lineRule="exact"/>
        <w:rPr>
          <w:sz w:val="20"/>
          <w:szCs w:val="20"/>
          <w:color w:val="auto"/>
        </w:rPr>
      </w:pPr>
    </w:p>
    <w:p>
      <w:pPr>
        <w:spacing w:after="0" w:line="29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4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Note 16.LONG-TERM DEBT - Continued</w:t>
      </w:r>
    </w:p>
    <w:p>
      <w:pPr>
        <w:spacing w:after="0" w:line="200" w:lineRule="exact"/>
        <w:rPr>
          <w:sz w:val="20"/>
          <w:szCs w:val="20"/>
          <w:color w:val="auto"/>
        </w:rPr>
      </w:pPr>
    </w:p>
    <w:p>
      <w:pPr>
        <w:spacing w:after="0" w:line="309"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4"/>
          <w:szCs w:val="14"/>
          <w:color w:val="auto"/>
        </w:rPr>
        <w:t>At December 31</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4960"/>
        <w:spacing w:after="0"/>
        <w:tabs>
          <w:tab w:leader="none" w:pos="58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8.11%</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amortizing</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notes due 2004(1)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690</w:t>
            </w:r>
          </w:p>
        </w:tc>
      </w:tr>
      <w:tr>
        <w:trPr>
          <w:trHeight w:val="167"/>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6.625% notes due</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2004 .............................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7.327% amortizing notes due 2014(2)................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7.45%</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due 2004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349</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7.61%</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amortizing</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bank loans due 2003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7"/>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LIBOR-based bank</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loan due 2001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7.677% notes due</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2016(2)...........................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7.627% notes due</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2015(2)...........................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6.92%</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bank loans</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due 2005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6.98%</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bank loans</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due 2004(2).......................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6.22%</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due 2001(2)............................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Other foreign currency obligations (6.0%)(3).......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7"/>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Other long-term debt (6.6%)(3).....................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Total including debt due</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within one year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1,526</w:t>
            </w:r>
          </w:p>
        </w:tc>
      </w:tr>
      <w:tr>
        <w:trPr>
          <w:trHeight w:val="167"/>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Debt due within</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one year ........</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3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Reclassified from short-term debt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Total long-term debt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$ 4,128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hanging="351"/>
        <w:spacing w:after="0"/>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assumed from ESOP in 1999.</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of ESOP debt.</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$50 individually; weighted-average interest rates at December 31, 1999.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 OTHER COMPREHENSIVE INCOME</w:t>
      </w:r>
    </w:p>
    <w:p>
      <w:pPr>
        <w:sectPr>
          <w:pgSz w:w="11900" w:h="16838" w:orient="portrait"/>
          <w:cols w:equalWidth="0" w:num="1">
            <w:col w:w="10159"/>
          </w:cols>
          <w:pgMar w:left="300" w:top="954" w:right="1440" w:bottom="0" w:gutter="0" w:footer="0" w:header="0"/>
        </w:sectPr>
      </w:pPr>
    </w:p>
    <w:p>
      <w:pPr>
        <w:spacing w:after="0" w:line="8" w:lineRule="exact"/>
        <w:rPr>
          <w:sz w:val="20"/>
          <w:szCs w:val="20"/>
          <w:color w:val="auto"/>
        </w:rPr>
      </w:pPr>
    </w:p>
    <w:p>
      <w:pPr>
        <w:spacing w:after="0"/>
        <w:tabs>
          <w:tab w:leader="none" w:pos="420" w:val="left"/>
          <w:tab w:leader="none" w:pos="1460" w:val="left"/>
        </w:tabs>
        <w:rPr>
          <w:sz w:val="20"/>
          <w:szCs w:val="20"/>
          <w:color w:val="auto"/>
        </w:rPr>
      </w:pPr>
      <w:r>
        <w:rPr>
          <w:rFonts w:ascii="Courier New" w:cs="Courier New" w:eastAsia="Courier New" w:hAnsi="Courier New"/>
          <w:sz w:val="14"/>
          <w:szCs w:val="14"/>
          <w:color w:val="auto"/>
        </w:rPr>
        <w:t>The</w:t>
        <w:tab/>
        <w:t>components</w:t>
        <w:tab/>
        <w:t>of changes in other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comprehensive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income and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related tax</w:t>
      </w:r>
    </w:p>
    <w:p>
      <w:pPr>
        <w:spacing w:after="0" w:line="8" w:lineRule="exact"/>
        <w:rPr>
          <w:sz w:val="20"/>
          <w:szCs w:val="20"/>
          <w:color w:val="auto"/>
        </w:rPr>
      </w:pPr>
    </w:p>
    <w:p>
      <w:pPr>
        <w:sectPr>
          <w:pgSz w:w="11900" w:h="16838" w:orient="portrait"/>
          <w:cols w:equalWidth="0" w:num="4">
            <w:col w:w="3140" w:space="160"/>
            <w:col w:w="1140" w:space="160"/>
            <w:col w:w="1220" w:space="180"/>
            <w:col w:w="4159"/>
          </w:cols>
          <w:pgMar w:left="300" w:top="954"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effects are shown below.</w:t>
      </w:r>
    </w:p>
    <w:p>
      <w:pPr>
        <w:spacing w:after="0" w:line="200" w:lineRule="exact"/>
        <w:rPr>
          <w:sz w:val="20"/>
          <w:szCs w:val="20"/>
          <w:color w:val="auto"/>
        </w:rPr>
      </w:pPr>
    </w:p>
    <w:p>
      <w:pPr>
        <w:spacing w:after="0" w:line="309"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tabs>
          <w:tab w:leader="none" w:pos="4940" w:val="left"/>
          <w:tab w:leader="none" w:pos="57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954" w:right="1440"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translation adjustment</w:t>
      </w:r>
    </w:p>
    <w:p>
      <w:pPr>
        <w:spacing w:after="0" w:line="8" w:lineRule="exact"/>
        <w:rPr>
          <w:sz w:val="20"/>
          <w:szCs w:val="20"/>
          <w:color w:val="auto"/>
        </w:rPr>
      </w:pPr>
    </w:p>
    <w:p>
      <w:pPr>
        <w:ind w:left="800"/>
        <w:spacing w:after="0"/>
        <w:tabs>
          <w:tab w:leader="none" w:pos="2420" w:val="left"/>
        </w:tabs>
        <w:rPr>
          <w:sz w:val="20"/>
          <w:szCs w:val="20"/>
          <w:color w:val="auto"/>
        </w:rPr>
      </w:pPr>
      <w:r>
        <w:rPr>
          <w:rFonts w:ascii="Courier New" w:cs="Courier New" w:eastAsia="Courier New" w:hAnsi="Courier New"/>
          <w:sz w:val="14"/>
          <w:szCs w:val="14"/>
          <w:color w:val="auto"/>
        </w:rPr>
        <w:t>Before-tax change</w:t>
        <w:tab/>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Tax benefit (expense) .............</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Change, net of tax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tabs>
          <w:tab w:leader="none" w:pos="760" w:val="left"/>
          <w:tab w:leader="none" w:pos="1020" w:val="left"/>
          <w:tab w:leader="none" w:pos="1540" w:val="left"/>
        </w:tabs>
        <w:rPr>
          <w:sz w:val="20"/>
          <w:szCs w:val="20"/>
          <w:color w:val="auto"/>
        </w:rPr>
      </w:pPr>
      <w:r>
        <w:rPr>
          <w:rFonts w:ascii="Courier New" w:cs="Courier New" w:eastAsia="Courier New" w:hAnsi="Courier New"/>
          <w:sz w:val="14"/>
          <w:szCs w:val="14"/>
          <w:color w:val="auto"/>
        </w:rPr>
        <w:t>$ (43)</w:t>
        <w:tab/>
        <w:t>$</w:t>
        <w:tab/>
        <w:t>(1)</w:t>
        <w:tab/>
        <w:t>$(173)</w:t>
      </w:r>
    </w:p>
    <w:p>
      <w:pPr>
        <w:spacing w:after="0" w:line="8" w:lineRule="exact"/>
        <w:rPr>
          <w:sz w:val="20"/>
          <w:szCs w:val="20"/>
          <w:color w:val="auto"/>
        </w:rPr>
      </w:pPr>
    </w:p>
    <w:p>
      <w:pPr>
        <w:ind w:left="360"/>
        <w:spacing w:after="0"/>
        <w:tabs>
          <w:tab w:leader="none" w:pos="1120" w:val="left"/>
          <w:tab w:leader="none" w:pos="1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tabs>
          <w:tab w:leader="none" w:pos="1020" w:val="left"/>
          <w:tab w:leader="none" w:pos="164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(173)</w:t>
      </w:r>
    </w:p>
    <w:p>
      <w:pPr>
        <w:spacing w:after="0" w:line="175" w:lineRule="exact"/>
        <w:rPr>
          <w:sz w:val="20"/>
          <w:szCs w:val="20"/>
          <w:color w:val="auto"/>
        </w:rPr>
      </w:pPr>
    </w:p>
    <w:p>
      <w:pPr>
        <w:sectPr>
          <w:pgSz w:w="11900" w:h="16838" w:orient="portrait"/>
          <w:cols w:equalWidth="0" w:num="2">
            <w:col w:w="3820" w:space="260"/>
            <w:col w:w="6079"/>
          </w:cols>
          <w:pgMar w:left="300" w:top="954" w:right="1440" w:bottom="0" w:gutter="0" w:footer="0" w:header="0"/>
          <w:type w:val="continuous"/>
        </w:sectPr>
      </w:pPr>
    </w:p>
    <w:p>
      <w:pPr>
        <w:jc w:val="right"/>
        <w:spacing w:after="0"/>
        <w:rPr>
          <w:sz w:val="20"/>
          <w:szCs w:val="20"/>
          <w:color w:val="auto"/>
        </w:rPr>
      </w:pPr>
      <w:r>
        <w:rPr>
          <w:rFonts w:ascii="Courier New" w:cs="Courier New" w:eastAsia="Courier New" w:hAnsi="Courier New"/>
          <w:sz w:val="14"/>
          <w:szCs w:val="14"/>
          <w:color w:val="auto"/>
        </w:rPr>
        <w:t>Unrealized holding gain (loss) on securities</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Before-tax change .................</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Tax benefit (expense) .............</w:t>
      </w:r>
    </w:p>
    <w:p>
      <w:pPr>
        <w:spacing w:after="0" w:line="17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Change, net of tax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tabs>
          <w:tab w:leader="none" w:pos="1120" w:val="left"/>
          <w:tab w:leader="none" w:pos="1800" w:val="left"/>
        </w:tabs>
        <w:rPr>
          <w:sz w:val="20"/>
          <w:szCs w:val="20"/>
          <w:color w:val="auto"/>
        </w:rPr>
      </w:pP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(4)</w:t>
      </w:r>
    </w:p>
    <w:p>
      <w:pPr>
        <w:spacing w:after="0" w:line="8" w:lineRule="exact"/>
        <w:rPr>
          <w:sz w:val="20"/>
          <w:szCs w:val="20"/>
          <w:color w:val="auto"/>
        </w:rPr>
      </w:pPr>
    </w:p>
    <w:p>
      <w:pPr>
        <w:ind w:left="180"/>
        <w:spacing w:after="0"/>
        <w:tabs>
          <w:tab w:leader="none" w:pos="1120" w:val="left"/>
          <w:tab w:leader="none" w:pos="19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tabs>
          <w:tab w:leader="none" w:pos="1120" w:val="left"/>
          <w:tab w:leader="none" w:pos="180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(4)</w:t>
      </w:r>
    </w:p>
    <w:p>
      <w:pPr>
        <w:spacing w:after="0" w:line="175" w:lineRule="exact"/>
        <w:rPr>
          <w:sz w:val="20"/>
          <w:szCs w:val="20"/>
          <w:color w:val="auto"/>
        </w:rPr>
      </w:pPr>
    </w:p>
    <w:p>
      <w:pPr>
        <w:sectPr>
          <w:pgSz w:w="11900" w:h="16838" w:orient="portrait"/>
          <w:cols w:equalWidth="0" w:num="2">
            <w:col w:w="3820" w:space="260"/>
            <w:col w:w="6079"/>
          </w:cols>
          <w:pgMar w:left="300" w:top="954"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Minimum pension liability adjustment</w:t>
      </w:r>
    </w:p>
    <w:p>
      <w:pPr>
        <w:spacing w:after="0" w:line="8" w:lineRule="exact"/>
        <w:rPr>
          <w:sz w:val="20"/>
          <w:szCs w:val="20"/>
          <w:color w:val="auto"/>
        </w:rPr>
      </w:pPr>
    </w:p>
    <w:p>
      <w:pPr>
        <w:ind w:left="800"/>
        <w:spacing w:after="0"/>
        <w:tabs>
          <w:tab w:leader="none" w:pos="4240" w:val="left"/>
          <w:tab w:leader="none" w:pos="5020" w:val="left"/>
          <w:tab w:leader="none" w:pos="5980" w:val="left"/>
        </w:tabs>
        <w:rPr>
          <w:sz w:val="20"/>
          <w:szCs w:val="20"/>
          <w:color w:val="auto"/>
        </w:rPr>
      </w:pPr>
      <w:r>
        <w:rPr>
          <w:rFonts w:ascii="Courier New" w:cs="Courier New" w:eastAsia="Courier New" w:hAnsi="Courier New"/>
          <w:sz w:val="14"/>
          <w:szCs w:val="14"/>
          <w:color w:val="auto"/>
        </w:rPr>
        <w:t>Before-tax change .................</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ind w:left="800"/>
        <w:spacing w:after="0"/>
        <w:tabs>
          <w:tab w:leader="none" w:pos="4420" w:val="left"/>
          <w:tab w:leader="none" w:pos="5200" w:val="left"/>
          <w:tab w:leader="none" w:pos="5880" w:val="left"/>
        </w:tabs>
        <w:rPr>
          <w:sz w:val="20"/>
          <w:szCs w:val="20"/>
          <w:color w:val="auto"/>
        </w:rPr>
      </w:pPr>
      <w:r>
        <w:rPr>
          <w:rFonts w:ascii="Courier New" w:cs="Courier New" w:eastAsia="Courier New" w:hAnsi="Courier New"/>
          <w:sz w:val="14"/>
          <w:szCs w:val="14"/>
          <w:color w:val="auto"/>
        </w:rPr>
        <w:t>Tax benefit (expense) .............</w:t>
      </w:r>
      <w:r>
        <w:rPr>
          <w:sz w:val="20"/>
          <w:szCs w:val="20"/>
          <w:color w:val="auto"/>
        </w:rPr>
        <w:tab/>
      </w: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(2)</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tabs>
          <w:tab w:leader="none" w:pos="4240" w:val="left"/>
          <w:tab w:leader="none" w:pos="5020" w:val="left"/>
          <w:tab w:leader="none" w:pos="5980" w:val="left"/>
        </w:tabs>
        <w:rPr>
          <w:sz w:val="20"/>
          <w:szCs w:val="20"/>
          <w:color w:val="auto"/>
        </w:rPr>
      </w:pPr>
      <w:r>
        <w:rPr>
          <w:rFonts w:ascii="Courier New" w:cs="Courier New" w:eastAsia="Courier New" w:hAnsi="Courier New"/>
          <w:sz w:val="14"/>
          <w:szCs w:val="14"/>
          <w:color w:val="auto"/>
        </w:rPr>
        <w:t>Change, net of tax ................</w:t>
      </w:r>
      <w:r>
        <w:rPr>
          <w:sz w:val="20"/>
          <w:szCs w:val="20"/>
          <w:color w:val="auto"/>
        </w:rPr>
        <w:tab/>
      </w: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3"/>
          <w:szCs w:val="13"/>
          <w:color w:val="auto"/>
        </w:rPr>
        <w:t>4</w:t>
      </w:r>
    </w:p>
    <w:p>
      <w:pPr>
        <w:sectPr>
          <w:pgSz w:w="11900" w:h="16838" w:orient="portrait"/>
          <w:cols w:equalWidth="0" w:num="1">
            <w:col w:w="10159"/>
          </w:cols>
          <w:pgMar w:left="300" w:top="954" w:right="1440" w:bottom="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278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0"/>
              </w:rPr>
              <w:t>Before-tax change   ...............</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(22)</w:t>
            </w:r>
          </w:p>
        </w:tc>
        <w:tc>
          <w:tcPr>
            <w:tcW w:w="14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$(171)</w:t>
            </w:r>
          </w:p>
        </w:tc>
      </w:tr>
      <w:tr>
        <w:trPr>
          <w:trHeight w:val="167"/>
        </w:trPr>
        <w:tc>
          <w:tcPr>
            <w:tcW w:w="700" w:type="dxa"/>
            <w:vAlign w:val="bottom"/>
          </w:tcPr>
          <w:p>
            <w:pPr>
              <w:spacing w:after="0"/>
              <w:rPr>
                <w:sz w:val="14"/>
                <w:szCs w:val="14"/>
                <w:color w:val="auto"/>
              </w:rPr>
            </w:pPr>
          </w:p>
        </w:tc>
        <w:tc>
          <w:tcPr>
            <w:tcW w:w="278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0"/>
              </w:rPr>
              <w:t>Tax benefit (expense) .............</w:t>
            </w:r>
          </w:p>
        </w:tc>
        <w:tc>
          <w:tcPr>
            <w:tcW w:w="7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spacing w:after="0"/>
              <w:rPr>
                <w:sz w:val="14"/>
                <w:szCs w:val="14"/>
                <w:color w:val="auto"/>
              </w:rPr>
            </w:pPr>
          </w:p>
        </w:tc>
        <w:tc>
          <w:tcPr>
            <w:tcW w:w="1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w:t>
            </w:r>
          </w:p>
        </w:tc>
      </w:tr>
      <w:tr>
        <w:trPr>
          <w:trHeight w:val="167"/>
        </w:trPr>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gridSpan w:val="6"/>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278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0"/>
              </w:rPr>
              <w:t>Change, net of tax ................</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(25)</w:t>
            </w:r>
          </w:p>
        </w:tc>
        <w:tc>
          <w:tcPr>
            <w:tcW w:w="1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(13)</w:t>
            </w:r>
          </w:p>
        </w:tc>
        <w:tc>
          <w:tcPr>
            <w:tcW w:w="14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6960" w:type="dxa"/>
            <w:vAlign w:val="bottom"/>
            <w:gridSpan w:val="11"/>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668"/>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 18.</w:t>
            </w:r>
          </w:p>
        </w:tc>
        <w:tc>
          <w:tcPr>
            <w:tcW w:w="25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EMPLOYEE BENEFIT PLANS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4"/>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Pension Plans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7"/>
        </w:trPr>
        <w:tc>
          <w:tcPr>
            <w:tcW w:w="2180" w:type="dxa"/>
            <w:vAlign w:val="bottom"/>
            <w:gridSpan w:val="3"/>
          </w:tcPr>
          <w:p>
            <w:pPr>
              <w:spacing w:after="0"/>
              <w:rPr>
                <w:sz w:val="20"/>
                <w:szCs w:val="20"/>
                <w:color w:val="auto"/>
              </w:rPr>
            </w:pPr>
            <w:r>
              <w:rPr>
                <w:rFonts w:ascii="Courier New" w:cs="Courier New" w:eastAsia="Courier New" w:hAnsi="Courier New"/>
                <w:sz w:val="14"/>
                <w:szCs w:val="14"/>
                <w:color w:val="auto"/>
              </w:rPr>
              <w:t>The company has defined</w:t>
            </w:r>
          </w:p>
        </w:tc>
        <w:tc>
          <w:tcPr>
            <w:tcW w:w="20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benefit  pension plans</w:t>
            </w: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for most</w:t>
            </w:r>
          </w:p>
        </w:tc>
        <w:tc>
          <w:tcPr>
            <w:tcW w:w="1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employees and provides</w:t>
            </w: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for  certain  health</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care and life</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insurance</w:t>
            </w:r>
          </w:p>
        </w:tc>
        <w:tc>
          <w:tcPr>
            <w:tcW w:w="1720" w:type="dxa"/>
            <w:vAlign w:val="bottom"/>
            <w:gridSpan w:val="4"/>
          </w:tcPr>
          <w:p>
            <w:pPr>
              <w:spacing w:after="0"/>
              <w:rPr>
                <w:sz w:val="20"/>
                <w:szCs w:val="20"/>
                <w:color w:val="auto"/>
              </w:rPr>
            </w:pPr>
            <w:r>
              <w:rPr>
                <w:rFonts w:ascii="Courier New" w:cs="Courier New" w:eastAsia="Courier New" w:hAnsi="Courier New"/>
                <w:sz w:val="14"/>
                <w:szCs w:val="14"/>
                <w:color w:val="auto"/>
              </w:rPr>
              <w:t>plans for active and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qualifying</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retired</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employees.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company's</w:t>
            </w:r>
          </w:p>
        </w:tc>
        <w:tc>
          <w:tcPr>
            <w:tcW w:w="2680" w:type="dxa"/>
            <w:vAlign w:val="bottom"/>
            <w:gridSpan w:val="6"/>
          </w:tcPr>
          <w:p>
            <w:pPr>
              <w:spacing w:after="0"/>
              <w:rPr>
                <w:sz w:val="20"/>
                <w:szCs w:val="20"/>
                <w:color w:val="auto"/>
              </w:rPr>
            </w:pPr>
            <w:r>
              <w:rPr>
                <w:rFonts w:ascii="Courier New" w:cs="Courier New" w:eastAsia="Courier New" w:hAnsi="Courier New"/>
                <w:sz w:val="14"/>
                <w:szCs w:val="14"/>
                <w:color w:val="auto"/>
              </w:rPr>
              <w:t>policy is to fund the minimum</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necessary to</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satisfy</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requirements</w:t>
            </w:r>
          </w:p>
        </w:tc>
        <w:tc>
          <w:tcPr>
            <w:tcW w:w="16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of the Employee</w:t>
            </w:r>
          </w:p>
        </w:tc>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Retirement  Income</w:t>
            </w:r>
          </w:p>
        </w:tc>
        <w:tc>
          <w:tcPr>
            <w:tcW w:w="1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Security Act for the</w:t>
            </w:r>
          </w:p>
        </w:tc>
      </w:tr>
      <w:tr>
        <w:trPr>
          <w:trHeight w:val="167"/>
        </w:trPr>
        <w:tc>
          <w:tcPr>
            <w:tcW w:w="2180" w:type="dxa"/>
            <w:vAlign w:val="bottom"/>
            <w:gridSpan w:val="3"/>
          </w:tcPr>
          <w:p>
            <w:pPr>
              <w:spacing w:after="0"/>
              <w:rPr>
                <w:sz w:val="20"/>
                <w:szCs w:val="20"/>
                <w:color w:val="auto"/>
              </w:rPr>
            </w:pPr>
            <w:r>
              <w:rPr>
                <w:rFonts w:ascii="Courier New" w:cs="Courier New" w:eastAsia="Courier New" w:hAnsi="Courier New"/>
                <w:sz w:val="14"/>
                <w:szCs w:val="14"/>
                <w:color w:val="auto"/>
              </w:rPr>
              <w:t>company's  pension plans.</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company's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c>
          <w:tcPr>
            <w:tcW w:w="138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contributions</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medical and</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dental</w:t>
            </w:r>
          </w:p>
        </w:tc>
        <w:tc>
          <w:tcPr>
            <w:tcW w:w="62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benefits are limited to the lesser of actual medical claims or a defined</w:t>
            </w:r>
          </w:p>
        </w:tc>
      </w:tr>
      <w:tr>
        <w:trPr>
          <w:trHeight w:val="167"/>
        </w:trPr>
        <w:tc>
          <w:tcPr>
            <w:tcW w:w="2180" w:type="dxa"/>
            <w:vAlign w:val="bottom"/>
            <w:gridSpan w:val="3"/>
          </w:tcPr>
          <w:p>
            <w:pPr>
              <w:spacing w:after="0"/>
              <w:rPr>
                <w:sz w:val="20"/>
                <w:szCs w:val="20"/>
                <w:color w:val="auto"/>
              </w:rPr>
            </w:pPr>
            <w:r>
              <w:rPr>
                <w:rFonts w:ascii="Courier New" w:cs="Courier New" w:eastAsia="Courier New" w:hAnsi="Courier New"/>
                <w:sz w:val="14"/>
                <w:szCs w:val="14"/>
                <w:color w:val="auto"/>
              </w:rPr>
              <w:t>fixed per-capita amount.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Life insurance</w:t>
            </w:r>
          </w:p>
        </w:tc>
        <w:tc>
          <w:tcPr>
            <w:tcW w:w="3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benefits are paid by the company,  and</w:t>
            </w:r>
          </w:p>
        </w:tc>
      </w:tr>
    </w:tbl>
    <w:p>
      <w:pPr>
        <w:spacing w:after="0" w:line="4"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annual contributions are based on actual plan experience. Nonfunded pension and postretirement benefits are paid directly when incurred; accordingly, these payments are not reflected as changes in Plan assets in the table below.</w:t>
      </w:r>
    </w:p>
    <w:p>
      <w:pPr>
        <w:spacing w:after="0" w:line="162"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The status of the company's pension plans and other postretirement benefit plans for 1999 and 1998 is as follows.</w:t>
      </w:r>
    </w:p>
    <w:p>
      <w:pPr>
        <w:spacing w:after="0" w:line="200" w:lineRule="exact"/>
        <w:rPr>
          <w:sz w:val="20"/>
          <w:szCs w:val="20"/>
          <w:color w:val="auto"/>
        </w:rPr>
      </w:pPr>
    </w:p>
    <w:p>
      <w:pPr>
        <w:spacing w:after="0" w:line="293" w:lineRule="exact"/>
        <w:rPr>
          <w:sz w:val="20"/>
          <w:szCs w:val="20"/>
          <w:color w:val="auto"/>
        </w:rPr>
      </w:pPr>
    </w:p>
    <w:p>
      <w:pPr>
        <w:jc w:val="right"/>
        <w:ind w:right="2259"/>
        <w:spacing w:after="0"/>
        <w:tabs>
          <w:tab w:leader="none" w:pos="1180" w:val="left"/>
        </w:tabs>
        <w:rPr>
          <w:sz w:val="20"/>
          <w:szCs w:val="20"/>
          <w:color w:val="auto"/>
        </w:rPr>
      </w:pPr>
      <w:r>
        <w:rPr>
          <w:rFonts w:ascii="Courier New" w:cs="Courier New" w:eastAsia="Courier New" w:hAnsi="Courier New"/>
          <w:sz w:val="14"/>
          <w:szCs w:val="14"/>
          <w:color w:val="auto"/>
        </w:rPr>
        <w:t>Pension Benefits</w:t>
      </w:r>
      <w:r>
        <w:rPr>
          <w:sz w:val="20"/>
          <w:szCs w:val="20"/>
          <w:color w:val="auto"/>
        </w:rPr>
        <w:tab/>
      </w:r>
      <w:r>
        <w:rPr>
          <w:rFonts w:ascii="Courier New" w:cs="Courier New" w:eastAsia="Courier New" w:hAnsi="Courier New"/>
          <w:sz w:val="14"/>
          <w:szCs w:val="14"/>
          <w:color w:val="auto"/>
        </w:rPr>
        <w:t>Other Benefits</w:t>
      </w:r>
    </w:p>
    <w:p>
      <w:pPr>
        <w:sectPr>
          <w:pgSz w:w="11900" w:h="16838" w:orient="portrait"/>
          <w:cols w:equalWidth="0" w:num="1">
            <w:col w:w="10159"/>
          </w:cols>
          <w:pgMar w:left="300" w:top="954" w:right="1440" w:bottom="0" w:gutter="0" w:footer="0" w:header="0"/>
          <w:type w:val="continuous"/>
        </w:sectPr>
      </w:pPr>
    </w:p>
    <w:bookmarkStart w:id="26" w:name="page27"/>
    <w:bookmarkEnd w:id="26"/>
    <w:p>
      <w:pPr>
        <w:jc w:val="right"/>
        <w:ind w:right="225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4700"/>
        <w:spacing w:after="0"/>
        <w:tabs>
          <w:tab w:leader="none" w:pos="5720" w:val="left"/>
          <w:tab w:leader="none" w:pos="6580" w:val="left"/>
          <w:tab w:leader="none" w:pos="75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Change in benefit obligation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Benefit obligation at January 1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$ 4,278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$ 4,069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$ 1,468</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$ 1,362</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Service cost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Interest cost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Plan participants' contributions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Plan amendments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Actuarial (gain) loss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r>
      <w:tr>
        <w:trPr>
          <w:trHeight w:val="167"/>
        </w:trPr>
        <w:tc>
          <w:tcPr>
            <w:tcW w:w="42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Foreign currency exchange</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rate changes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Benefits paid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7"/>
        </w:trPr>
        <w:tc>
          <w:tcPr>
            <w:tcW w:w="422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Special termination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benefits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37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jc w:val="right"/>
              <w:ind w:right="2568"/>
              <w:spacing w:after="0"/>
              <w:rPr>
                <w:sz w:val="20"/>
                <w:szCs w:val="20"/>
                <w:color w:val="auto"/>
              </w:rPr>
            </w:pPr>
            <w:r>
              <w:rPr>
                <w:rFonts w:ascii="Courier New" w:cs="Courier New" w:eastAsia="Courier New" w:hAnsi="Courier New"/>
                <w:sz w:val="14"/>
                <w:szCs w:val="14"/>
                <w:color w:val="auto"/>
              </w:rPr>
              <w:t>Benefit obligation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at December 31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4,278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1,468</w:t>
            </w:r>
          </w:p>
        </w:tc>
      </w:tr>
    </w:tbl>
    <w:p>
      <w:pPr>
        <w:spacing w:after="0" w:line="4" w:lineRule="exact"/>
        <w:rPr>
          <w:sz w:val="20"/>
          <w:szCs w:val="20"/>
          <w:color w:val="auto"/>
        </w:rPr>
      </w:pPr>
    </w:p>
    <w:p>
      <w:pPr>
        <w:ind w:left="180" w:hanging="171"/>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79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plan assets Fair value of plan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at January 1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4,741</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4,454</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Actual return on plan assets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675</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Foreign currency exchange</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220" w:type="dxa"/>
            <w:vAlign w:val="bottom"/>
          </w:tcPr>
          <w:p>
            <w:pPr>
              <w:ind w:left="1580"/>
              <w:spacing w:after="0"/>
              <w:rPr>
                <w:sz w:val="20"/>
                <w:szCs w:val="20"/>
                <w:color w:val="auto"/>
              </w:rPr>
            </w:pPr>
            <w:r>
              <w:rPr>
                <w:rFonts w:ascii="Courier New" w:cs="Courier New" w:eastAsia="Courier New" w:hAnsi="Courier New"/>
                <w:sz w:val="14"/>
                <w:szCs w:val="14"/>
                <w:color w:val="auto"/>
              </w:rPr>
              <w:t>rate changes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Employer contribution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Plan participants' contribution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Benefits paid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(774)</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36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Fair value of plan assets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at December 31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4,673</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4,741</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Funded status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(1,468)</w:t>
            </w:r>
          </w:p>
        </w:tc>
      </w:tr>
      <w:tr>
        <w:trPr>
          <w:trHeight w:val="167"/>
        </w:trPr>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Unrecognized net actuarial gain .......</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7"/>
        </w:trPr>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Unrecognized prior-service cost .......</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Unrecognized net transitional</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assets .......................</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Total recognized at December 31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311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Amounts recognized in the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Consolidated Balance Sheet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at December 31</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Prepaid benefit cost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Accrued benefit liability ....</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w:t>
            </w:r>
          </w:p>
        </w:tc>
        <w:tc>
          <w:tcPr>
            <w:tcW w:w="34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(1,552)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Intangible asset .............</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Accumulated other</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comprehensive income(1)</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34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w:t>
            </w:r>
          </w:p>
        </w:tc>
        <w:tc>
          <w:tcPr>
            <w:tcW w:w="1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378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Net amount recognized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(1,552)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assumptions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as of December 31</w:t>
            </w: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Discount</w:t>
            </w:r>
          </w:p>
        </w:tc>
        <w:tc>
          <w:tcPr>
            <w:tcW w:w="2180" w:type="dxa"/>
            <w:vAlign w:val="bottom"/>
          </w:tcPr>
          <w:p>
            <w:pPr>
              <w:ind w:left="60"/>
              <w:spacing w:after="0"/>
              <w:rPr>
                <w:sz w:val="20"/>
                <w:szCs w:val="20"/>
                <w:color w:val="auto"/>
              </w:rPr>
            </w:pPr>
            <w:r>
              <w:rPr>
                <w:rFonts w:ascii="Courier New" w:cs="Courier New" w:eastAsia="Courier New" w:hAnsi="Courier New"/>
                <w:sz w:val="14"/>
                <w:szCs w:val="14"/>
                <w:color w:val="auto"/>
              </w:rPr>
              <w:t>rate ................</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7"/>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Expected</w:t>
            </w:r>
          </w:p>
        </w:tc>
        <w:tc>
          <w:tcPr>
            <w:tcW w:w="2180" w:type="dxa"/>
            <w:vAlign w:val="bottom"/>
          </w:tcPr>
          <w:p>
            <w:pPr>
              <w:ind w:left="60"/>
              <w:spacing w:after="0"/>
              <w:rPr>
                <w:sz w:val="20"/>
                <w:szCs w:val="20"/>
                <w:color w:val="auto"/>
              </w:rPr>
            </w:pPr>
            <w:r>
              <w:rPr>
                <w:rFonts w:ascii="Courier New" w:cs="Courier New" w:eastAsia="Courier New" w:hAnsi="Courier New"/>
                <w:sz w:val="14"/>
                <w:szCs w:val="14"/>
                <w:color w:val="auto"/>
              </w:rPr>
              <w:t>return on plan assets</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gridSpan w:val="2"/>
          </w:tcPr>
          <w:p>
            <w:pPr>
              <w:ind w:left="1580"/>
              <w:spacing w:after="0"/>
              <w:rPr>
                <w:sz w:val="20"/>
                <w:szCs w:val="20"/>
                <w:color w:val="auto"/>
              </w:rPr>
            </w:pPr>
            <w:r>
              <w:rPr>
                <w:rFonts w:ascii="Courier New" w:cs="Courier New" w:eastAsia="Courier New" w:hAnsi="Courier New"/>
                <w:sz w:val="14"/>
                <w:szCs w:val="14"/>
                <w:color w:val="auto"/>
              </w:rPr>
              <w:t>Rate of compensation increase</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199" w:firstLine="9"/>
        <w:spacing w:after="0" w:line="258" w:lineRule="auto"/>
        <w:tabs>
          <w:tab w:leader="none" w:pos="34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Accumulated other comprehensive income includes deferred income tax of $31 and $26 in 1999 and 1998,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141" w:right="1440" w:bottom="1440" w:gutter="0" w:footer="0" w:header="0"/>
        </w:sectPr>
      </w:pPr>
    </w:p>
    <w:bookmarkStart w:id="27" w:name="page28"/>
    <w:bookmarkEnd w:id="27"/>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 EMPLOYEE BENEFIT PLANS - Continued</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For measurement purposes, separate health care cost-trend rates were used for pre-age 65 and post-age 65 retirees. The 2000 annual rates of change were assumed to be 5.2 percent and 9.7 percent, respectively, before gradually converging to the average ultimate rate of 5.0 percent in 2021 for both pre-age 65 and post-age 65. A one-percentage-point change in the assumed health care rates would have had the following effects.</w:t>
      </w:r>
    </w:p>
    <w:p>
      <w:pPr>
        <w:spacing w:after="0" w:line="165" w:lineRule="exact"/>
        <w:rPr>
          <w:sz w:val="20"/>
          <w:szCs w:val="20"/>
          <w:color w:val="auto"/>
        </w:rPr>
      </w:pPr>
    </w:p>
    <w:p>
      <w:pPr>
        <w:ind w:left="3400"/>
        <w:spacing w:after="0"/>
        <w:tabs>
          <w:tab w:leader="none" w:pos="4840" w:val="left"/>
        </w:tabs>
        <w:rPr>
          <w:sz w:val="20"/>
          <w:szCs w:val="20"/>
          <w:color w:val="auto"/>
        </w:rPr>
      </w:pPr>
      <w:r>
        <w:rPr>
          <w:rFonts w:ascii="Courier New" w:cs="Courier New" w:eastAsia="Courier New" w:hAnsi="Courier New"/>
          <w:sz w:val="14"/>
          <w:szCs w:val="14"/>
          <w:color w:val="auto"/>
        </w:rPr>
        <w:t>One-Percentage-</w:t>
        <w:tab/>
        <w:t>One-Percentage-</w:t>
      </w:r>
    </w:p>
    <w:p>
      <w:pPr>
        <w:spacing w:after="0" w:line="8" w:lineRule="exact"/>
        <w:rPr>
          <w:sz w:val="20"/>
          <w:szCs w:val="20"/>
          <w:color w:val="auto"/>
        </w:rPr>
      </w:pPr>
    </w:p>
    <w:p>
      <w:pPr>
        <w:ind w:left="3400"/>
        <w:spacing w:after="0"/>
        <w:tabs>
          <w:tab w:leader="none" w:pos="4840" w:val="left"/>
        </w:tabs>
        <w:rPr>
          <w:sz w:val="20"/>
          <w:szCs w:val="20"/>
          <w:color w:val="auto"/>
        </w:rPr>
      </w:pPr>
      <w:r>
        <w:rPr>
          <w:rFonts w:ascii="Courier New" w:cs="Courier New" w:eastAsia="Courier New" w:hAnsi="Courier New"/>
          <w:sz w:val="14"/>
          <w:szCs w:val="14"/>
          <w:color w:val="auto"/>
        </w:rPr>
        <w:t>Point Increase</w:t>
        <w:tab/>
        <w:t>Point Decrease</w:t>
      </w:r>
    </w:p>
    <w:p>
      <w:pPr>
        <w:spacing w:after="0" w:line="8" w:lineRule="exact"/>
        <w:rPr>
          <w:sz w:val="20"/>
          <w:szCs w:val="20"/>
          <w:color w:val="auto"/>
        </w:rPr>
      </w:pPr>
    </w:p>
    <w:p>
      <w:pPr>
        <w:ind w:left="180" w:hanging="171"/>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on total service and interest</w:t>
      </w:r>
    </w:p>
    <w:p>
      <w:pPr>
        <w:spacing w:after="0" w:line="8" w:lineRule="exact"/>
        <w:rPr>
          <w:sz w:val="20"/>
          <w:szCs w:val="20"/>
          <w:color w:val="auto"/>
        </w:rPr>
      </w:pPr>
    </w:p>
    <w:p>
      <w:pPr>
        <w:ind w:left="100"/>
        <w:spacing w:after="0"/>
        <w:tabs>
          <w:tab w:leader="none" w:pos="4060" w:val="left"/>
          <w:tab w:leader="none" w:pos="4320" w:val="left"/>
          <w:tab w:leader="none" w:pos="5540" w:val="left"/>
        </w:tabs>
        <w:rPr>
          <w:sz w:val="20"/>
          <w:szCs w:val="20"/>
          <w:color w:val="auto"/>
        </w:rPr>
      </w:pPr>
      <w:r>
        <w:rPr>
          <w:rFonts w:ascii="Courier New" w:cs="Courier New" w:eastAsia="Courier New" w:hAnsi="Courier New"/>
          <w:sz w:val="14"/>
          <w:szCs w:val="14"/>
          <w:color w:val="auto"/>
        </w:rPr>
        <w:t>cost components</w:t>
      </w:r>
      <w:r>
        <w:rPr>
          <w:sz w:val="20"/>
          <w:szCs w:val="20"/>
          <w:color w:val="auto"/>
        </w:rPr>
        <w:tab/>
      </w:r>
      <w:r>
        <w:rPr>
          <w:rFonts w:ascii="Courier New" w:cs="Courier New" w:eastAsia="Courier New" w:hAnsi="Courier New"/>
          <w:sz w:val="14"/>
          <w:szCs w:val="14"/>
          <w:color w:val="auto"/>
        </w:rPr>
        <w:t>$</w:t>
        <w:tab/>
        <w:t>17</w:t>
      </w:r>
      <w:r>
        <w:rPr>
          <w:sz w:val="20"/>
          <w:szCs w:val="20"/>
          <w:color w:val="auto"/>
        </w:rPr>
        <w:tab/>
      </w:r>
      <w:r>
        <w:rPr>
          <w:rFonts w:ascii="Courier New" w:cs="Courier New" w:eastAsia="Courier New" w:hAnsi="Courier New"/>
          <w:sz w:val="14"/>
          <w:szCs w:val="14"/>
          <w:color w:val="auto"/>
        </w:rPr>
        <w:t>$ (19)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on postretirement benefit</w:t>
      </w:r>
    </w:p>
    <w:p>
      <w:pPr>
        <w:spacing w:after="0" w:line="8" w:lineRule="exact"/>
        <w:rPr>
          <w:sz w:val="20"/>
          <w:szCs w:val="20"/>
          <w:color w:val="auto"/>
        </w:rPr>
      </w:pPr>
    </w:p>
    <w:p>
      <w:pPr>
        <w:ind w:left="100"/>
        <w:spacing w:after="0"/>
        <w:tabs>
          <w:tab w:leader="none" w:pos="4060" w:val="left"/>
          <w:tab w:leader="none" w:pos="5540" w:val="left"/>
        </w:tabs>
        <w:rPr>
          <w:sz w:val="20"/>
          <w:szCs w:val="20"/>
          <w:color w:val="auto"/>
        </w:rPr>
      </w:pPr>
      <w:r>
        <w:rPr>
          <w:rFonts w:ascii="Courier New" w:cs="Courier New" w:eastAsia="Courier New" w:hAnsi="Courier New"/>
          <w:sz w:val="14"/>
          <w:szCs w:val="14"/>
          <w:color w:val="auto"/>
        </w:rPr>
        <w:t>obligation</w:t>
      </w:r>
      <w:r>
        <w:rPr>
          <w:sz w:val="20"/>
          <w:szCs w:val="20"/>
          <w:color w:val="auto"/>
        </w:rPr>
        <w:tab/>
      </w:r>
      <w:r>
        <w:rPr>
          <w:rFonts w:ascii="Courier New" w:cs="Courier New" w:eastAsia="Courier New" w:hAnsi="Courier New"/>
          <w:sz w:val="14"/>
          <w:szCs w:val="14"/>
          <w:color w:val="auto"/>
        </w:rPr>
        <w:t>$ 129</w:t>
      </w:r>
      <w:r>
        <w:rPr>
          <w:sz w:val="20"/>
          <w:szCs w:val="20"/>
          <w:color w:val="auto"/>
        </w:rPr>
        <w:tab/>
      </w:r>
      <w:r>
        <w:rPr>
          <w:rFonts w:ascii="Courier New" w:cs="Courier New" w:eastAsia="Courier New" w:hAnsi="Courier New"/>
          <w:sz w:val="14"/>
          <w:szCs w:val="14"/>
          <w:color w:val="auto"/>
        </w:rPr>
        <w:t>$(107)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net periodic benefit cost for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and 1997 were:</w:t>
      </w:r>
    </w:p>
    <w:p>
      <w:pPr>
        <w:spacing w:after="0" w:line="200" w:lineRule="exact"/>
        <w:rPr>
          <w:sz w:val="20"/>
          <w:szCs w:val="20"/>
          <w:color w:val="auto"/>
        </w:rPr>
      </w:pPr>
    </w:p>
    <w:p>
      <w:pPr>
        <w:spacing w:after="0" w:line="309" w:lineRule="exact"/>
        <w:rPr>
          <w:sz w:val="20"/>
          <w:szCs w:val="20"/>
          <w:color w:val="auto"/>
        </w:rPr>
      </w:pPr>
    </w:p>
    <w:p>
      <w:pPr>
        <w:jc w:val="right"/>
        <w:ind w:right="3299"/>
        <w:spacing w:after="0"/>
        <w:tabs>
          <w:tab w:leader="none" w:pos="1380" w:val="left"/>
        </w:tabs>
        <w:rPr>
          <w:sz w:val="20"/>
          <w:szCs w:val="20"/>
          <w:color w:val="auto"/>
        </w:rPr>
      </w:pPr>
      <w:r>
        <w:rPr>
          <w:rFonts w:ascii="Courier New" w:cs="Courier New" w:eastAsia="Courier New" w:hAnsi="Courier New"/>
          <w:sz w:val="14"/>
          <w:szCs w:val="14"/>
          <w:color w:val="auto"/>
        </w:rPr>
        <w:t>Pension Benefits</w:t>
      </w:r>
      <w:r>
        <w:rPr>
          <w:sz w:val="20"/>
          <w:szCs w:val="20"/>
          <w:color w:val="auto"/>
        </w:rPr>
        <w:tab/>
      </w:r>
      <w:r>
        <w:rPr>
          <w:rFonts w:ascii="Courier New" w:cs="Courier New" w:eastAsia="Courier New" w:hAnsi="Courier New"/>
          <w:sz w:val="14"/>
          <w:szCs w:val="14"/>
          <w:color w:val="auto"/>
        </w:rPr>
        <w:t>Other Benefits</w:t>
      </w:r>
    </w:p>
    <w:p>
      <w:pPr>
        <w:spacing w:after="0" w:line="8"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2780"/>
        <w:spacing w:after="0"/>
        <w:tabs>
          <w:tab w:leader="none" w:pos="3540" w:val="left"/>
          <w:tab w:leader="none" w:pos="4320" w:val="left"/>
          <w:tab w:leader="none" w:pos="5100" w:val="left"/>
          <w:tab w:leader="none" w:pos="5800" w:val="left"/>
          <w:tab w:leader="none" w:pos="65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Service cost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Interest cost ..............</w:t>
            </w:r>
          </w:p>
        </w:tc>
        <w:tc>
          <w:tcPr>
            <w:tcW w:w="22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w:t>
            </w:r>
          </w:p>
        </w:tc>
        <w:tc>
          <w:tcPr>
            <w:tcW w:w="26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w:t>
            </w:r>
          </w:p>
        </w:tc>
        <w:tc>
          <w:tcPr>
            <w:tcW w:w="22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Expected return on</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plan assets .......</w:t>
            </w:r>
          </w:p>
        </w:tc>
        <w:tc>
          <w:tcPr>
            <w:tcW w:w="22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(394)</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(397)</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(371)</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transitional assets</w:t>
            </w:r>
          </w:p>
        </w:tc>
        <w:tc>
          <w:tcPr>
            <w:tcW w:w="22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service costs .....</w:t>
            </w:r>
          </w:p>
        </w:tc>
        <w:tc>
          <w:tcPr>
            <w:tcW w:w="22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Recognized actuarial</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losses (gains) ....</w:t>
            </w:r>
          </w:p>
        </w:tc>
        <w:tc>
          <w:tcPr>
            <w:tcW w:w="22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Settlement gains ...........</w:t>
            </w:r>
          </w:p>
        </w:tc>
        <w:tc>
          <w:tcPr>
            <w:tcW w:w="22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(104)</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Curtailment losses .........</w:t>
            </w:r>
          </w:p>
        </w:tc>
        <w:tc>
          <w:tcPr>
            <w:tcW w:w="22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Special termination</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benefit recognition</w:t>
            </w:r>
          </w:p>
        </w:tc>
        <w:tc>
          <w:tcPr>
            <w:tcW w:w="22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14"/>
                <w:szCs w:val="14"/>
                <w:color w:val="auto"/>
              </w:rPr>
            </w:pPr>
          </w:p>
        </w:tc>
        <w:tc>
          <w:tcPr>
            <w:tcW w:w="4400" w:type="dxa"/>
            <w:vAlign w:val="bottom"/>
            <w:gridSpan w:val="1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projected benefit obligation, accumulated benefit obligation, and fair value of plan assets for pension plans with accumulated benefit obligations in excess of plan assets were $428, $368 and $80, respectively, at December 31, 1999, and $408, $364 and $87, respectively at December 31,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Profit Sharing/Savings Plan</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Eligible employees of the company and certain of its subsidiaries who have completed one year of service may participate in the Profit Sharing/Savings Plan. Charges to expense for the profit sharing part of the Profit Sharing/Savings Plan were $86, $60 and $79 in 1999, 1998 and 1997, respectively. Commencing in October 1997, the company's Savings Plus Plan contributions are being funded with leveraged ESOP shares.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Ownership Plan (ESOP)</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In December 1989, the company established a leveraged ESOP as part of the Profit Sharing/Savings Plan. The ESOP Trust Fund borrowed $1,000 and purchased 28.2 million previously unissued shares of the company's common stock. In June 1999, the ESOP borrowed $25 at 6.98 percent interest, using the proceeds to pay interest due on the existing ESOP debt. In July 1999, the company's leveraged ESOP issued notes of $620 at an average interest rate of 7.42 percent, guaranteed by Chevron Corporation. The debt proceeds were paid to Chevron Corporation in exchange for Chevron's assumption of the existing 8.11 percent ESOP long-term debt of $620 million. The ESOP provides a partial prefunding of the company's future commitments to the Profit Sharing/Savings Plan, which will result in annual income tax savings for the company.</w:t>
      </w:r>
    </w:p>
    <w:p>
      <w:pPr>
        <w:spacing w:after="0" w:line="163"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As permitted by AICPA Statement of Position 93-6, "Employers' Accounting for Employee Stock Ownership Plans," the company has elected to continue its practices, which are based on Statement of Position 76-3, "Accounting Practices for Certain Employee Stock Ownership Plans" and subsequent consensus of the Emerging Issues Task Force of the Financial Accounting Standards Board. Accordingly, the debt of the ESOP is recorded as debt, and shares pledged as collateral are reported as deferred compensation in the Consolidated Balance Sheet and Statement of Stockholders' Equity. The company reports compensation expense equal to the ESOP debt principal repayments less dividends received by the ESOP. Interest incurred on the ESOP debt is recorded as interest expense. Dividends paid on ESOP shares are reflected as a reduction of retained earnings. All ESOP shares are considered outstanding for earnings-per-share computations.</w:t>
      </w:r>
    </w:p>
    <w:p>
      <w:pPr>
        <w:spacing w:after="0" w:line="163"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 recorded expense for the ESOP of $84, $58 and $53 in 1999, 1998 and 1997, respectively, including $49, $56 and $61 of interest expense related to the ESOP debt. All dividends paid on the shares held by the ESOP are used to service the ESOP debt. The dividends used were $33, $57 and $57 in 1999, 1998 and 1997, respectively.</w:t>
      </w:r>
    </w:p>
    <w:p>
      <w:pPr>
        <w:spacing w:after="0" w:line="162"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The company made contributions to the ESOP of $64, $60 and $55 in 1999, 1998 and 1997, respectively, to satisfy ESOP debt service in excess of dividends received by the ESOP. The ESOP shares were pledged as collateral for its debt. Shares are</w:t>
      </w:r>
    </w:p>
    <w:p>
      <w:pPr>
        <w:sectPr>
          <w:pgSz w:w="11900" w:h="16846" w:orient="portrait"/>
          <w:cols w:equalWidth="0" w:num="1">
            <w:col w:w="10159"/>
          </w:cols>
          <w:pgMar w:left="300" w:top="954" w:right="1440" w:bottom="0" w:gutter="0" w:footer="0" w:header="0"/>
        </w:sectPr>
      </w:pPr>
    </w:p>
    <w:bookmarkStart w:id="28" w:name="page29"/>
    <w:bookmarkEnd w:id="28"/>
    <w:p>
      <w:pPr>
        <w:jc w:val="both"/>
        <w:ind w:right="3199"/>
        <w:spacing w:after="0" w:line="254" w:lineRule="auto"/>
        <w:rPr>
          <w:sz w:val="20"/>
          <w:szCs w:val="20"/>
          <w:color w:val="auto"/>
        </w:rPr>
      </w:pPr>
      <w:r>
        <w:rPr>
          <w:rFonts w:ascii="Courier New" w:cs="Courier New" w:eastAsia="Courier New" w:hAnsi="Courier New"/>
          <w:sz w:val="14"/>
          <w:szCs w:val="14"/>
          <w:color w:val="auto"/>
        </w:rPr>
        <w:t>released from a suspense account and allocated to the accounts of Plan participants, based on the debt service deemed to be paid in the year in proportion to the total of current year and remaining debt service. The charge (credit) to compensation expense was $36, $2 and $(8) in 1999, 1998 and 1997, respectively. The ESOP shares as of December 31, 1999 and 1998,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Courier New" w:cs="Courier New" w:eastAsia="Courier New" w:hAnsi="Courier New"/>
                <w:sz w:val="14"/>
                <w:szCs w:val="14"/>
                <w:color w:val="auto"/>
              </w:rPr>
              <w:t>Allocated shares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10,785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10,819</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Unallocated shares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12,963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14,087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Total ESOP shares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23,748   24,906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Incentive Plans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has two incentive plans, the Management Incentive Plan (MIP) and the Long-Term Incentive Plan (LTIP) for officers and other regular salaried employees of the company and its subsidiaries who hold positions of significant responsibility. The MIP is an annual cash incentive plan that links awards to performance results of the prior year. The cash awards may be deferred by conversion to stock units or, beginning with awards deferred in 1996, stock units or other investment fund alternatives. Awards under the LTIP may take the form of, but are not limited to, stock options, restricted stock, stock units and nonstock grants. Charges to expense for the combined man-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14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Note 18. EMPLOYEE BENEFIT PLANS - Continued</w:t>
      </w:r>
    </w:p>
    <w:p>
      <w:pPr>
        <w:spacing w:after="0" w:line="175"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agement incentive plans, excluding expense related to LTIP stock options, which is discussed in Note 19, "Stock Options," were $41, $28 and $55 in 1999, 1998 and 1997,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Chevron Success Sharing</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has a program that provides eligible employees with an annual cash bonus if the company achieves certain financial and safety goals. Until 2000, the total maximum payout under the program was 8 percent of the employee's annual salary. Charges for the program were $47, $51 and $116 in 1999, 1998 and 1997, respectively. In 2000, the maximum payout under the program increases to 10 percent.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 STOCK OPTIONS</w:t>
      </w:r>
    </w:p>
    <w:p>
      <w:pPr>
        <w:spacing w:after="0" w:line="8"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stock options awarded under its Broad-Based Employee Stock Option Programs and its Long-Term Incentive Plan, which are described below.</w:t>
      </w:r>
    </w:p>
    <w:p>
      <w:pPr>
        <w:spacing w:after="0" w:line="162"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Had compensation cost for the company's stock options been determined based on the fair market value at the grant dates of the awards consistent with the methodology prescribed by SFAS No. 123, the company's net income and earnings per share for 1999, 1998 and 1997 would have been the pro forma amounts shown below.</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ind w:left="300"/>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6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As reported</w:t>
            </w:r>
          </w:p>
        </w:tc>
        <w:tc>
          <w:tcPr>
            <w:tcW w:w="74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$2,070</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$1,339</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$3,256</w:t>
            </w:r>
          </w:p>
        </w:tc>
      </w:tr>
      <w:tr>
        <w:trPr>
          <w:trHeight w:val="167"/>
        </w:trPr>
        <w:tc>
          <w:tcPr>
            <w:tcW w:w="16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740" w:type="dxa"/>
            <w:vAlign w:val="bottom"/>
          </w:tcPr>
          <w:p>
            <w:pPr>
              <w:spacing w:after="0"/>
              <w:rPr>
                <w:sz w:val="14"/>
                <w:szCs w:val="14"/>
                <w:color w:val="auto"/>
              </w:rPr>
            </w:pP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$2,027</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$1,294</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$3,302</w:t>
            </w:r>
          </w:p>
        </w:tc>
      </w:tr>
      <w:tr>
        <w:trPr>
          <w:trHeight w:val="334"/>
        </w:trPr>
        <w:tc>
          <w:tcPr>
            <w:tcW w:w="16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As reported -</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basic</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$3.16</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$2.05</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$4.97</w:t>
            </w:r>
          </w:p>
        </w:tc>
      </w:tr>
      <w:tr>
        <w:trPr>
          <w:trHeight w:val="167"/>
        </w:trPr>
        <w:tc>
          <w:tcPr>
            <w:tcW w:w="16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$3.14</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$2.04</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$4.95</w:t>
            </w:r>
          </w:p>
        </w:tc>
      </w:tr>
      <w:tr>
        <w:trPr>
          <w:trHeight w:val="334"/>
        </w:trPr>
        <w:tc>
          <w:tcPr>
            <w:tcW w:w="16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Pro forma   -</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basic</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$3.09</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$1.98</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$5.04</w:t>
            </w:r>
          </w:p>
        </w:tc>
      </w:tr>
      <w:tr>
        <w:trPr>
          <w:trHeight w:val="167"/>
        </w:trPr>
        <w:tc>
          <w:tcPr>
            <w:tcW w:w="16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$3.08</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$1.97</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effects of applying SFAS No. 123 in this pro forma disclosure are not indicative of future amounts. SFAS No. 123 does not apply to awards granted prior to 1995. In addition, certain options vest over several years, and awards in future years, whose terms and conditions may vary, are anticipated.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Long-Term Incentive Plan</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gridSpan w:val="7"/>
          </w:tcPr>
          <w:p>
            <w:pPr>
              <w:spacing w:after="0"/>
              <w:rPr>
                <w:sz w:val="20"/>
                <w:szCs w:val="20"/>
                <w:color w:val="auto"/>
              </w:rPr>
            </w:pPr>
            <w:r>
              <w:rPr>
                <w:rFonts w:ascii="Courier New" w:cs="Courier New" w:eastAsia="Courier New" w:hAnsi="Courier New"/>
                <w:sz w:val="14"/>
                <w:szCs w:val="14"/>
                <w:color w:val="auto"/>
              </w:rPr>
              <w:t>Stock options  granted  under the LTIP are generally</w:t>
            </w:r>
          </w:p>
        </w:tc>
        <w:tc>
          <w:tcPr>
            <w:tcW w:w="23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awarded at market price on</w:t>
            </w: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the date</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of grant and are</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exercisable</w:t>
            </w:r>
          </w:p>
        </w:tc>
        <w:tc>
          <w:tcPr>
            <w:tcW w:w="12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not earlier</w:t>
            </w:r>
          </w:p>
        </w:tc>
        <w:tc>
          <w:tcPr>
            <w:tcW w:w="23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than one year and not later</w:t>
            </w:r>
          </w:p>
        </w:tc>
      </w:tr>
      <w:tr>
        <w:trPr>
          <w:trHeight w:val="167"/>
        </w:trPr>
        <w:tc>
          <w:tcPr>
            <w:tcW w:w="3360" w:type="dxa"/>
            <w:vAlign w:val="bottom"/>
            <w:gridSpan w:val="4"/>
          </w:tcPr>
          <w:p>
            <w:pPr>
              <w:spacing w:after="0"/>
              <w:rPr>
                <w:sz w:val="20"/>
                <w:szCs w:val="20"/>
                <w:color w:val="auto"/>
              </w:rPr>
            </w:pPr>
            <w:r>
              <w:rPr>
                <w:rFonts w:ascii="Courier New" w:cs="Courier New" w:eastAsia="Courier New" w:hAnsi="Courier New"/>
                <w:sz w:val="14"/>
                <w:szCs w:val="14"/>
                <w:color w:val="auto"/>
              </w:rPr>
              <w:t>than 10 years from the date of grant.</w:t>
            </w:r>
          </w:p>
        </w:tc>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However,</w:t>
            </w:r>
          </w:p>
        </w:tc>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 portion</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LTIP</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r>
      <w:tr>
        <w:trPr>
          <w:trHeight w:val="167"/>
        </w:trPr>
        <w:tc>
          <w:tcPr>
            <w:tcW w:w="3660" w:type="dxa"/>
            <w:vAlign w:val="bottom"/>
            <w:gridSpan w:val="5"/>
          </w:tcPr>
          <w:p>
            <w:pPr>
              <w:spacing w:after="0"/>
              <w:rPr>
                <w:sz w:val="20"/>
                <w:szCs w:val="20"/>
                <w:color w:val="auto"/>
              </w:rPr>
            </w:pPr>
            <w:r>
              <w:rPr>
                <w:rFonts w:ascii="Courier New" w:cs="Courier New" w:eastAsia="Courier New" w:hAnsi="Courier New"/>
                <w:sz w:val="14"/>
                <w:szCs w:val="14"/>
                <w:color w:val="auto"/>
              </w:rPr>
              <w:t>granted in 1996 had terms similar to the</w:t>
            </w:r>
          </w:p>
        </w:tc>
        <w:tc>
          <w:tcPr>
            <w:tcW w:w="33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broad-based  employee  stock  options,</w:t>
            </w: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which are</w:t>
            </w:r>
          </w:p>
        </w:tc>
        <w:tc>
          <w:tcPr>
            <w:tcW w:w="1560" w:type="dxa"/>
            <w:vAlign w:val="bottom"/>
          </w:tcPr>
          <w:p>
            <w:pPr>
              <w:ind w:left="160"/>
              <w:spacing w:after="0"/>
              <w:rPr>
                <w:sz w:val="20"/>
                <w:szCs w:val="20"/>
                <w:color w:val="auto"/>
              </w:rPr>
            </w:pPr>
            <w:r>
              <w:rPr>
                <w:rFonts w:ascii="Courier New" w:cs="Courier New" w:eastAsia="Courier New" w:hAnsi="Courier New"/>
                <w:sz w:val="14"/>
                <w:szCs w:val="14"/>
                <w:color w:val="auto"/>
              </w:rPr>
              <w:t>described in the</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following</w:t>
            </w:r>
          </w:p>
        </w:tc>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table.</w:t>
            </w:r>
          </w:p>
        </w:tc>
        <w:tc>
          <w:tcPr>
            <w:tcW w:w="1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The maximum</w:t>
            </w:r>
          </w:p>
        </w:tc>
        <w:tc>
          <w:tcPr>
            <w:tcW w:w="1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number of shares of</w:t>
            </w:r>
          </w:p>
        </w:tc>
      </w:tr>
      <w:tr>
        <w:trPr>
          <w:trHeight w:val="167"/>
        </w:trPr>
        <w:tc>
          <w:tcPr>
            <w:tcW w:w="4140" w:type="dxa"/>
            <w:vAlign w:val="bottom"/>
            <w:gridSpan w:val="6"/>
          </w:tcPr>
          <w:p>
            <w:pPr>
              <w:spacing w:after="0"/>
              <w:rPr>
                <w:sz w:val="20"/>
                <w:szCs w:val="20"/>
                <w:color w:val="auto"/>
              </w:rPr>
            </w:pPr>
            <w:r>
              <w:rPr>
                <w:rFonts w:ascii="Courier New" w:cs="Courier New" w:eastAsia="Courier New" w:hAnsi="Courier New"/>
                <w:sz w:val="14"/>
                <w:szCs w:val="14"/>
                <w:color w:val="auto"/>
              </w:rPr>
              <w:t>common stock that may be granted each year is 1</w:t>
            </w:r>
          </w:p>
        </w:tc>
        <w:tc>
          <w:tcPr>
            <w:tcW w:w="2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percent of the total outstanding</w:t>
            </w:r>
          </w:p>
        </w:tc>
      </w:tr>
      <w:tr>
        <w:trPr>
          <w:trHeight w:val="167"/>
        </w:trPr>
        <w:tc>
          <w:tcPr>
            <w:tcW w:w="4600" w:type="dxa"/>
            <w:vAlign w:val="bottom"/>
            <w:gridSpan w:val="7"/>
          </w:tcPr>
          <w:p>
            <w:pPr>
              <w:spacing w:after="0"/>
              <w:rPr>
                <w:sz w:val="20"/>
                <w:szCs w:val="20"/>
                <w:color w:val="auto"/>
              </w:rPr>
            </w:pPr>
            <w:r>
              <w:rPr>
                <w:rFonts w:ascii="Courier New" w:cs="Courier New" w:eastAsia="Courier New" w:hAnsi="Courier New"/>
                <w:sz w:val="14"/>
                <w:szCs w:val="14"/>
                <w:color w:val="auto"/>
              </w:rPr>
              <w:t>shares of common stock as of January 1 of such year.</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A summary of the  status of stock</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awarded</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under the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company's</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LTIP,</w:t>
            </w: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excluding</w:t>
            </w:r>
          </w:p>
        </w:tc>
        <w:tc>
          <w:tcPr>
            <w:tcW w:w="334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awards granted with terms similar to</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broad-based</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employee stock</w:t>
            </w: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860" w:type="dxa"/>
            <w:vAlign w:val="bottom"/>
            <w:gridSpan w:val="4"/>
          </w:tcPr>
          <w:p>
            <w:pPr>
              <w:spacing w:after="0"/>
              <w:rPr>
                <w:sz w:val="20"/>
                <w:szCs w:val="20"/>
                <w:color w:val="auto"/>
              </w:rPr>
            </w:pPr>
            <w:r>
              <w:rPr>
                <w:rFonts w:ascii="Courier New" w:cs="Courier New" w:eastAsia="Courier New" w:hAnsi="Courier New"/>
                <w:sz w:val="14"/>
                <w:szCs w:val="14"/>
                <w:color w:val="auto"/>
              </w:rPr>
              <w:t>for 1999, 1998 and 1997 follows.</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Weighted-</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Average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Options</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(000s)</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Outstanding at December 31, 1996</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7,277</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$44.84</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5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1,801</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80.78</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5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(710)</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38.65</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5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(115)</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72.18</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Outstanding at December 31, 1997</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8,253</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$52.83</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5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1,872</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79.13</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5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(796)</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40.47</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5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(106)</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80.70</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Outstanding at December 31, 1998</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9,223</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$58.91</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5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1,830</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89.88</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5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(1,298)</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44.29</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5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(152)</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83.12</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18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Outstanding at December 31, 1999</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9,603</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$66.41</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6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Exercisable at December 31</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6,502</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$45.31</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7,367</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$53.82</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7,839</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$61.13</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weighted-average fair market value of options granted in 1999, 1998 and 1997</w:t>
      </w:r>
    </w:p>
    <w:p>
      <w:pPr>
        <w:sectPr>
          <w:pgSz w:w="11900" w:h="16838" w:orient="portrait"/>
          <w:cols w:equalWidth="0" w:num="1">
            <w:col w:w="10159"/>
          </w:cols>
          <w:pgMar w:left="300" w:top="954" w:right="1440" w:bottom="0" w:gutter="0" w:footer="0" w:header="0"/>
        </w:sectPr>
      </w:pPr>
    </w:p>
    <w:bookmarkStart w:id="30" w:name="page31"/>
    <w:bookmarkEnd w:id="30"/>
    <w:p>
      <w:pPr>
        <w:jc w:val="both"/>
        <w:ind w:right="3199"/>
        <w:spacing w:after="0" w:line="253" w:lineRule="auto"/>
        <w:rPr>
          <w:sz w:val="20"/>
          <w:szCs w:val="20"/>
          <w:color w:val="auto"/>
        </w:rPr>
      </w:pPr>
      <w:r>
        <w:rPr>
          <w:rFonts w:ascii="Courier New" w:cs="Courier New" w:eastAsia="Courier New" w:hAnsi="Courier New"/>
          <w:sz w:val="14"/>
          <w:szCs w:val="14"/>
          <w:color w:val="auto"/>
        </w:rPr>
        <w:t>was $20.40, $21.10 and $17.64 per share, respectively. The fair market value of each option on the date of grant was estimated using the Black-Scholes option-pricing model with the following assumptions for 1999, 1998 and 1997, respectively: risk-free interest rate of 5.5, 4.5 and 6.1 percent; dividend yield of 3.0, 3.1 and 2.8 percent; volatility of 20.1, 28.6 and 15.2 percent and expected life of seven years in all years.</w:t>
      </w:r>
    </w:p>
    <w:p>
      <w:pPr>
        <w:spacing w:after="0" w:line="165"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As of December 31, 1999, 9,602,900 shares were under option at exercise prices ranging from $31.9375 to $99.75 per share. The following table summarizes information about stock options outstanding under the LTIP, excluding awards granted with terms similar to the broad-based employee stock options, at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Options Outstanding</w:t>
            </w: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92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2"/>
              </w:rPr>
              <w:t>----------------------------------------</w:t>
            </w:r>
          </w:p>
        </w:tc>
        <w:tc>
          <w:tcPr>
            <w:tcW w:w="130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7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Range of</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Remaining</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Outstanding</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Contractual</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Prices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Life (Years)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$ 41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614</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2.12</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$34.55</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$34.55</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3,128</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4.72</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45.18</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45.18</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56.49</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56.49</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766</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6.83</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66.25</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66.25</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3,299</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8.34</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79.91</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79.91</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1,758</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9.80</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89.80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82.80</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9.55</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92.14</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$31 to $101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9,603</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$66.41</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7,839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$61.13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Broad-Based</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Employee Stock</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Options</w:t>
            </w:r>
          </w:p>
        </w:tc>
        <w:tc>
          <w:tcPr>
            <w:tcW w:w="10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3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1996, the company granted to all eligible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employees</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an option for 150 shares</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stock or</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equivalents at</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an exercise price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$51.875</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per share.  In addition,</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portion</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of the  awards</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granted  under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the LTIP had</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terms  similar  to the</w:t>
            </w:r>
          </w:p>
        </w:tc>
      </w:tr>
      <w:tr>
        <w:trPr>
          <w:trHeight w:val="167"/>
        </w:trPr>
        <w:tc>
          <w:tcPr>
            <w:tcW w:w="3820" w:type="dxa"/>
            <w:vAlign w:val="bottom"/>
            <w:gridSpan w:val="4"/>
          </w:tcPr>
          <w:p>
            <w:pPr>
              <w:spacing w:after="0"/>
              <w:rPr>
                <w:sz w:val="20"/>
                <w:szCs w:val="20"/>
                <w:color w:val="auto"/>
              </w:rPr>
            </w:pPr>
            <w:r>
              <w:rPr>
                <w:rFonts w:ascii="Courier New" w:cs="Courier New" w:eastAsia="Courier New" w:hAnsi="Courier New"/>
                <w:sz w:val="14"/>
                <w:szCs w:val="14"/>
                <w:color w:val="auto"/>
              </w:rPr>
              <w:t>broad-based  employee  stock  options.  When</w:t>
            </w:r>
          </w:p>
        </w:tc>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options were issued in February</w:t>
            </w:r>
          </w:p>
        </w:tc>
      </w:tr>
      <w:tr>
        <w:trPr>
          <w:trHeight w:val="167"/>
        </w:trPr>
        <w:tc>
          <w:tcPr>
            <w:tcW w:w="3820" w:type="dxa"/>
            <w:vAlign w:val="bottom"/>
            <w:gridSpan w:val="4"/>
          </w:tcPr>
          <w:p>
            <w:pPr>
              <w:spacing w:after="0"/>
              <w:rPr>
                <w:sz w:val="20"/>
                <w:szCs w:val="20"/>
                <w:color w:val="auto"/>
              </w:rPr>
            </w:pPr>
            <w:r>
              <w:rPr>
                <w:rFonts w:ascii="Courier New" w:cs="Courier New" w:eastAsia="Courier New" w:hAnsi="Courier New"/>
                <w:sz w:val="14"/>
                <w:szCs w:val="14"/>
                <w:color w:val="auto"/>
              </w:rPr>
              <w:t>1996, vesting was contingent upon one of two</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w:t>
            </w:r>
          </w:p>
        </w:tc>
        <w:tc>
          <w:tcPr>
            <w:tcW w:w="2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being met: By Decem-</w:t>
            </w:r>
          </w:p>
        </w:tc>
      </w:tr>
      <w:tr>
        <w:trPr>
          <w:trHeight w:val="834"/>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0159"/>
          </w:cols>
          <w:pgMar w:left="300" w:top="14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Note 19. STOCK OPTIONS - Continued</w:t>
      </w:r>
    </w:p>
    <w:p>
      <w:pPr>
        <w:spacing w:after="0" w:line="8" w:lineRule="exact"/>
        <w:rPr>
          <w:sz w:val="20"/>
          <w:szCs w:val="20"/>
          <w:color w:val="auto"/>
        </w:rPr>
      </w:pPr>
    </w:p>
    <w:p>
      <w:pPr>
        <w:jc w:val="both"/>
        <w:ind w:right="4340"/>
        <w:spacing w:after="0" w:line="254" w:lineRule="auto"/>
        <w:rPr>
          <w:sz w:val="20"/>
          <w:szCs w:val="20"/>
          <w:color w:val="auto"/>
        </w:rPr>
      </w:pPr>
      <w:r>
        <w:rPr>
          <w:rFonts w:ascii="Courier New" w:cs="Courier New" w:eastAsia="Courier New" w:hAnsi="Courier New"/>
          <w:sz w:val="14"/>
          <w:szCs w:val="14"/>
          <w:color w:val="auto"/>
        </w:rPr>
        <w:t>ber 31, 1998, the price of Chevron stock closed at or above $75.00 per share for three consecutive business days or, alternatively, the company had the highest annual total stockholder return of its competitor group for the years 1994 through 1998. The options vested in June 1997 when the share price performance condition was met.</w:t>
      </w:r>
    </w:p>
    <w:p>
      <w:pPr>
        <w:spacing w:after="0" w:line="162" w:lineRule="exact"/>
        <w:rPr>
          <w:sz w:val="20"/>
          <w:szCs w:val="20"/>
          <w:color w:val="auto"/>
        </w:rPr>
      </w:pPr>
    </w:p>
    <w:p>
      <w:pPr>
        <w:jc w:val="both"/>
        <w:ind w:right="4340"/>
        <w:spacing w:after="0" w:line="253" w:lineRule="auto"/>
        <w:rPr>
          <w:sz w:val="20"/>
          <w:szCs w:val="20"/>
          <w:color w:val="auto"/>
        </w:rPr>
      </w:pPr>
      <w:r>
        <w:rPr>
          <w:rFonts w:ascii="Courier New" w:cs="Courier New" w:eastAsia="Courier New" w:hAnsi="Courier New"/>
          <w:sz w:val="14"/>
          <w:szCs w:val="14"/>
          <w:color w:val="auto"/>
        </w:rPr>
        <w:t>Options for 7,204,800 shares, including similar-termed LTIP awards, were granted in 1996. Forfeitures of options for 820,050 shares and exercises of 4,171,300 reduced the outstanding option shares to 2,213,450 at December 31, 1997. In 1998, exercises of 1,361,000 and forfeitures of 10,800 had reduced the outstanding option shares to 841,650 at year-end 1998. In 1999, exercises of 740,725, forfeitures of 61,850 and expirations of 39,075 had reduced the outstanding option shares to zero at March 31, 1999, the date of expiration. Under APB Opinion No. 25, the company recorded expenses of $(2), $0 and $125 for these options in 1999, 1998 and 1997, respectively.</w:t>
      </w:r>
    </w:p>
    <w:p>
      <w:pPr>
        <w:spacing w:after="0" w:line="164" w:lineRule="exact"/>
        <w:rPr>
          <w:sz w:val="20"/>
          <w:szCs w:val="20"/>
          <w:color w:val="auto"/>
        </w:rPr>
      </w:pPr>
    </w:p>
    <w:p>
      <w:pPr>
        <w:jc w:val="both"/>
        <w:ind w:right="4340"/>
        <w:spacing w:after="0" w:line="254" w:lineRule="auto"/>
        <w:rPr>
          <w:sz w:val="20"/>
          <w:szCs w:val="20"/>
          <w:color w:val="auto"/>
        </w:rPr>
      </w:pPr>
      <w:r>
        <w:rPr>
          <w:rFonts w:ascii="Courier New" w:cs="Courier New" w:eastAsia="Courier New" w:hAnsi="Courier New"/>
          <w:sz w:val="14"/>
          <w:szCs w:val="14"/>
          <w:color w:val="auto"/>
        </w:rPr>
        <w:t>The fair market value of each option share on the date of grant under SFAS No. 123 was estimated at $5.66 using a binomial option-pricing model with the following assumptions: risk-free interest rate of 5.1 percent, dividend yield of 4.2 percent, expected life of three years and a volatility of 20.9 percent.</w:t>
      </w:r>
    </w:p>
    <w:p>
      <w:pPr>
        <w:spacing w:after="0" w:line="163" w:lineRule="exact"/>
        <w:rPr>
          <w:sz w:val="20"/>
          <w:szCs w:val="20"/>
          <w:color w:val="auto"/>
        </w:rPr>
      </w:pPr>
    </w:p>
    <w:p>
      <w:pPr>
        <w:jc w:val="both"/>
        <w:ind w:right="4340"/>
        <w:spacing w:after="0" w:line="253" w:lineRule="auto"/>
        <w:rPr>
          <w:sz w:val="20"/>
          <w:szCs w:val="20"/>
          <w:color w:val="auto"/>
        </w:rPr>
      </w:pPr>
      <w:r>
        <w:rPr>
          <w:rFonts w:ascii="Courier New" w:cs="Courier New" w:eastAsia="Courier New" w:hAnsi="Courier New"/>
          <w:sz w:val="14"/>
          <w:szCs w:val="14"/>
          <w:color w:val="auto"/>
        </w:rPr>
        <w:t>In 1998, the company announced a new broad-based Employee Stock Option Program that granted to all eligible employees an option that varied from 100 to 300 shares of stock or equivalents, dependent on the employee's salary or job grade. These options were to vest in two years or, if the company had the highest total stockholder return among its competitor group for the years 1994 through 1998, in one year. Since the stockholders' return performance condition was not met, the options vested in February 2000. Options for 4,820,800 shares were awarded at an exercise price of $76.3125 per share. Forfeitures of options for 854,550 shares reduced the outstanding option shares to 3,966,250 at December 31, 1999, at which date none was exercisable. The options expire on February 11, 2008. Under APB Opinion No. 25, the company recorded expenses of $4 and $2 for these options in 1999 and 1998, respectively.</w:t>
      </w:r>
    </w:p>
    <w:p>
      <w:pPr>
        <w:spacing w:after="0" w:line="163" w:lineRule="exact"/>
        <w:rPr>
          <w:sz w:val="20"/>
          <w:szCs w:val="20"/>
          <w:color w:val="auto"/>
        </w:rPr>
      </w:pPr>
    </w:p>
    <w:p>
      <w:pPr>
        <w:jc w:val="both"/>
        <w:ind w:right="4340"/>
        <w:spacing w:after="0" w:line="254" w:lineRule="auto"/>
        <w:rPr>
          <w:sz w:val="20"/>
          <w:szCs w:val="20"/>
          <w:color w:val="auto"/>
        </w:rPr>
      </w:pPr>
      <w:r>
        <w:rPr>
          <w:rFonts w:ascii="Courier New" w:cs="Courier New" w:eastAsia="Courier New" w:hAnsi="Courier New"/>
          <w:sz w:val="14"/>
          <w:szCs w:val="14"/>
          <w:color w:val="auto"/>
        </w:rPr>
        <w:t>The fair value of each option share on the date of grant under SFAS No. 123 was estimated at $19.08 using the average results of Black-Scholes models for the preceding 10 years. The 10-year averages of each assumption used by the Black-Sholes models were: risk-free interest rate of 7.0 percent, dividend yield of 4.2 percent, expected life of seven years and a volatility of 24.7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gridSpan w:val="2"/>
          </w:tcPr>
          <w:p>
            <w:pPr>
              <w:spacing w:after="0"/>
              <w:rPr>
                <w:sz w:val="20"/>
                <w:szCs w:val="20"/>
                <w:color w:val="auto"/>
              </w:rPr>
            </w:pPr>
            <w:r>
              <w:rPr>
                <w:rFonts w:ascii="Courier New" w:cs="Courier New" w:eastAsia="Courier New" w:hAnsi="Courier New"/>
                <w:sz w:val="14"/>
                <w:szCs w:val="14"/>
                <w:color w:val="auto"/>
              </w:rPr>
              <w:t>Note 20. EARNINGS PER SHARE (EPS)</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Basic EPS includes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effects of</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deferrals</w:t>
            </w:r>
          </w:p>
        </w:tc>
        <w:tc>
          <w:tcPr>
            <w:tcW w:w="32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of salary and other  compensation</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300" w:type="dxa"/>
            <w:vAlign w:val="bottom"/>
            <w:gridSpan w:val="6"/>
          </w:tcPr>
          <w:p>
            <w:pPr>
              <w:spacing w:after="0"/>
              <w:rPr>
                <w:sz w:val="20"/>
                <w:szCs w:val="20"/>
                <w:color w:val="auto"/>
              </w:rPr>
            </w:pPr>
            <w:r>
              <w:rPr>
                <w:rFonts w:ascii="Courier New" w:cs="Courier New" w:eastAsia="Courier New" w:hAnsi="Courier New"/>
                <w:sz w:val="14"/>
                <w:szCs w:val="14"/>
                <w:color w:val="auto"/>
              </w:rPr>
              <w:t>awards  that are  invested  in  Chevron  stock  units by  certain  officers  and</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300" w:type="dxa"/>
            <w:vAlign w:val="bottom"/>
            <w:gridSpan w:val="6"/>
          </w:tcPr>
          <w:p>
            <w:pPr>
              <w:spacing w:after="0"/>
              <w:rPr>
                <w:sz w:val="20"/>
                <w:szCs w:val="20"/>
                <w:color w:val="auto"/>
              </w:rPr>
            </w:pPr>
            <w:r>
              <w:rPr>
                <w:rFonts w:ascii="Courier New" w:cs="Courier New" w:eastAsia="Courier New" w:hAnsi="Courier New"/>
                <w:sz w:val="14"/>
                <w:szCs w:val="14"/>
                <w:color w:val="auto"/>
              </w:rPr>
              <w:t>employees of the company. Diluted EPS includes the effects of these deferrals as</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300" w:type="dxa"/>
            <w:vAlign w:val="bottom"/>
            <w:gridSpan w:val="6"/>
          </w:tcPr>
          <w:p>
            <w:pPr>
              <w:spacing w:after="0"/>
              <w:rPr>
                <w:sz w:val="20"/>
                <w:szCs w:val="20"/>
                <w:color w:val="auto"/>
              </w:rPr>
            </w:pPr>
            <w:r>
              <w:rPr>
                <w:rFonts w:ascii="Courier New" w:cs="Courier New" w:eastAsia="Courier New" w:hAnsi="Courier New"/>
                <w:sz w:val="14"/>
                <w:szCs w:val="14"/>
                <w:color w:val="auto"/>
              </w:rPr>
              <w:t>well as the dilutive effects of outstanding stock options awarded under the LTIP</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and  Broad-Based</w:t>
            </w:r>
          </w:p>
        </w:tc>
        <w:tc>
          <w:tcPr>
            <w:tcW w:w="45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Employee Stock Option Program (see Note 19, "Stock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Options").</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300" w:type="dxa"/>
            <w:vAlign w:val="bottom"/>
            <w:gridSpan w:val="6"/>
          </w:tcPr>
          <w:p>
            <w:pPr>
              <w:spacing w:after="0"/>
              <w:rPr>
                <w:sz w:val="20"/>
                <w:szCs w:val="20"/>
                <w:color w:val="auto"/>
              </w:rPr>
            </w:pPr>
            <w:r>
              <w:rPr>
                <w:rFonts w:ascii="Courier New" w:cs="Courier New" w:eastAsia="Courier New" w:hAnsi="Courier New"/>
                <w:sz w:val="14"/>
                <w:szCs w:val="14"/>
                <w:color w:val="auto"/>
              </w:rPr>
              <w:t>The following table sets forth the computation of basic and diluted EPS.</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8"/>
        </w:trPr>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580" w:type="dxa"/>
            <w:vAlign w:val="bottom"/>
          </w:tcPr>
          <w:p>
            <w:pPr>
              <w:spacing w:after="0"/>
              <w:rPr>
                <w:sz w:val="14"/>
                <w:szCs w:val="14"/>
                <w:color w:val="auto"/>
              </w:rPr>
            </w:pPr>
          </w:p>
        </w:tc>
        <w:tc>
          <w:tcPr>
            <w:tcW w:w="95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w:t>
            </w:r>
          </w:p>
        </w:tc>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Per-Share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Per-Share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Shares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Per-Share</w:t>
            </w:r>
          </w:p>
        </w:tc>
      </w:tr>
      <w:tr>
        <w:trPr>
          <w:trHeight w:val="167"/>
        </w:trPr>
        <w:tc>
          <w:tcPr>
            <w:tcW w:w="15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(millions)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(millions)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Amount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(millions)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44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$ 2,070</w:t>
            </w:r>
          </w:p>
        </w:tc>
        <w:tc>
          <w:tcPr>
            <w:tcW w:w="3080" w:type="dxa"/>
            <w:vAlign w:val="bottom"/>
          </w:tcPr>
          <w:p>
            <w:pPr>
              <w:jc w:val="right"/>
              <w:ind w:right="1588"/>
              <w:spacing w:after="0"/>
              <w:rPr>
                <w:sz w:val="20"/>
                <w:szCs w:val="20"/>
                <w:color w:val="auto"/>
              </w:rPr>
            </w:pPr>
            <w:r>
              <w:rPr>
                <w:rFonts w:ascii="Courier New" w:cs="Courier New" w:eastAsia="Courier New" w:hAnsi="Courier New"/>
                <w:sz w:val="14"/>
                <w:szCs w:val="14"/>
                <w:color w:val="auto"/>
              </w:rPr>
              <w:t>$ 1,339</w:t>
            </w:r>
          </w:p>
        </w:tc>
        <w:tc>
          <w:tcPr>
            <w:tcW w:w="22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$ 3,256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Weighted-average common</w:t>
            </w:r>
          </w:p>
        </w:tc>
        <w:tc>
          <w:tcPr>
            <w:tcW w:w="2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shares outstanding</w:t>
            </w:r>
          </w:p>
        </w:tc>
        <w:tc>
          <w:tcPr>
            <w:tcW w:w="244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655.5</w:t>
            </w:r>
          </w:p>
        </w:tc>
        <w:tc>
          <w:tcPr>
            <w:tcW w:w="3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653.7</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655.0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Dividend equivalents paid</w:t>
            </w:r>
          </w:p>
        </w:tc>
        <w:tc>
          <w:tcPr>
            <w:tcW w:w="2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on Chevron stock units</w:t>
            </w:r>
          </w:p>
        </w:tc>
        <w:tc>
          <w:tcPr>
            <w:tcW w:w="244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3</w:t>
            </w:r>
          </w:p>
        </w:tc>
        <w:tc>
          <w:tcPr>
            <w:tcW w:w="3080" w:type="dxa"/>
            <w:vAlign w:val="bottom"/>
          </w:tcPr>
          <w:p>
            <w:pPr>
              <w:jc w:val="right"/>
              <w:ind w:right="1588"/>
              <w:spacing w:after="0"/>
              <w:rPr>
                <w:sz w:val="20"/>
                <w:szCs w:val="20"/>
                <w:color w:val="auto"/>
              </w:rPr>
            </w:pPr>
            <w:r>
              <w:rPr>
                <w:rFonts w:ascii="Courier New" w:cs="Courier New" w:eastAsia="Courier New" w:hAnsi="Courier New"/>
                <w:sz w:val="14"/>
                <w:szCs w:val="14"/>
                <w:color w:val="auto"/>
              </w:rPr>
              <w:t>3</w:t>
            </w:r>
          </w:p>
        </w:tc>
        <w:tc>
          <w:tcPr>
            <w:tcW w:w="22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Deferred awards held</w:t>
            </w:r>
          </w:p>
        </w:tc>
        <w:tc>
          <w:tcPr>
            <w:tcW w:w="2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as Chevron stock units</w:t>
            </w:r>
          </w:p>
        </w:tc>
        <w:tc>
          <w:tcPr>
            <w:tcW w:w="244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1.0</w:t>
            </w:r>
          </w:p>
        </w:tc>
        <w:tc>
          <w:tcPr>
            <w:tcW w:w="3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BASIC EPS COMPUTATION</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$ 2,073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656.5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$ 1,342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654.9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$ 3,258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Dilutive effects of</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stock options</w:t>
            </w:r>
          </w:p>
        </w:tc>
        <w:tc>
          <w:tcPr>
            <w:tcW w:w="11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DILUTED EPS COMPUTATION   $ 2,073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$ 1,342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657.1</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$ 3,258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300"/>
          </w:cols>
          <w:pgMar w:left="300" w:top="954" w:right="29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Note 21.OTHER CONTINGENCIES AND COMMITMENTS</w:t>
      </w:r>
    </w:p>
    <w:p>
      <w:pPr>
        <w:spacing w:after="0" w:line="8"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The U.S. federal income tax and California franchise tax liabilities of the company have been settled through 1990 and 1991, respectively.</w:t>
      </w:r>
    </w:p>
    <w:p>
      <w:pPr>
        <w:spacing w:after="0" w:line="160"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Settlement of open tax years, as well as tax issues in other countries where the company conducts its businesses, is not expected to have a material effect on the consolidated financial position or liquidity of the company and, in the opinion of management, adequate provision has been made for income and franchise taxes for all years under examination or subject to future examination.</w:t>
      </w:r>
    </w:p>
    <w:p>
      <w:pPr>
        <w:spacing w:after="0" w:line="162"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At December 31, 1999, the company and its subsidiaries, as direct or indirect guarantors, had contingent liabilities of $25 for notes of affiliated companies and $362 for notes of others.</w:t>
      </w:r>
    </w:p>
    <w:p>
      <w:pPr>
        <w:spacing w:after="0" w:line="16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and its subsidiaries have certain contingent liabilities relating to long-term unconditional purchase obligations and commitments, throughput agreements and take-or-pay agreements, some of which relate to suppliers' financing arrangements. The aggregate amounts of required payments under these various commitments are: 2000-$228; 2001-$297; 2002-$270; 2003-$253; 2004-$225; 2005 and after-$1,029. Total payments under the agreements were $258 in 1999, $201 in 1998 and $243 in 1997.</w:t>
      </w:r>
    </w:p>
    <w:p>
      <w:pPr>
        <w:spacing w:after="0" w:line="165"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The company is subject to loss contingencies pursuant to environmental laws and regulations that in the future may require the company to take action to correct or ameliorate the effects on the environment of prior disposal or release of chemical or petroleum substances, including MTBE, by the company or other parties. Such contingencies may exist for various sites including, but not limited to: Superfund sites and refineries, oil fields, service stations, terminals, and land development areas, whether operating, closed or sold. The amount of such future cost is indeterminable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 While the company has provided for known environmental obligations that are probable and reasonably estimable, the amount of future costs may be material to results of operations in the period in which they are recognized. The company does not expect these costs to have a material effect on its consolidated financial position or liquidity. Also, the company does not believe its obligations to make such expenditures have had, or will have, any significant impact on the company's competitive position relative to other domestic or international petroleum or chemical concerns.</w:t>
      </w:r>
    </w:p>
    <w:p>
      <w:pPr>
        <w:spacing w:after="0" w:line="340"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The company believes it has no material market or credit risks to its operations, financial position or liquidity as a result of its commodities and other derivatives activities. However, the results of operations and financial position of certain equity affiliates may be affected by their business activities involving the use of derivative instruments.</w:t>
      </w:r>
    </w:p>
    <w:p>
      <w:pPr>
        <w:spacing w:after="0" w:line="16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company's operations, particularly oil and gas exploration and production, can be affected by changing economic, regulatory and political environments in the various countries, including the United States, in which it operates. In certain locations, host governments have imposed restrictions, controls and taxes, and in others, political conditions have existed that may threaten the safety of employees and the company's continued presence in those countries. Internal unrest or strained relations between a host government and the company or other governments may affect the company's operations. Those developments have, at times, significantly affected the company's operations and related results and are carefully considered by management when evaluating the level of current and future activity in such countries.</w:t>
      </w:r>
    </w:p>
    <w:p>
      <w:pPr>
        <w:spacing w:after="0" w:line="163"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Areas in which the company has significant operations include the United States, Canada, Australia, United Kingdom, Norway, Congo, Angola, Nigeria, Democratic Republic of Congo, Papua New Guinea, China, Indonesia, Venezuela, Thailand and Argentina. The company's Caltex affiliates have significant operations in Indonesia, Korea, Australia, Thailand, the Philippines, Singapore and South Africa. The company's Tengizchevroil affiliate operates in Kazakhstan.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22.EMPLOYEE TERMINATION BENEFITS AND OTHER RESTRUCTURING COSTS</w:t>
      </w:r>
    </w:p>
    <w:p>
      <w:pPr>
        <w:spacing w:after="0" w:line="8"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company recorded before-tax charges to income of $235 in 1999 for employee termination benefits and other restructuring costs as part of a companywide staff reduction program. The charge includes severance and other termination benefits of $220 for 3,472 employees and $82 for employee and office relocation, lease termination penalties, and other items. These charges were offset partly by $67 of restructuring-related net pension settlement/curtailment gains for payments made to terminated employees.</w:t>
      </w:r>
    </w:p>
    <w:p>
      <w:pPr>
        <w:spacing w:after="0" w:line="16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The staff reduction program affects primarily U.S.-based employees and is being implemented in all of the company's operating segments across several business functions. All identified employees will be separated by June 30, 2000. Termination benefits for 3,070 of the 3,472 employees - accrued in accordance with SFAS No. 88, "Employers' Accounting for Settlements and Curtailments of Defined Benefit Plans and for Termination Benefits" - are payable from the assets of the company's U.S. and Canadian pension plans. Payments to other employees are from company funds. Accrual and payment activity for the employee termination benefits is presented in the following table.</w:t>
      </w:r>
    </w:p>
    <w:p>
      <w:pPr>
        <w:spacing w:after="0" w:line="200" w:lineRule="exact"/>
        <w:rPr>
          <w:sz w:val="20"/>
          <w:szCs w:val="20"/>
          <w:color w:val="auto"/>
        </w:rPr>
      </w:pPr>
    </w:p>
    <w:p>
      <w:pPr>
        <w:spacing w:after="0" w:line="298" w:lineRule="exact"/>
        <w:rPr>
          <w:sz w:val="20"/>
          <w:szCs w:val="20"/>
          <w:color w:val="auto"/>
        </w:rPr>
      </w:pPr>
    </w:p>
    <w:p>
      <w:pPr>
        <w:jc w:val="both"/>
        <w:ind w:left="3480"/>
        <w:spacing w:after="0"/>
        <w:tabs>
          <w:tab w:leader="none" w:pos="5360" w:val="left"/>
        </w:tabs>
        <w:rPr>
          <w:sz w:val="20"/>
          <w:szCs w:val="20"/>
          <w:color w:val="auto"/>
        </w:rPr>
      </w:pPr>
      <w:r>
        <w:rPr>
          <w:rFonts w:ascii="Courier New" w:cs="Courier New" w:eastAsia="Courier New" w:hAnsi="Courier New"/>
          <w:sz w:val="14"/>
          <w:szCs w:val="14"/>
          <w:color w:val="auto"/>
        </w:rPr>
        <w:t>Restructuring</w:t>
      </w:r>
      <w:r>
        <w:rPr>
          <w:sz w:val="20"/>
          <w:szCs w:val="20"/>
          <w:color w:val="auto"/>
        </w:rPr>
        <w:tab/>
      </w:r>
      <w:r>
        <w:rPr>
          <w:rFonts w:ascii="Courier New" w:cs="Courier New" w:eastAsia="Courier New" w:hAnsi="Courier New"/>
          <w:sz w:val="14"/>
          <w:szCs w:val="14"/>
          <w:color w:val="auto"/>
        </w:rPr>
        <w:t>Number of</w:t>
      </w:r>
    </w:p>
    <w:p>
      <w:pPr>
        <w:spacing w:after="0" w:line="8" w:lineRule="exact"/>
        <w:rPr>
          <w:sz w:val="20"/>
          <w:szCs w:val="20"/>
          <w:color w:val="auto"/>
        </w:rPr>
      </w:pPr>
    </w:p>
    <w:p>
      <w:pPr>
        <w:jc w:val="both"/>
        <w:ind w:left="3820"/>
        <w:spacing w:after="0"/>
        <w:tabs>
          <w:tab w:leader="none" w:pos="5360" w:val="left"/>
        </w:tabs>
        <w:rPr>
          <w:sz w:val="20"/>
          <w:szCs w:val="20"/>
          <w:color w:val="auto"/>
        </w:rPr>
      </w:pPr>
      <w:r>
        <w:rPr>
          <w:rFonts w:ascii="Courier New" w:cs="Courier New" w:eastAsia="Courier New" w:hAnsi="Courier New"/>
          <w:sz w:val="14"/>
          <w:szCs w:val="14"/>
          <w:color w:val="auto"/>
        </w:rPr>
        <w:t>Liability</w:t>
      </w:r>
      <w:r>
        <w:rPr>
          <w:sz w:val="20"/>
          <w:szCs w:val="20"/>
          <w:color w:val="auto"/>
        </w:rPr>
        <w:tab/>
      </w:r>
      <w:r>
        <w:rPr>
          <w:rFonts w:ascii="Courier New" w:cs="Courier New" w:eastAsia="Courier New" w:hAnsi="Courier New"/>
          <w:sz w:val="14"/>
          <w:szCs w:val="14"/>
          <w:color w:val="auto"/>
        </w:rPr>
        <w:t>Employees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spacing w:after="0"/>
        <w:tabs>
          <w:tab w:leader="none" w:pos="4060" w:val="left"/>
          <w:tab w:leader="none" w:pos="4420" w:val="left"/>
          <w:tab w:leader="none" w:pos="6060" w:val="left"/>
        </w:tabs>
        <w:rPr>
          <w:sz w:val="20"/>
          <w:szCs w:val="20"/>
          <w:color w:val="auto"/>
        </w:rPr>
      </w:pPr>
      <w:r>
        <w:rPr>
          <w:rFonts w:ascii="Courier New" w:cs="Courier New" w:eastAsia="Courier New" w:hAnsi="Courier New"/>
          <w:sz w:val="14"/>
          <w:szCs w:val="14"/>
          <w:color w:val="auto"/>
        </w:rPr>
        <w:t>Balance at December 31, 1998</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159"/>
          </w:cols>
          <w:pgMar w:left="300" w:top="954" w:right="1440" w:bottom="0" w:gutter="0" w:footer="0" w:header="0"/>
        </w:sectPr>
      </w:pPr>
    </w:p>
    <w:bookmarkStart w:id="33" w:name="page34"/>
    <w:bookmarkEnd w:id="33"/>
    <w:tbl>
      <w:tblPr>
        <w:tblLayout w:type="fixed"/>
        <w:tblInd w:w="80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Accruals</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3,472</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17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2,157</w:t>
            </w:r>
          </w:p>
        </w:tc>
      </w:tr>
      <w:tr>
        <w:trPr>
          <w:trHeight w:val="167"/>
        </w:trPr>
        <w:tc>
          <w:tcPr>
            <w:tcW w:w="2680" w:type="dxa"/>
            <w:vAlign w:val="bottom"/>
          </w:tcPr>
          <w:p>
            <w:pPr>
              <w:spacing w:after="0"/>
              <w:rPr>
                <w:sz w:val="14"/>
                <w:szCs w:val="14"/>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at December 31, 1999</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1,315</w:t>
            </w:r>
          </w:p>
        </w:tc>
      </w:tr>
    </w:tbl>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Of the $82 for relocations, lease termination penalties and other costs, approximately 13 percent remained unpaid at the end of 1999. These charges and the restructuring-related pension gains were classified mainly as either "operating expense" or "selling, general and administrative expense." Items are either accrued or recognized as incurred under the guidelines of EITF Issue No. 94-3, "Liability Recognition for Certain Employee Termination Benefits and Other Costs to Exit an Activity (including Certain Costs Incurred in a Restructuring)" or SFAS No. 88, as applicable.</w:t>
      </w:r>
    </w:p>
    <w:p>
      <w:pPr>
        <w:spacing w:after="0" w:line="164"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The company's net income for 1999 also included its $25 share of a restructuring charge recorded by Caltex.</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14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SUPPLEMENTAL INFORMATION ON OIL AND GAS PRODUCING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w:t>
      </w:r>
    </w:p>
    <w:p>
      <w:pPr>
        <w:spacing w:after="0" w:line="175" w:lineRule="exact"/>
        <w:rPr>
          <w:sz w:val="20"/>
          <w:szCs w:val="20"/>
          <w:color w:val="auto"/>
        </w:rPr>
      </w:pPr>
    </w:p>
    <w:p>
      <w:pPr>
        <w:jc w:val="both"/>
        <w:ind w:right="3980"/>
        <w:spacing w:after="0" w:line="252" w:lineRule="auto"/>
        <w:rPr>
          <w:sz w:val="20"/>
          <w:szCs w:val="20"/>
          <w:color w:val="auto"/>
        </w:rPr>
      </w:pPr>
      <w:r>
        <w:rPr>
          <w:rFonts w:ascii="Courier New" w:cs="Courier New" w:eastAsia="Courier New" w:hAnsi="Courier New"/>
          <w:sz w:val="14"/>
          <w:szCs w:val="14"/>
          <w:color w:val="auto"/>
        </w:rPr>
        <w:t>In accordance with Statement of Financial Accounting Standards No. 69, "Disclosures About Oil and Gas Producing Activities" (SFAS No. 69), this section provides supplemental information on oil and gas exploration and producing activities of the company in six separate tables. Tables I through III provide historical cost information pertaining to costs incurred in exploration, property acquisitions and development; capitalized costs; and results of operations. Tables IV through VI present information on the company's estimated net proved reserve quantities, standardized measure of estimated discounted future net cash flows related to proved reserves, and changes in estimated discounted future net cash flows. The Africa geographic area includes activities principally in Nigeria, Angola, Congo and Democratic Republic of Congo. The "Other" geographic category includes activities in Australia, Argentina, the United Kingdom North Sea, Canada, Papua New Guinea, Venezuela, China, Thailand and other countries. Amounts shown for affiliated companies are Chevron's 50 percent equity share in P.T. Caltex Pacific Indonesia (CPI), an exploration and production company operating in Indonesia, and its 45 percent (50 percent prior to April 1997) equity share of Tengizchevroil (TCO), an exploration and production partnership operating in the Republic of Kazakhstan.</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gridSpan w:val="5"/>
          </w:tcPr>
          <w:p>
            <w:pPr>
              <w:spacing w:after="0"/>
              <w:rPr>
                <w:sz w:val="20"/>
                <w:szCs w:val="20"/>
                <w:color w:val="auto"/>
              </w:rPr>
            </w:pPr>
            <w:r>
              <w:rPr>
                <w:rFonts w:ascii="Courier New" w:cs="Courier New" w:eastAsia="Courier New" w:hAnsi="Courier New"/>
                <w:sz w:val="14"/>
                <w:szCs w:val="14"/>
                <w:color w:val="auto"/>
              </w:rPr>
              <w:t>TABLE I - COSTS INCURRED IN EXPLORATION, PROPERTY ACQUISITIONS AND DEVELOPMENT(1)</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3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Consolidated Companies</w:t>
            </w:r>
          </w:p>
        </w:tc>
        <w:tc>
          <w:tcPr>
            <w:tcW w:w="2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Affiliated Companies</w:t>
            </w:r>
          </w:p>
        </w:tc>
        <w:tc>
          <w:tcPr>
            <w:tcW w:w="1040" w:type="dxa"/>
            <w:vAlign w:val="bottom"/>
          </w:tcPr>
          <w:p>
            <w:pPr>
              <w:spacing w:after="0"/>
              <w:rPr>
                <w:sz w:val="24"/>
                <w:szCs w:val="2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U.S.</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Africa</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Other</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CPI</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TCO</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3140" w:type="dxa"/>
            <w:vAlign w:val="bottom"/>
          </w:tcPr>
          <w:p>
            <w:pPr>
              <w:spacing w:after="0"/>
              <w:rPr>
                <w:sz w:val="14"/>
                <w:szCs w:val="14"/>
                <w:color w:val="auto"/>
              </w:rPr>
            </w:pPr>
          </w:p>
        </w:tc>
        <w:tc>
          <w:tcPr>
            <w:tcW w:w="76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YEAR ENDED DECEMBER 31, 1999</w:t>
            </w: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Exploration</w:t>
            </w: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Wells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$ 40$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418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421</w:t>
            </w: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Geological and geophysical</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Rentals and other</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4500" w:val="left"/>
          <w:tab w:leader="none" w:pos="5620" w:val="left"/>
          <w:tab w:leader="none" w:pos="6160" w:val="left"/>
          <w:tab w:leader="none" w:pos="6940" w:val="left"/>
          <w:tab w:leader="none" w:pos="8500" w:val="left"/>
          <w:tab w:leader="none" w:pos="9360" w:val="left"/>
          <w:tab w:leader="none" w:pos="10480" w:val="left"/>
        </w:tabs>
        <w:rPr>
          <w:sz w:val="20"/>
          <w:szCs w:val="20"/>
          <w:color w:val="auto"/>
        </w:rPr>
      </w:pPr>
      <w:r>
        <w:rPr>
          <w:rFonts w:ascii="Courier New" w:cs="Courier New" w:eastAsia="Courier New" w:hAnsi="Courier New"/>
          <w:sz w:val="14"/>
          <w:szCs w:val="14"/>
          <w:color w:val="auto"/>
        </w:rPr>
        <w:t>Total exploration</w:t>
      </w:r>
      <w:r>
        <w:rPr>
          <w:sz w:val="20"/>
          <w:szCs w:val="20"/>
          <w:color w:val="auto"/>
        </w:rPr>
        <w:tab/>
      </w: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265</w:t>
      </w:r>
      <w:r>
        <w:rPr>
          <w:sz w:val="20"/>
          <w:szCs w:val="20"/>
          <w:color w:val="auto"/>
        </w:rPr>
        <w:tab/>
      </w:r>
      <w:r>
        <w:rPr>
          <w:rFonts w:ascii="Courier New" w:cs="Courier New" w:eastAsia="Courier New" w:hAnsi="Courier New"/>
          <w:sz w:val="14"/>
          <w:szCs w:val="14"/>
          <w:color w:val="auto"/>
        </w:rPr>
        <w:t>662</w:t>
      </w:r>
      <w:r>
        <w:rPr>
          <w:sz w:val="20"/>
          <w:szCs w:val="20"/>
          <w:color w:val="auto"/>
        </w:rPr>
        <w:tab/>
      </w:r>
      <w:r>
        <w:rPr>
          <w:rFonts w:ascii="Courier New" w:cs="Courier New" w:eastAsia="Courier New" w:hAnsi="Courier New"/>
          <w:sz w:val="14"/>
          <w:szCs w:val="14"/>
          <w:color w:val="auto"/>
        </w:rPr>
        <w:t>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682</w:t>
      </w:r>
    </w:p>
    <w:p>
      <w:pPr>
        <w:spacing w:after="0" w:line="8" w:lineRule="exact"/>
        <w:rPr>
          <w:sz w:val="20"/>
          <w:szCs w:val="20"/>
          <w:color w:val="auto"/>
        </w:rPr>
      </w:pPr>
    </w:p>
    <w:p>
      <w:pPr>
        <w:ind w:left="180" w:hanging="171"/>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acquisitions(2),(3)</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Proved(4)</w:t>
            </w:r>
          </w:p>
        </w:tc>
        <w:tc>
          <w:tcPr>
            <w:tcW w:w="2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1,070</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1,079</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Unproved</w:t>
            </w:r>
          </w:p>
        </w:tc>
        <w:tc>
          <w:tcPr>
            <w:tcW w:w="2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1,202</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1,240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property acquisitions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2,272</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2,319</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gridSpan w:val="3"/>
          </w:tcPr>
          <w:p>
            <w:pPr>
              <w:spacing w:after="0"/>
              <w:rPr>
                <w:sz w:val="20"/>
                <w:szCs w:val="20"/>
                <w:color w:val="auto"/>
              </w:rPr>
            </w:pPr>
            <w:r>
              <w:rPr>
                <w:rFonts w:ascii="Courier New" w:cs="Courier New" w:eastAsia="Courier New" w:hAnsi="Courier New"/>
                <w:sz w:val="14"/>
                <w:szCs w:val="14"/>
                <w:color w:val="auto"/>
              </w:rPr>
              <w:t>Development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375</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COSTS INCURRED</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$ 601</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$2,912</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$4,406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ENDED DECEMBER 31, 1998</w:t>
            </w: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Exploration</w:t>
            </w: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Wells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$ 108</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559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562</w:t>
            </w: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Geological and geophysical</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Rentals and other</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4500" w:val="left"/>
          <w:tab w:leader="none" w:pos="5540" w:val="left"/>
          <w:tab w:leader="none" w:pos="6160" w:val="left"/>
          <w:tab w:leader="none" w:pos="6940" w:val="left"/>
          <w:tab w:leader="none" w:pos="8500" w:val="left"/>
          <w:tab w:leader="none" w:pos="9360" w:val="left"/>
          <w:tab w:leader="none" w:pos="10480" w:val="left"/>
        </w:tabs>
        <w:rPr>
          <w:sz w:val="20"/>
          <w:szCs w:val="20"/>
          <w:color w:val="auto"/>
        </w:rPr>
      </w:pPr>
      <w:r>
        <w:rPr>
          <w:rFonts w:ascii="Courier New" w:cs="Courier New" w:eastAsia="Courier New" w:hAnsi="Courier New"/>
          <w:sz w:val="14"/>
          <w:szCs w:val="14"/>
          <w:color w:val="auto"/>
        </w:rPr>
        <w:t>Total exploration</w:t>
      </w:r>
      <w:r>
        <w:rPr>
          <w:sz w:val="20"/>
          <w:szCs w:val="20"/>
          <w:color w:val="auto"/>
        </w:rPr>
        <w:tab/>
      </w:r>
      <w:r>
        <w:rPr>
          <w:rFonts w:ascii="Courier New" w:cs="Courier New" w:eastAsia="Courier New" w:hAnsi="Courier New"/>
          <w:sz w:val="14"/>
          <w:szCs w:val="14"/>
          <w:color w:val="auto"/>
        </w:rPr>
        <w:t>443</w:t>
      </w:r>
      <w:r>
        <w:rPr>
          <w:sz w:val="20"/>
          <w:szCs w:val="20"/>
          <w:color w:val="auto"/>
        </w:rPr>
        <w:tab/>
      </w:r>
      <w:r>
        <w:rPr>
          <w:rFonts w:ascii="Courier New" w:cs="Courier New" w:eastAsia="Courier New" w:hAnsi="Courier New"/>
          <w:sz w:val="14"/>
          <w:szCs w:val="14"/>
          <w:color w:val="auto"/>
        </w:rPr>
        <w:t>162</w:t>
      </w:r>
      <w:r>
        <w:rPr>
          <w:sz w:val="20"/>
          <w:szCs w:val="20"/>
          <w:color w:val="auto"/>
        </w:rPr>
        <w:tab/>
      </w:r>
      <w:r>
        <w:rPr>
          <w:rFonts w:ascii="Courier New" w:cs="Courier New" w:eastAsia="Courier New" w:hAnsi="Courier New"/>
          <w:sz w:val="14"/>
          <w:szCs w:val="14"/>
          <w:color w:val="auto"/>
        </w:rPr>
        <w:t>266</w:t>
      </w:r>
      <w:r>
        <w:rPr>
          <w:sz w:val="20"/>
          <w:szCs w:val="20"/>
          <w:color w:val="auto"/>
        </w:rPr>
        <w:tab/>
      </w:r>
      <w:r>
        <w:rPr>
          <w:rFonts w:ascii="Courier New" w:cs="Courier New" w:eastAsia="Courier New" w:hAnsi="Courier New"/>
          <w:sz w:val="14"/>
          <w:szCs w:val="14"/>
          <w:color w:val="auto"/>
        </w:rPr>
        <w:t>871</w:t>
      </w:r>
      <w:r>
        <w:rPr>
          <w:sz w:val="20"/>
          <w:szCs w:val="20"/>
          <w:color w:val="auto"/>
        </w:rPr>
        <w:tab/>
      </w: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890</w:t>
      </w:r>
    </w:p>
    <w:p>
      <w:pPr>
        <w:spacing w:after="0" w:line="8" w:lineRule="exact"/>
        <w:rPr>
          <w:sz w:val="20"/>
          <w:szCs w:val="20"/>
          <w:color w:val="auto"/>
        </w:rPr>
      </w:pPr>
    </w:p>
    <w:p>
      <w:pPr>
        <w:ind w:left="180" w:hanging="171"/>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acquisitions(2)</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Proved(4)</w:t>
            </w:r>
          </w:p>
        </w:tc>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Unproved</w:t>
            </w:r>
          </w:p>
        </w:tc>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property acquisitions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gridSpan w:val="3"/>
          </w:tcPr>
          <w:p>
            <w:pPr>
              <w:spacing w:after="0"/>
              <w:rPr>
                <w:sz w:val="20"/>
                <w:szCs w:val="20"/>
                <w:color w:val="auto"/>
              </w:rPr>
            </w:pPr>
            <w:r>
              <w:rPr>
                <w:rFonts w:ascii="Courier New" w:cs="Courier New" w:eastAsia="Courier New" w:hAnsi="Courier New"/>
                <w:sz w:val="14"/>
                <w:szCs w:val="14"/>
                <w:color w:val="auto"/>
              </w:rPr>
              <w:t>Development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561</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1,652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COSTS INCURRED</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$ 723</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ENDED DECEMBER 31, 1997</w:t>
            </w: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Exploration</w:t>
            </w: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Wells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99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526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528</w:t>
            </w: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Geological and geophysical</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Rentals and other</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4500" w:val="left"/>
          <w:tab w:leader="none" w:pos="5540" w:val="left"/>
          <w:tab w:leader="none" w:pos="6160" w:val="left"/>
          <w:tab w:leader="none" w:pos="6940" w:val="left"/>
          <w:tab w:leader="none" w:pos="8500" w:val="left"/>
          <w:tab w:leader="none" w:pos="9360" w:val="left"/>
          <w:tab w:leader="none" w:pos="10480" w:val="left"/>
        </w:tabs>
        <w:rPr>
          <w:sz w:val="20"/>
          <w:szCs w:val="20"/>
          <w:color w:val="auto"/>
        </w:rPr>
      </w:pPr>
      <w:r>
        <w:rPr>
          <w:rFonts w:ascii="Courier New" w:cs="Courier New" w:eastAsia="Courier New" w:hAnsi="Courier New"/>
          <w:sz w:val="14"/>
          <w:szCs w:val="14"/>
          <w:color w:val="auto"/>
        </w:rPr>
        <w:t>Total exploration</w:t>
      </w:r>
      <w:r>
        <w:rPr>
          <w:sz w:val="20"/>
          <w:szCs w:val="20"/>
          <w:color w:val="auto"/>
        </w:rPr>
        <w:tab/>
      </w:r>
      <w:r>
        <w:rPr>
          <w:rFonts w:ascii="Courier New" w:cs="Courier New" w:eastAsia="Courier New" w:hAnsi="Courier New"/>
          <w:sz w:val="14"/>
          <w:szCs w:val="14"/>
          <w:color w:val="auto"/>
        </w:rPr>
        <w:t>360</w:t>
      </w:r>
      <w:r>
        <w:rPr>
          <w:sz w:val="20"/>
          <w:szCs w:val="20"/>
          <w:color w:val="auto"/>
        </w:rPr>
        <w:tab/>
      </w:r>
      <w:r>
        <w:rPr>
          <w:rFonts w:ascii="Courier New" w:cs="Courier New" w:eastAsia="Courier New" w:hAnsi="Courier New"/>
          <w:sz w:val="14"/>
          <w:szCs w:val="14"/>
          <w:color w:val="auto"/>
        </w:rPr>
        <w:t>147</w:t>
      </w:r>
      <w:r>
        <w:rPr>
          <w:sz w:val="20"/>
          <w:szCs w:val="20"/>
          <w:color w:val="auto"/>
        </w:rPr>
        <w:tab/>
      </w:r>
      <w:r>
        <w:rPr>
          <w:rFonts w:ascii="Courier New" w:cs="Courier New" w:eastAsia="Courier New" w:hAnsi="Courier New"/>
          <w:sz w:val="14"/>
          <w:szCs w:val="14"/>
          <w:color w:val="auto"/>
        </w:rPr>
        <w:t>273</w:t>
      </w:r>
      <w:r>
        <w:rPr>
          <w:sz w:val="20"/>
          <w:szCs w:val="20"/>
          <w:color w:val="auto"/>
        </w:rPr>
        <w:tab/>
      </w:r>
      <w:r>
        <w:rPr>
          <w:rFonts w:ascii="Courier New" w:cs="Courier New" w:eastAsia="Courier New" w:hAnsi="Courier New"/>
          <w:sz w:val="14"/>
          <w:szCs w:val="14"/>
          <w:color w:val="auto"/>
        </w:rPr>
        <w:t>780</w:t>
      </w:r>
      <w:r>
        <w:rPr>
          <w:sz w:val="20"/>
          <w:szCs w:val="20"/>
          <w:color w:val="auto"/>
        </w:rPr>
        <w:tab/>
      </w: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798</w:t>
      </w:r>
    </w:p>
    <w:p>
      <w:pPr>
        <w:spacing w:after="0" w:line="8" w:lineRule="exact"/>
        <w:rPr>
          <w:sz w:val="20"/>
          <w:szCs w:val="20"/>
          <w:color w:val="auto"/>
        </w:rPr>
      </w:pPr>
    </w:p>
    <w:p>
      <w:pPr>
        <w:ind w:left="180" w:hanging="171"/>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acquisitions(2)</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Proved(4)</w:t>
            </w:r>
          </w:p>
        </w:tc>
        <w:tc>
          <w:tcPr>
            <w:tcW w:w="2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Unproved</w:t>
            </w:r>
          </w:p>
        </w:tc>
        <w:tc>
          <w:tcPr>
            <w:tcW w:w="2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property acquisitions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gridSpan w:val="3"/>
          </w:tcPr>
          <w:p>
            <w:pPr>
              <w:spacing w:after="0"/>
              <w:rPr>
                <w:sz w:val="20"/>
                <w:szCs w:val="20"/>
                <w:color w:val="auto"/>
              </w:rPr>
            </w:pPr>
            <w:r>
              <w:rPr>
                <w:rFonts w:ascii="Courier New" w:cs="Courier New" w:eastAsia="Courier New" w:hAnsi="Courier New"/>
                <w:sz w:val="14"/>
                <w:szCs w:val="14"/>
                <w:color w:val="auto"/>
              </w:rPr>
              <w:t>Development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461</w:t>
            </w:r>
          </w:p>
        </w:tc>
        <w:tc>
          <w:tcPr>
            <w:tcW w:w="2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529</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1,908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2,219</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COSTS INCURRED</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$ 614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$2,896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980" w:firstLine="9"/>
        <w:spacing w:after="0" w:line="252" w:lineRule="auto"/>
        <w:tabs>
          <w:tab w:leader="none" w:pos="34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costs incurred whether capitalized or charged to earnings. Excludes support equipment expenditures.</w:t>
      </w:r>
    </w:p>
    <w:p>
      <w:pPr>
        <w:ind w:right="3980" w:firstLine="9"/>
        <w:spacing w:after="0" w:line="252" w:lineRule="auto"/>
        <w:tabs>
          <w:tab w:leader="none" w:pos="34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Proved amounts include wells, equipment and facilities associated with proved reserves.</w:t>
      </w:r>
    </w:p>
    <w:p>
      <w:pPr>
        <w:ind w:right="3980" w:firstLine="9"/>
        <w:spacing w:after="0" w:line="252" w:lineRule="auto"/>
        <w:tabs>
          <w:tab w:leader="none" w:pos="34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acquisition costs and related deferred income taxes for purchases of Rutherford-Moran Oil Corporation and Petrolera Argentina San Jorge S.A.</w:t>
      </w:r>
    </w:p>
    <w:p>
      <w:pPr>
        <w:ind w:left="360" w:hanging="351"/>
        <w:spacing w:after="0"/>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properties acquired through property exchanges.</w:t>
      </w:r>
    </w:p>
    <w:p>
      <w:pPr>
        <w:sectPr>
          <w:pgSz w:w="11900" w:h="16838" w:orient="portrait"/>
          <w:cols w:equalWidth="0" w:num="1">
            <w:col w:w="10940"/>
          </w:cols>
          <w:pgMar w:left="300" w:top="954" w:right="659" w:bottom="0" w:gutter="0" w:footer="0" w:header="0"/>
        </w:sectPr>
      </w:pPr>
    </w:p>
    <w:bookmarkStart w:id="35" w:name="page36"/>
    <w:bookmarkEnd w:id="35"/>
    <w:p>
      <w:pPr>
        <w:ind w:left="22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9019"/>
          </w:cols>
          <w:pgMar w:left="1440" w:top="80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TABLE II - CAPITALIZED COSTS RELATED TO OIL AND GAS PRODUCING ACTIVITIES</w:t>
      </w:r>
    </w:p>
    <w:p>
      <w:pPr>
        <w:spacing w:after="0" w:line="175" w:lineRule="exact"/>
        <w:rPr>
          <w:sz w:val="20"/>
          <w:szCs w:val="20"/>
          <w:color w:val="auto"/>
        </w:rPr>
      </w:pPr>
    </w:p>
    <w:p>
      <w:pPr>
        <w:ind w:left="5560"/>
        <w:spacing w:after="0"/>
        <w:tabs>
          <w:tab w:leader="none" w:pos="7720" w:val="left"/>
        </w:tabs>
        <w:rPr>
          <w:sz w:val="20"/>
          <w:szCs w:val="20"/>
          <w:color w:val="auto"/>
        </w:rPr>
      </w:pPr>
      <w:r>
        <w:rPr>
          <w:rFonts w:ascii="Courier New" w:cs="Courier New" w:eastAsia="Courier New" w:hAnsi="Courier New"/>
          <w:sz w:val="14"/>
          <w:szCs w:val="14"/>
          <w:color w:val="auto"/>
        </w:rPr>
        <w:t>Consolidated Companies</w:t>
        <w:tab/>
        <w:t>Affiliated Companies</w:t>
      </w:r>
    </w:p>
    <w:p>
      <w:pPr>
        <w:spacing w:after="0" w:line="8" w:lineRule="exact"/>
        <w:rPr>
          <w:sz w:val="20"/>
          <w:szCs w:val="20"/>
          <w:color w:val="auto"/>
        </w:rPr>
      </w:pPr>
    </w:p>
    <w:p>
      <w:pPr>
        <w:ind w:left="4260"/>
        <w:spacing w:after="0"/>
        <w:tabs>
          <w:tab w:leader="none" w:pos="76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tabs>
          <w:tab w:leader="none" w:pos="4580" w:val="left"/>
          <w:tab w:leader="none" w:pos="5200" w:val="left"/>
          <w:tab w:leader="none" w:pos="6160" w:val="left"/>
          <w:tab w:leader="none" w:pos="7020" w:val="left"/>
          <w:tab w:leader="none" w:pos="8320" w:val="left"/>
          <w:tab w:leader="none" w:pos="9180" w:val="left"/>
          <w:tab w:leader="none" w:pos="9880" w:val="left"/>
        </w:tabs>
        <w:rPr>
          <w:sz w:val="20"/>
          <w:szCs w:val="20"/>
          <w:color w:val="auto"/>
        </w:rPr>
      </w:pPr>
      <w:r>
        <w:rPr>
          <w:rFonts w:ascii="Courier New" w:cs="Courier New" w:eastAsia="Courier New" w:hAnsi="Courier New"/>
          <w:sz w:val="14"/>
          <w:szCs w:val="14"/>
          <w:color w:val="auto"/>
        </w:rPr>
        <w:t>Millions of dollars</w:t>
      </w:r>
      <w:r>
        <w:rPr>
          <w:sz w:val="20"/>
          <w:szCs w:val="20"/>
          <w:color w:val="auto"/>
        </w:rPr>
        <w:tab/>
      </w:r>
      <w:r>
        <w:rPr>
          <w:rFonts w:ascii="Courier New" w:cs="Courier New" w:eastAsia="Courier New" w:hAnsi="Courier New"/>
          <w:sz w:val="14"/>
          <w:szCs w:val="14"/>
          <w:color w:val="auto"/>
        </w:rPr>
        <w:t>U.S.</w:t>
        <w:tab/>
        <w:t>Africa</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CPI</w:t>
      </w:r>
      <w:r>
        <w:rPr>
          <w:sz w:val="20"/>
          <w:szCs w:val="20"/>
          <w:color w:val="auto"/>
        </w:rPr>
        <w:tab/>
      </w:r>
      <w:r>
        <w:rPr>
          <w:rFonts w:ascii="Courier New" w:cs="Courier New" w:eastAsia="Courier New" w:hAnsi="Courier New"/>
          <w:sz w:val="14"/>
          <w:szCs w:val="14"/>
          <w:color w:val="auto"/>
        </w:rPr>
        <w:t>TCO</w:t>
      </w:r>
      <w:r>
        <w:rPr>
          <w:sz w:val="20"/>
          <w:szCs w:val="20"/>
          <w:color w:val="auto"/>
        </w:rPr>
        <w:tab/>
      </w:r>
      <w:r>
        <w:rPr>
          <w:rFonts w:ascii="Courier New" w:cs="Courier New" w:eastAsia="Courier New" w:hAnsi="Courier New"/>
          <w:sz w:val="14"/>
          <w:szCs w:val="14"/>
          <w:color w:val="auto"/>
        </w:rPr>
        <w:t>Worldwide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AT DECEMBER 31, 1999</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Unproved properties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$ 1,441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$ 1,827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$ 2,205</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Proved properties and related producing assets</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16,662</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7,318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28,014</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29,861</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Support equipment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478</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1,067</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902</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2,212</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exploratory wells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374</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374</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uncompleted projects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354</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1,776</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CAPITALIZED COSTS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17,947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9,810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33,058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2,395</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37,168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rPr>
              <w:t>Unproved properties</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343</w:t>
            </w:r>
          </w:p>
        </w:tc>
      </w:tr>
      <w:tr>
        <w:trPr>
          <w:trHeight w:val="167"/>
        </w:trPr>
        <w:tc>
          <w:tcPr>
            <w:tcW w:w="4180" w:type="dxa"/>
            <w:vAlign w:val="bottom"/>
            <w:gridSpan w:val="4"/>
          </w:tcPr>
          <w:p>
            <w:pPr>
              <w:spacing w:after="0"/>
              <w:rPr>
                <w:sz w:val="20"/>
                <w:szCs w:val="20"/>
                <w:color w:val="auto"/>
              </w:rPr>
            </w:pPr>
            <w:r>
              <w:rPr>
                <w:rFonts w:ascii="Courier New" w:cs="Courier New" w:eastAsia="Courier New" w:hAnsi="Courier New"/>
                <w:sz w:val="14"/>
                <w:szCs w:val="14"/>
                <w:color w:val="auto"/>
              </w:rPr>
              <w:t>Proved producing properties -</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Depreciation and</w:t>
            </w: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depletion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11,953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17,017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681</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17,797</w:t>
            </w:r>
          </w:p>
        </w:tc>
      </w:tr>
      <w:tr>
        <w:trPr>
          <w:trHeight w:val="167"/>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Future</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abandonment</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and restoration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1,484</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Support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equipment</w:t>
            </w: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depreciation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provisions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13,238</w:t>
            </w:r>
          </w:p>
        </w:tc>
        <w:tc>
          <w:tcPr>
            <w:tcW w:w="8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2,521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3,578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19,337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1,217</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20,743</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NET CAPITALIZED COSTS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$ 4,709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$ 2,780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$ 6,232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$13,721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$ 1,178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$ 1,526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$16,425</w:t>
            </w:r>
          </w:p>
        </w:tc>
      </w:tr>
    </w:tbl>
    <w:p>
      <w:pPr>
        <w:spacing w:after="0" w:line="4"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4"/>
          <w:szCs w:val="14"/>
          <w:color w:val="auto"/>
        </w:rPr>
        <w:t>=========================================================================================================================== AT DECEMBER 31,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Unproved properties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$ 1,061</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Proved properties and related producing assets</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16,759</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3,672</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6,253</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26,684</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1,015</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28,328</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Support equipment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1,961</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exploratory wells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uncompleted projects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700</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893</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1,976</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CAPITALIZED COSTS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18,372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30,497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rPr>
              <w:t>Unproved properties</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7"/>
        </w:trPr>
        <w:tc>
          <w:tcPr>
            <w:tcW w:w="4180" w:type="dxa"/>
            <w:vAlign w:val="bottom"/>
            <w:gridSpan w:val="4"/>
          </w:tcPr>
          <w:p>
            <w:pPr>
              <w:spacing w:after="0"/>
              <w:rPr>
                <w:sz w:val="20"/>
                <w:szCs w:val="20"/>
                <w:color w:val="auto"/>
              </w:rPr>
            </w:pPr>
            <w:r>
              <w:rPr>
                <w:rFonts w:ascii="Courier New" w:cs="Courier New" w:eastAsia="Courier New" w:hAnsi="Courier New"/>
                <w:sz w:val="14"/>
                <w:szCs w:val="14"/>
                <w:color w:val="auto"/>
              </w:rPr>
              <w:t>Proved producing properties -</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Depreciation and</w:t>
            </w: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depletion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11,808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16,232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689</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16,993</w:t>
            </w:r>
          </w:p>
        </w:tc>
      </w:tr>
      <w:tr>
        <w:trPr>
          <w:trHeight w:val="167"/>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Future</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abandonment</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and restoration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1,385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1,450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Support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equipment</w:t>
            </w: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depreciation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provisions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13,135</w:t>
            </w:r>
          </w:p>
        </w:tc>
        <w:tc>
          <w:tcPr>
            <w:tcW w:w="8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2,195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18,459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1,119</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19,725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NET CAPITALIZED COSTS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$ 5,237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$ 2,661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$ 4,140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$12,038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$ 1,072</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$ 1,337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AT DECEMBER 31, 1997</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Unproved properties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$ 1,042</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Proved properties and related producing assets</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16,284</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3,303</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5,644</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25,231</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1,112</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26,834</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Support equipment ............................</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503</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209</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1,022</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1,809</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exploratory wells ...................</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uncompleted projects ...................</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826</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549</w:t>
            </w:r>
          </w:p>
        </w:tc>
        <w:tc>
          <w:tcPr>
            <w:tcW w:w="2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821</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2,196</w:t>
            </w:r>
          </w:p>
        </w:tc>
        <w:tc>
          <w:tcPr>
            <w:tcW w:w="3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338</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CAPITALIZED COSTS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18,103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7,069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29,337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2,028</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32,596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rPr>
              <w:t>Unproved properties</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7"/>
        </w:trPr>
        <w:tc>
          <w:tcPr>
            <w:tcW w:w="4180" w:type="dxa"/>
            <w:vAlign w:val="bottom"/>
            <w:gridSpan w:val="4"/>
          </w:tcPr>
          <w:p>
            <w:pPr>
              <w:spacing w:after="0"/>
              <w:rPr>
                <w:sz w:val="20"/>
                <w:szCs w:val="20"/>
                <w:color w:val="auto"/>
              </w:rPr>
            </w:pPr>
            <w:r>
              <w:rPr>
                <w:rFonts w:ascii="Courier New" w:cs="Courier New" w:eastAsia="Courier New" w:hAnsi="Courier New"/>
                <w:sz w:val="14"/>
                <w:szCs w:val="14"/>
                <w:color w:val="auto"/>
              </w:rPr>
              <w:t>Proved producing properties -</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Depreciation and</w:t>
            </w: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depletion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11,657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15,637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626</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16,314</w:t>
            </w:r>
          </w:p>
        </w:tc>
      </w:tr>
      <w:tr>
        <w:trPr>
          <w:trHeight w:val="167"/>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Future</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abandonment</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and restoration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1,457</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Support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equipment</w:t>
            </w: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depreciation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provisions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13,051</w:t>
            </w:r>
          </w:p>
        </w:tc>
        <w:tc>
          <w:tcPr>
            <w:tcW w:w="8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1,884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17,861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1,013</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18,984</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8"/>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NET CAPITALIZED COSTS ........................</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$ 5,052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$ 2,281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$ 4,143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$11,476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$ 1,015</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$ 1,121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III - RESULTS OF OPERATIONS FOR OIL AND GAS PRODUCING ACTIVITIES (1)</w:t>
      </w:r>
    </w:p>
    <w:p>
      <w:pPr>
        <w:spacing w:after="0" w:line="175" w:lineRule="exact"/>
        <w:rPr>
          <w:sz w:val="20"/>
          <w:szCs w:val="20"/>
          <w:color w:val="auto"/>
        </w:rPr>
      </w:pPr>
    </w:p>
    <w:p>
      <w:pPr>
        <w:jc w:val="both"/>
        <w:ind w:right="3900"/>
        <w:spacing w:after="0" w:line="258" w:lineRule="auto"/>
        <w:rPr>
          <w:sz w:val="20"/>
          <w:szCs w:val="20"/>
          <w:color w:val="auto"/>
        </w:rPr>
      </w:pPr>
      <w:r>
        <w:rPr>
          <w:rFonts w:ascii="Courier New" w:cs="Courier New" w:eastAsia="Courier New" w:hAnsi="Courier New"/>
          <w:sz w:val="14"/>
          <w:szCs w:val="14"/>
          <w:color w:val="auto"/>
        </w:rPr>
        <w:t>The company's results of operations from oil and gas producing activities for the years 1999, 1998 and 1997 are shown in the following table.</w:t>
      </w:r>
    </w:p>
    <w:p>
      <w:pPr>
        <w:spacing w:after="0" w:line="160" w:lineRule="exact"/>
        <w:rPr>
          <w:sz w:val="20"/>
          <w:szCs w:val="20"/>
          <w:color w:val="auto"/>
        </w:rPr>
      </w:pPr>
    </w:p>
    <w:p>
      <w:pPr>
        <w:jc w:val="both"/>
        <w:ind w:right="3900"/>
        <w:spacing w:after="0" w:line="254" w:lineRule="auto"/>
        <w:rPr>
          <w:sz w:val="20"/>
          <w:szCs w:val="20"/>
          <w:color w:val="auto"/>
        </w:rPr>
      </w:pPr>
      <w:r>
        <w:rPr>
          <w:rFonts w:ascii="Courier New" w:cs="Courier New" w:eastAsia="Courier New" w:hAnsi="Courier New"/>
          <w:sz w:val="14"/>
          <w:szCs w:val="14"/>
          <w:color w:val="auto"/>
        </w:rPr>
        <w:t>Net income from exploration and production activities as reported on page 10 reflects income taxes computed on an effective rate basis. In accordance with SFAS No. 69, income taxes in Table III are based on statutory tax rates, reflecting allowable deductions and tax credits. Interest income and expense is excluded from the results reported in Table III and from the net income amounts on 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860"/>
          </w:cols>
          <w:pgMar w:left="300" w:top="1287" w:right="73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TABLE III - RESULTS OF OPERATIONS FOR OIL AND GAS PRODUCING ACTIVITIES (1) - Continued</w:t>
      </w:r>
    </w:p>
    <w:p>
      <w:pPr>
        <w:spacing w:after="0" w:line="175" w:lineRule="exact"/>
        <w:rPr>
          <w:sz w:val="20"/>
          <w:szCs w:val="20"/>
          <w:color w:val="auto"/>
        </w:rPr>
      </w:pPr>
    </w:p>
    <w:p>
      <w:pPr>
        <w:ind w:left="5480"/>
        <w:spacing w:after="0"/>
        <w:tabs>
          <w:tab w:leader="none" w:pos="7880" w:val="left"/>
        </w:tabs>
        <w:rPr>
          <w:sz w:val="20"/>
          <w:szCs w:val="20"/>
          <w:color w:val="auto"/>
        </w:rPr>
      </w:pPr>
      <w:r>
        <w:rPr>
          <w:rFonts w:ascii="Courier New" w:cs="Courier New" w:eastAsia="Courier New" w:hAnsi="Courier New"/>
          <w:sz w:val="14"/>
          <w:szCs w:val="14"/>
          <w:color w:val="auto"/>
        </w:rPr>
        <w:t>Consolidated Companies</w:t>
      </w:r>
      <w:r>
        <w:rPr>
          <w:sz w:val="20"/>
          <w:szCs w:val="20"/>
          <w:color w:val="auto"/>
        </w:rPr>
        <w:tab/>
      </w:r>
      <w:r>
        <w:rPr>
          <w:rFonts w:ascii="Courier New" w:cs="Courier New" w:eastAsia="Courier New" w:hAnsi="Courier New"/>
          <w:sz w:val="14"/>
          <w:szCs w:val="14"/>
          <w:color w:val="auto"/>
        </w:rPr>
        <w:t>Affiliated Companies</w:t>
      </w:r>
    </w:p>
    <w:p>
      <w:pPr>
        <w:spacing w:after="0" w:line="8" w:lineRule="exact"/>
        <w:rPr>
          <w:sz w:val="20"/>
          <w:szCs w:val="20"/>
          <w:color w:val="auto"/>
        </w:rPr>
      </w:pPr>
    </w:p>
    <w:p>
      <w:pPr>
        <w:ind w:left="3920"/>
        <w:spacing w:after="0"/>
        <w:tabs>
          <w:tab w:leader="none" w:pos="7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160" w:val="left"/>
          <w:tab w:leader="none" w:pos="4940" w:val="left"/>
          <w:tab w:leader="none" w:pos="5980" w:val="left"/>
          <w:tab w:leader="none" w:pos="6940" w:val="left"/>
          <w:tab w:leader="none" w:pos="8060" w:val="left"/>
          <w:tab w:leader="none" w:pos="9360" w:val="left"/>
          <w:tab w:leader="none" w:pos="10320" w:val="left"/>
        </w:tabs>
        <w:rPr>
          <w:sz w:val="20"/>
          <w:szCs w:val="20"/>
          <w:color w:val="auto"/>
        </w:rPr>
      </w:pPr>
      <w:r>
        <w:rPr>
          <w:rFonts w:ascii="Courier New" w:cs="Courier New" w:eastAsia="Courier New" w:hAnsi="Courier New"/>
          <w:sz w:val="14"/>
          <w:szCs w:val="14"/>
          <w:color w:val="auto"/>
        </w:rPr>
        <w:t>Millions of dollars</w:t>
      </w:r>
      <w:r>
        <w:rPr>
          <w:sz w:val="20"/>
          <w:szCs w:val="20"/>
          <w:color w:val="auto"/>
        </w:rPr>
        <w:tab/>
      </w:r>
      <w:r>
        <w:rPr>
          <w:rFonts w:ascii="Courier New" w:cs="Courier New" w:eastAsia="Courier New" w:hAnsi="Courier New"/>
          <w:sz w:val="14"/>
          <w:szCs w:val="14"/>
          <w:color w:val="auto"/>
        </w:rPr>
        <w:t>U.S.</w:t>
      </w:r>
      <w:r>
        <w:rPr>
          <w:sz w:val="20"/>
          <w:szCs w:val="20"/>
          <w:color w:val="auto"/>
        </w:rPr>
        <w:tab/>
      </w:r>
      <w:r>
        <w:rPr>
          <w:rFonts w:ascii="Courier New" w:cs="Courier New" w:eastAsia="Courier New" w:hAnsi="Courier New"/>
          <w:sz w:val="14"/>
          <w:szCs w:val="14"/>
          <w:color w:val="auto"/>
        </w:rPr>
        <w:t>Africa</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Iotal</w:t>
      </w:r>
      <w:r>
        <w:rPr>
          <w:sz w:val="20"/>
          <w:szCs w:val="20"/>
          <w:color w:val="auto"/>
        </w:rPr>
        <w:tab/>
      </w:r>
      <w:r>
        <w:rPr>
          <w:rFonts w:ascii="Courier New" w:cs="Courier New" w:eastAsia="Courier New" w:hAnsi="Courier New"/>
          <w:sz w:val="14"/>
          <w:szCs w:val="14"/>
          <w:color w:val="auto"/>
        </w:rPr>
        <w:t>CPI</w:t>
      </w:r>
      <w:r>
        <w:rPr>
          <w:sz w:val="20"/>
          <w:szCs w:val="20"/>
          <w:color w:val="auto"/>
        </w:rPr>
        <w:tab/>
      </w:r>
      <w:r>
        <w:rPr>
          <w:rFonts w:ascii="Courier New" w:cs="Courier New" w:eastAsia="Courier New" w:hAnsi="Courier New"/>
          <w:sz w:val="14"/>
          <w:szCs w:val="14"/>
          <w:color w:val="auto"/>
        </w:rPr>
        <w:t>TCO</w:t>
      </w:r>
      <w:r>
        <w:rPr>
          <w:sz w:val="20"/>
          <w:szCs w:val="20"/>
          <w:color w:val="auto"/>
        </w:rPr>
        <w:tab/>
      </w:r>
      <w:r>
        <w:rPr>
          <w:rFonts w:ascii="Courier New" w:cs="Courier New" w:eastAsia="Courier New" w:hAnsi="Courier New"/>
          <w:sz w:val="14"/>
          <w:szCs w:val="14"/>
          <w:color w:val="auto"/>
        </w:rPr>
        <w:t>Worldwide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YEAR ENDED DECEMBER 31, 1999</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Revenues from net production</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80" w:type="dxa"/>
            <w:vAlign w:val="bottom"/>
          </w:tcPr>
          <w:p>
            <w:pPr>
              <w:ind w:left="100"/>
              <w:spacing w:after="0"/>
              <w:rPr>
                <w:sz w:val="20"/>
                <w:szCs w:val="20"/>
                <w:color w:val="auto"/>
              </w:rPr>
            </w:pPr>
            <w:r>
              <w:rPr>
                <w:rFonts w:ascii="Courier New" w:cs="Courier New" w:eastAsia="Courier New" w:hAnsi="Courier New"/>
                <w:sz w:val="14"/>
                <w:szCs w:val="14"/>
                <w:color w:val="auto"/>
              </w:rPr>
              <w:t>Sales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$ 1,449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$ 1,756</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$ 4,620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$ 5,000</w:t>
            </w:r>
          </w:p>
        </w:tc>
      </w:tr>
      <w:tr>
        <w:trPr>
          <w:trHeight w:val="167"/>
        </w:trPr>
        <w:tc>
          <w:tcPr>
            <w:tcW w:w="3780" w:type="dxa"/>
            <w:vAlign w:val="bottom"/>
          </w:tcPr>
          <w:p>
            <w:pPr>
              <w:ind w:left="100"/>
              <w:spacing w:after="0"/>
              <w:rPr>
                <w:sz w:val="20"/>
                <w:szCs w:val="20"/>
                <w:color w:val="auto"/>
              </w:rPr>
            </w:pPr>
            <w:r>
              <w:rPr>
                <w:rFonts w:ascii="Courier New" w:cs="Courier New" w:eastAsia="Courier New" w:hAnsi="Courier New"/>
                <w:sz w:val="14"/>
                <w:szCs w:val="14"/>
                <w:color w:val="auto"/>
              </w:rPr>
              <w:t>Transfers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2,522</w:t>
            </w:r>
          </w:p>
        </w:tc>
        <w:tc>
          <w:tcPr>
            <w:tcW w:w="380" w:type="dxa"/>
            <w:vAlign w:val="bottom"/>
          </w:tcPr>
          <w:p>
            <w:pPr>
              <w:spacing w:after="0"/>
              <w:rPr>
                <w:sz w:val="14"/>
                <w:szCs w:val="14"/>
                <w:color w:val="auto"/>
              </w:rPr>
            </w:pPr>
          </w:p>
        </w:tc>
        <w:tc>
          <w:tcPr>
            <w:tcW w:w="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3,075</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7,142</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8,114</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Production expenses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(1,756)</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(2,050)</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Proved producing properties: depreciation,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depletion and abandonment provision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(1,508)</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(1,664)</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Exploration expenses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(555)</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Unproved properties valuation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income (expense)(2).................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2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3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Results before income taxes .............</w:t>
            </w:r>
          </w:p>
        </w:tc>
        <w:tc>
          <w:tcPr>
            <w:tcW w:w="3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1,249</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2,922</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3,416</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2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expense .......................</w:t>
            </w:r>
          </w:p>
        </w:tc>
        <w:tc>
          <w:tcPr>
            <w:tcW w:w="3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(1,745)</w:t>
            </w:r>
          </w:p>
        </w:tc>
      </w:tr>
      <w:tr>
        <w:trPr>
          <w:trHeight w:val="167"/>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2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RESULTS OF</w:t>
            </w:r>
          </w:p>
        </w:tc>
        <w:tc>
          <w:tcPr>
            <w:tcW w:w="2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PRODUCING OPERATIONS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401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$ 1,383</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139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149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$ 1,671</w:t>
            </w:r>
          </w:p>
        </w:tc>
      </w:tr>
    </w:tbl>
    <w:p>
      <w:pPr>
        <w:spacing w:after="0" w:line="4"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4"/>
          <w:szCs w:val="14"/>
          <w:color w:val="auto"/>
        </w:rPr>
        <w:t>================================================================================================================================ YEAR ENDED DECEMBER 31,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Revenues from net production</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80" w:type="dxa"/>
            <w:vAlign w:val="bottom"/>
          </w:tcPr>
          <w:p>
            <w:pPr>
              <w:ind w:left="100"/>
              <w:spacing w:after="0"/>
              <w:rPr>
                <w:sz w:val="20"/>
                <w:szCs w:val="20"/>
                <w:color w:val="auto"/>
              </w:rPr>
            </w:pPr>
            <w:r>
              <w:rPr>
                <w:rFonts w:ascii="Courier New" w:cs="Courier New" w:eastAsia="Courier New" w:hAnsi="Courier New"/>
                <w:sz w:val="14"/>
                <w:szCs w:val="14"/>
                <w:color w:val="auto"/>
              </w:rPr>
              <w:t>Sales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$ 1,386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$ 1,118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$ 3,261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$ 3,465</w:t>
            </w:r>
          </w:p>
        </w:tc>
      </w:tr>
      <w:tr>
        <w:trPr>
          <w:trHeight w:val="167"/>
        </w:trPr>
        <w:tc>
          <w:tcPr>
            <w:tcW w:w="3780" w:type="dxa"/>
            <w:vAlign w:val="bottom"/>
          </w:tcPr>
          <w:p>
            <w:pPr>
              <w:ind w:left="100"/>
              <w:spacing w:after="0"/>
              <w:rPr>
                <w:sz w:val="20"/>
                <w:szCs w:val="20"/>
                <w:color w:val="auto"/>
              </w:rPr>
            </w:pPr>
            <w:r>
              <w:rPr>
                <w:rFonts w:ascii="Courier New" w:cs="Courier New" w:eastAsia="Courier New" w:hAnsi="Courier New"/>
                <w:sz w:val="14"/>
                <w:szCs w:val="14"/>
                <w:color w:val="auto"/>
              </w:rPr>
              <w:t>Transfers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w:t>
            </w:r>
          </w:p>
        </w:tc>
        <w:tc>
          <w:tcPr>
            <w:tcW w:w="40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1,855</w:t>
            </w:r>
          </w:p>
        </w:tc>
        <w:tc>
          <w:tcPr>
            <w:tcW w:w="380" w:type="dxa"/>
            <w:vAlign w:val="bottom"/>
          </w:tcPr>
          <w:p>
            <w:pPr>
              <w:spacing w:after="0"/>
              <w:rPr>
                <w:sz w:val="14"/>
                <w:szCs w:val="14"/>
                <w:color w:val="auto"/>
              </w:rPr>
            </w:pPr>
          </w:p>
        </w:tc>
        <w:tc>
          <w:tcPr>
            <w:tcW w:w="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5,116</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5,774</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Production expenses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(1,822)</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(2,051)</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Proved producing properties: depreciation,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depletion and abandonment provision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(1,477)</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Exploration expenses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(494)</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Unproved properties valuation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income (expense)(2).................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2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3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Results before income taxes .............</w:t>
            </w:r>
          </w:p>
        </w:tc>
        <w:tc>
          <w:tcPr>
            <w:tcW w:w="3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670</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209</w:t>
            </w:r>
          </w:p>
        </w:tc>
        <w:tc>
          <w:tcPr>
            <w:tcW w:w="5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w:t>
            </w:r>
          </w:p>
        </w:tc>
        <w:tc>
          <w:tcPr>
            <w:tcW w:w="5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1,932</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2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expense .......................</w:t>
            </w:r>
          </w:p>
        </w:tc>
        <w:tc>
          <w:tcPr>
            <w:tcW w:w="3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w:t>
            </w:r>
          </w:p>
        </w:tc>
        <w:tc>
          <w:tcPr>
            <w:tcW w:w="5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w:t>
            </w:r>
          </w:p>
        </w:tc>
        <w:tc>
          <w:tcPr>
            <w:tcW w:w="5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(947)</w:t>
            </w:r>
          </w:p>
        </w:tc>
      </w:tr>
      <w:tr>
        <w:trPr>
          <w:trHeight w:val="167"/>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2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RESULTS OF</w:t>
            </w:r>
          </w:p>
        </w:tc>
        <w:tc>
          <w:tcPr>
            <w:tcW w:w="2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PRODUCING OPERATIONS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342</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841</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107</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YEAR ENDED DECEMBER 31, 1997</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Revenues from net production</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80" w:type="dxa"/>
            <w:vAlign w:val="bottom"/>
          </w:tcPr>
          <w:p>
            <w:pPr>
              <w:ind w:left="100"/>
              <w:spacing w:after="0"/>
              <w:rPr>
                <w:sz w:val="20"/>
                <w:szCs w:val="20"/>
                <w:color w:val="auto"/>
              </w:rPr>
            </w:pPr>
            <w:r>
              <w:rPr>
                <w:rFonts w:ascii="Courier New" w:cs="Courier New" w:eastAsia="Courier New" w:hAnsi="Courier New"/>
                <w:sz w:val="14"/>
                <w:szCs w:val="14"/>
                <w:color w:val="auto"/>
              </w:rPr>
              <w:t>Sales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$ 1,931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$ 1,782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$ 4,612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283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$ 4,938</w:t>
            </w:r>
          </w:p>
        </w:tc>
      </w:tr>
      <w:tr>
        <w:trPr>
          <w:trHeight w:val="167"/>
        </w:trPr>
        <w:tc>
          <w:tcPr>
            <w:tcW w:w="3780" w:type="dxa"/>
            <w:vAlign w:val="bottom"/>
          </w:tcPr>
          <w:p>
            <w:pPr>
              <w:ind w:left="100"/>
              <w:spacing w:after="0"/>
              <w:rPr>
                <w:sz w:val="20"/>
                <w:szCs w:val="20"/>
                <w:color w:val="auto"/>
              </w:rPr>
            </w:pPr>
            <w:r>
              <w:rPr>
                <w:rFonts w:ascii="Courier New" w:cs="Courier New" w:eastAsia="Courier New" w:hAnsi="Courier New"/>
                <w:sz w:val="14"/>
                <w:szCs w:val="14"/>
                <w:color w:val="auto"/>
              </w:rPr>
              <w:t>Transfers ...............................</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w:t>
            </w:r>
          </w:p>
        </w:tc>
        <w:tc>
          <w:tcPr>
            <w:tcW w:w="40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2,728</w:t>
            </w:r>
          </w:p>
        </w:tc>
        <w:tc>
          <w:tcPr>
            <w:tcW w:w="380" w:type="dxa"/>
            <w:vAlign w:val="bottom"/>
          </w:tcPr>
          <w:p>
            <w:pPr>
              <w:spacing w:after="0"/>
              <w:rPr>
                <w:sz w:val="14"/>
                <w:szCs w:val="14"/>
                <w:color w:val="auto"/>
              </w:rPr>
            </w:pPr>
          </w:p>
        </w:tc>
        <w:tc>
          <w:tcPr>
            <w:tcW w:w="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7,340</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8,300</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Production expenses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(1,847)</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(2,123)</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Proved producing properties: depreciation,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depletion and abandonment provision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(1,304)</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(1,471)</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Exploration expenses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(509)</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Unproved properties valuation ............</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3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income (expense)(2).................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237</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2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Results</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before income taxes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1,383</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3,900</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4,398</w:t>
            </w:r>
          </w:p>
        </w:tc>
      </w:tr>
      <w:tr>
        <w:trPr>
          <w:trHeight w:val="167"/>
        </w:trPr>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tax expense ......................</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(939)</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(2,078)</w:t>
            </w:r>
          </w:p>
        </w:tc>
      </w:tr>
      <w:tr>
        <w:trPr>
          <w:trHeight w:val="167"/>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2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RESULTS</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OF PRODUCING OPERATIONS ..........</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$ 1,010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444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$ 2,041</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171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108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4340" w:firstLine="9"/>
        <w:spacing w:after="0" w:line="252" w:lineRule="auto"/>
        <w:tabs>
          <w:tab w:leader="none" w:pos="34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owned production consumed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1" w:lineRule="exact"/>
        <w:rPr>
          <w:rFonts w:ascii="Courier New" w:cs="Courier New" w:eastAsia="Courier New" w:hAnsi="Courier New"/>
          <w:sz w:val="14"/>
          <w:szCs w:val="14"/>
          <w:color w:val="auto"/>
        </w:rPr>
      </w:pPr>
    </w:p>
    <w:p>
      <w:pPr>
        <w:jc w:val="both"/>
        <w:ind w:right="4340" w:firstLine="9"/>
        <w:spacing w:after="0" w:line="253" w:lineRule="auto"/>
        <w:tabs>
          <w:tab w:leader="none" w:pos="43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gas processing fees, net sulfur income, natural gas contract settlements, currency transaction gains and losses, certain significant impairment write-downs, miscellaneous expenses, etc. Also includes net income from related oil and gas activities that do not have oil and gas reserves attributed to them (e.g., equity earnings of Dynegy Inc., net income from technical and operating service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300"/>
          </w:cols>
          <w:pgMar w:left="300" w:top="1287" w:right="29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TABLE III - RESULTS OF OPERATIONS FOR OIL AND GAS PRODUCING ACTIVITIES (1),(2) - Continued</w:t>
      </w:r>
    </w:p>
    <w:p>
      <w:pPr>
        <w:spacing w:after="0" w:line="175" w:lineRule="exact"/>
        <w:rPr>
          <w:sz w:val="20"/>
          <w:szCs w:val="20"/>
          <w:color w:val="auto"/>
        </w:rPr>
      </w:pPr>
    </w:p>
    <w:p>
      <w:pPr>
        <w:ind w:left="6080"/>
        <w:spacing w:after="0"/>
        <w:tabs>
          <w:tab w:leader="none" w:pos="8320" w:val="left"/>
        </w:tabs>
        <w:rPr>
          <w:sz w:val="20"/>
          <w:szCs w:val="20"/>
          <w:color w:val="auto"/>
        </w:rPr>
      </w:pPr>
      <w:r>
        <w:rPr>
          <w:rFonts w:ascii="Courier New" w:cs="Courier New" w:eastAsia="Courier New" w:hAnsi="Courier New"/>
          <w:sz w:val="14"/>
          <w:szCs w:val="14"/>
          <w:color w:val="auto"/>
        </w:rPr>
        <w:t>Consolidated Companies</w:t>
      </w:r>
      <w:r>
        <w:rPr>
          <w:sz w:val="20"/>
          <w:szCs w:val="20"/>
          <w:color w:val="auto"/>
        </w:rPr>
        <w:tab/>
      </w:r>
      <w:r>
        <w:rPr>
          <w:rFonts w:ascii="Courier New" w:cs="Courier New" w:eastAsia="Courier New" w:hAnsi="Courier New"/>
          <w:sz w:val="14"/>
          <w:szCs w:val="14"/>
          <w:color w:val="auto"/>
        </w:rPr>
        <w:t>Affiliated Companies</w:t>
      </w:r>
    </w:p>
    <w:p>
      <w:pPr>
        <w:spacing w:after="0" w:line="8" w:lineRule="exact"/>
        <w:rPr>
          <w:sz w:val="20"/>
          <w:szCs w:val="20"/>
          <w:color w:val="auto"/>
        </w:rPr>
      </w:pPr>
    </w:p>
    <w:p>
      <w:pPr>
        <w:ind w:left="5300"/>
        <w:spacing w:after="0"/>
        <w:tabs>
          <w:tab w:leader="none" w:pos="83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tabs>
          <w:tab w:leader="none" w:pos="5540" w:val="left"/>
          <w:tab w:leader="none" w:pos="6160" w:val="left"/>
          <w:tab w:leader="none" w:pos="6940" w:val="left"/>
          <w:tab w:leader="none" w:pos="7720" w:val="left"/>
          <w:tab w:leader="none" w:pos="8660" w:val="left"/>
          <w:tab w:leader="none" w:pos="9440" w:val="left"/>
          <w:tab w:leader="none" w:pos="10140" w:val="left"/>
        </w:tabs>
        <w:rPr>
          <w:sz w:val="20"/>
          <w:szCs w:val="20"/>
          <w:color w:val="auto"/>
        </w:rPr>
      </w:pPr>
      <w:r>
        <w:rPr>
          <w:rFonts w:ascii="Courier New" w:cs="Courier New" w:eastAsia="Courier New" w:hAnsi="Courier New"/>
          <w:sz w:val="14"/>
          <w:szCs w:val="14"/>
          <w:color w:val="auto"/>
        </w:rPr>
        <w:t>Per-unit average sales price and production cost (1),(2)</w:t>
      </w:r>
      <w:r>
        <w:rPr>
          <w:sz w:val="20"/>
          <w:szCs w:val="20"/>
          <w:color w:val="auto"/>
        </w:rPr>
        <w:tab/>
      </w:r>
      <w:r>
        <w:rPr>
          <w:rFonts w:ascii="Courier New" w:cs="Courier New" w:eastAsia="Courier New" w:hAnsi="Courier New"/>
          <w:sz w:val="14"/>
          <w:szCs w:val="14"/>
          <w:color w:val="auto"/>
        </w:rPr>
        <w:t>U.S.</w:t>
      </w:r>
      <w:r>
        <w:rPr>
          <w:sz w:val="20"/>
          <w:szCs w:val="20"/>
          <w:color w:val="auto"/>
        </w:rPr>
        <w:tab/>
      </w:r>
      <w:r>
        <w:rPr>
          <w:rFonts w:ascii="Courier New" w:cs="Courier New" w:eastAsia="Courier New" w:hAnsi="Courier New"/>
          <w:sz w:val="14"/>
          <w:szCs w:val="14"/>
          <w:color w:val="auto"/>
        </w:rPr>
        <w:t>Africa</w:t>
        <w:tab/>
        <w:t>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CPI</w:t>
      </w:r>
      <w:r>
        <w:rPr>
          <w:sz w:val="20"/>
          <w:szCs w:val="20"/>
          <w:color w:val="auto"/>
        </w:rPr>
        <w:tab/>
      </w:r>
      <w:r>
        <w:rPr>
          <w:rFonts w:ascii="Courier New" w:cs="Courier New" w:eastAsia="Courier New" w:hAnsi="Courier New"/>
          <w:sz w:val="14"/>
          <w:szCs w:val="14"/>
          <w:color w:val="auto"/>
        </w:rPr>
        <w:t>TCO</w:t>
      </w:r>
      <w:r>
        <w:rPr>
          <w:sz w:val="20"/>
          <w:szCs w:val="20"/>
          <w:color w:val="auto"/>
        </w:rPr>
        <w:tab/>
      </w:r>
      <w:r>
        <w:rPr>
          <w:rFonts w:ascii="Courier New" w:cs="Courier New" w:eastAsia="Courier New" w:hAnsi="Courier New"/>
          <w:sz w:val="14"/>
          <w:szCs w:val="14"/>
          <w:color w:val="auto"/>
        </w:rPr>
        <w:t>Worldwide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 1999</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4460" w:type="dxa"/>
            <w:vAlign w:val="bottom"/>
          </w:tcPr>
          <w:p>
            <w:pPr>
              <w:jc w:val="right"/>
              <w:ind w:right="3308"/>
              <w:spacing w:after="0"/>
              <w:rPr>
                <w:sz w:val="20"/>
                <w:szCs w:val="20"/>
                <w:color w:val="auto"/>
              </w:rPr>
            </w:pPr>
            <w:r>
              <w:rPr>
                <w:rFonts w:ascii="Courier New" w:cs="Courier New" w:eastAsia="Courier New" w:hAnsi="Courier New"/>
                <w:sz w:val="14"/>
                <w:szCs w:val="14"/>
                <w:color w:val="auto"/>
              </w:rPr>
              <w:t>sales prices</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Liquids, per barrel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$15.90</w:t>
            </w:r>
          </w:p>
        </w:tc>
      </w:tr>
      <w:tr>
        <w:trPr>
          <w:trHeight w:val="167"/>
        </w:trPr>
        <w:tc>
          <w:tcPr>
            <w:tcW w:w="5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Natural gas, per thousand cubic feet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4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production costs, per barrel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4.47</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bl>
    <w:p>
      <w:pPr>
        <w:spacing w:after="0" w:line="4"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4"/>
          <w:szCs w:val="14"/>
          <w:color w:val="auto"/>
        </w:rPr>
        <w:t>============================================================================================================================== YEAR ENDED DECEMBER 31,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c>
          <w:tcPr>
            <w:tcW w:w="3940" w:type="dxa"/>
            <w:vAlign w:val="bottom"/>
          </w:tcPr>
          <w:p>
            <w:pPr>
              <w:jc w:val="right"/>
              <w:ind w:right="3308"/>
              <w:spacing w:after="0"/>
              <w:rPr>
                <w:sz w:val="20"/>
                <w:szCs w:val="20"/>
                <w:color w:val="auto"/>
              </w:rPr>
            </w:pPr>
            <w:r>
              <w:rPr>
                <w:rFonts w:ascii="Courier New" w:cs="Courier New" w:eastAsia="Courier New" w:hAnsi="Courier New"/>
                <w:sz w:val="14"/>
                <w:szCs w:val="14"/>
                <w:color w:val="auto"/>
              </w:rPr>
              <w:t>prices</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Liquids, per</w:t>
            </w:r>
          </w:p>
        </w:tc>
        <w:tc>
          <w:tcPr>
            <w:tcW w:w="3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barrel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$11.49</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$ 9.73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$ 5.53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$10.68</w:t>
            </w:r>
          </w:p>
        </w:tc>
      </w:tr>
      <w:tr>
        <w:trPr>
          <w:trHeight w:val="167"/>
        </w:trPr>
        <w:tc>
          <w:tcPr>
            <w:tcW w:w="51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Natural gas, per thousand cubic feet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4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production costs, per barrel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r>
    </w:tbl>
    <w:p>
      <w:pPr>
        <w:spacing w:after="0" w:line="4"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4"/>
          <w:szCs w:val="14"/>
          <w:color w:val="auto"/>
        </w:rPr>
        <w:t>============================================================================================================================== YEAR ENDED DECEMBER 31,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c>
          <w:tcPr>
            <w:tcW w:w="3940" w:type="dxa"/>
            <w:vAlign w:val="bottom"/>
          </w:tcPr>
          <w:p>
            <w:pPr>
              <w:jc w:val="right"/>
              <w:ind w:right="3308"/>
              <w:spacing w:after="0"/>
              <w:rPr>
                <w:sz w:val="20"/>
                <w:szCs w:val="20"/>
                <w:color w:val="auto"/>
              </w:rPr>
            </w:pPr>
            <w:r>
              <w:rPr>
                <w:rFonts w:ascii="Courier New" w:cs="Courier New" w:eastAsia="Courier New" w:hAnsi="Courier New"/>
                <w:sz w:val="14"/>
                <w:szCs w:val="14"/>
                <w:color w:val="auto"/>
              </w:rPr>
              <w:t>prices</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Liquids, per</w:t>
            </w:r>
          </w:p>
        </w:tc>
        <w:tc>
          <w:tcPr>
            <w:tcW w:w="3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barrel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$15.35</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$16.82</w:t>
            </w:r>
          </w:p>
        </w:tc>
      </w:tr>
      <w:tr>
        <w:trPr>
          <w:trHeight w:val="167"/>
        </w:trPr>
        <w:tc>
          <w:tcPr>
            <w:tcW w:w="51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Natural gas, per thousand cubic feet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4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production costs, per barrel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4.48</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Average sales price for liquids ($/Bbl)</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1999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$24.88</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$23.68</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December</w:t>
            </w:r>
          </w:p>
        </w:tc>
        <w:tc>
          <w:tcPr>
            <w:tcW w:w="4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8.58</w:t>
            </w:r>
          </w:p>
        </w:tc>
      </w:tr>
      <w:tr>
        <w:trPr>
          <w:trHeight w:val="167"/>
        </w:trPr>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December</w:t>
            </w:r>
          </w:p>
        </w:tc>
        <w:tc>
          <w:tcPr>
            <w:tcW w:w="4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14.16</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14.91</w:t>
            </w:r>
          </w:p>
        </w:tc>
      </w:tr>
    </w:tbl>
    <w:p>
      <w:pPr>
        <w:spacing w:after="0" w:line="4"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4"/>
          <w:szCs w:val="14"/>
          <w:color w:val="auto"/>
        </w:rPr>
        <w:t>============================================================================================================================== Average sales price for natural gas ($/MCF)</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December 1999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$ 2.20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$ 0.04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$ 2.41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$ 2.23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$ 0.38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$ 2.18</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4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w:t>
            </w:r>
          </w:p>
        </w:tc>
        <w:tc>
          <w:tcPr>
            <w:tcW w:w="380" w:type="dxa"/>
            <w:vAlign w:val="bottom"/>
          </w:tcPr>
          <w:p>
            <w:pPr>
              <w:spacing w:after="0"/>
              <w:rPr>
                <w:sz w:val="14"/>
                <w:szCs w:val="14"/>
                <w:color w:val="auto"/>
              </w:rPr>
            </w:pP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4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w:t>
            </w:r>
          </w:p>
        </w:tc>
        <w:tc>
          <w:tcPr>
            <w:tcW w:w="380" w:type="dxa"/>
            <w:vAlign w:val="bottom"/>
          </w:tcPr>
          <w:p>
            <w:pPr>
              <w:spacing w:after="0"/>
              <w:rPr>
                <w:sz w:val="14"/>
                <w:szCs w:val="14"/>
                <w:color w:val="auto"/>
              </w:rPr>
            </w:pP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4160" w:firstLine="9"/>
        <w:spacing w:after="0" w:line="252" w:lineRule="auto"/>
        <w:tabs>
          <w:tab w:leader="none" w:pos="34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owned production consumed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1" w:lineRule="exact"/>
        <w:rPr>
          <w:rFonts w:ascii="Courier New" w:cs="Courier New" w:eastAsia="Courier New" w:hAnsi="Courier New"/>
          <w:sz w:val="14"/>
          <w:szCs w:val="14"/>
          <w:color w:val="auto"/>
        </w:rPr>
      </w:pPr>
    </w:p>
    <w:p>
      <w:pPr>
        <w:ind w:right="4160" w:firstLine="9"/>
        <w:spacing w:after="0" w:line="258" w:lineRule="auto"/>
        <w:tabs>
          <w:tab w:leader="none" w:pos="34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gas converted to crude oil equivalent gas (OEG) barrels at a rate of 6 MCF=1 OEG barrel.</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IV - RESERVE QUANTITY INFORMATION</w:t>
      </w:r>
    </w:p>
    <w:p>
      <w:pPr>
        <w:spacing w:after="0" w:line="175" w:lineRule="exact"/>
        <w:rPr>
          <w:sz w:val="20"/>
          <w:szCs w:val="20"/>
          <w:color w:val="auto"/>
        </w:rPr>
      </w:pPr>
    </w:p>
    <w:p>
      <w:pPr>
        <w:jc w:val="both"/>
        <w:ind w:right="4160"/>
        <w:spacing w:after="0" w:line="253" w:lineRule="auto"/>
        <w:rPr>
          <w:sz w:val="20"/>
          <w:szCs w:val="20"/>
          <w:color w:val="auto"/>
        </w:rPr>
      </w:pPr>
      <w:r>
        <w:rPr>
          <w:rFonts w:ascii="Courier New" w:cs="Courier New" w:eastAsia="Courier New" w:hAnsi="Courier New"/>
          <w:sz w:val="14"/>
          <w:szCs w:val="14"/>
          <w:color w:val="auto"/>
        </w:rPr>
        <w:t>The company's estimated net proved underground oil and gas reserves and changes thereto for the years 1999, 1998 and 1997 are shown in the following table. Proved reserves are estimated by company asset teams composed of earth scientists and reservoir engineers. These proved reserve estimates are reviewed annually by the corporation's Reserves Advisory Committee to ensure that rigorous professional standards and the reserves definitions prescribed by the U.S. Securities and Exchange Commission are consistently applied throughout the company.</w:t>
      </w:r>
    </w:p>
    <w:p>
      <w:pPr>
        <w:spacing w:after="0" w:line="332" w:lineRule="exact"/>
        <w:rPr>
          <w:sz w:val="20"/>
          <w:szCs w:val="20"/>
          <w:color w:val="auto"/>
        </w:rPr>
      </w:pPr>
    </w:p>
    <w:p>
      <w:pPr>
        <w:jc w:val="both"/>
        <w:ind w:right="4160"/>
        <w:spacing w:after="0" w:line="254" w:lineRule="auto"/>
        <w:rPr>
          <w:sz w:val="20"/>
          <w:szCs w:val="20"/>
          <w:color w:val="auto"/>
        </w:rPr>
      </w:pPr>
      <w:r>
        <w:rPr>
          <w:rFonts w:ascii="Courier New" w:cs="Courier New" w:eastAsia="Courier New" w:hAnsi="Courier New"/>
          <w:sz w:val="14"/>
          <w:szCs w:val="14"/>
          <w:color w:val="auto"/>
        </w:rPr>
        <w:t>Proved reserves are the estimated quantities that geologic and engineering data demonstrate with reasonable certainty to be recoverable in future years from known reservoirs under existing economic and operating conditions. Due to the inherent uncertainties and the limited nature of reservoir data, estimates of underground reserves are subject to change as additional information becomes available.</w:t>
      </w:r>
    </w:p>
    <w:p>
      <w:pPr>
        <w:spacing w:after="0" w:line="329" w:lineRule="exact"/>
        <w:rPr>
          <w:sz w:val="20"/>
          <w:szCs w:val="20"/>
          <w:color w:val="auto"/>
        </w:rPr>
      </w:pPr>
    </w:p>
    <w:p>
      <w:pPr>
        <w:jc w:val="both"/>
        <w:ind w:right="4160"/>
        <w:spacing w:after="0" w:line="254" w:lineRule="auto"/>
        <w:rPr>
          <w:sz w:val="20"/>
          <w:szCs w:val="20"/>
          <w:color w:val="auto"/>
        </w:rPr>
      </w:pPr>
      <w:r>
        <w:rPr>
          <w:rFonts w:ascii="Courier New" w:cs="Courier New" w:eastAsia="Courier New" w:hAnsi="Courier New"/>
          <w:sz w:val="14"/>
          <w:szCs w:val="14"/>
          <w:color w:val="auto"/>
        </w:rPr>
        <w:t>Proved reserves do not include additional quantities recoverable beyond the term of the lease or concession agreement that may result from extensions of currently proved areas or from applying secondary or tertiary recovery processes not yet tested and determined to be economic.</w:t>
      </w:r>
    </w:p>
    <w:p>
      <w:pPr>
        <w:spacing w:after="0" w:line="163" w:lineRule="exact"/>
        <w:rPr>
          <w:sz w:val="20"/>
          <w:szCs w:val="20"/>
          <w:color w:val="auto"/>
        </w:rPr>
      </w:pPr>
    </w:p>
    <w:p>
      <w:pPr>
        <w:jc w:val="both"/>
        <w:ind w:right="4160"/>
        <w:spacing w:after="0" w:line="258" w:lineRule="auto"/>
        <w:rPr>
          <w:sz w:val="20"/>
          <w:szCs w:val="20"/>
          <w:color w:val="auto"/>
        </w:rPr>
      </w:pPr>
      <w:r>
        <w:rPr>
          <w:rFonts w:ascii="Courier New" w:cs="Courier New" w:eastAsia="Courier New" w:hAnsi="Courier New"/>
          <w:sz w:val="14"/>
          <w:szCs w:val="14"/>
          <w:color w:val="auto"/>
        </w:rPr>
        <w:t>Proved developed reserves are the quantities expected to be recovered through existing wells with existing equipment and operating methods.</w:t>
      </w:r>
    </w:p>
    <w:p>
      <w:pPr>
        <w:spacing w:after="0" w:line="160" w:lineRule="exact"/>
        <w:rPr>
          <w:sz w:val="20"/>
          <w:szCs w:val="20"/>
          <w:color w:val="auto"/>
        </w:rPr>
      </w:pPr>
    </w:p>
    <w:p>
      <w:pPr>
        <w:jc w:val="both"/>
        <w:ind w:right="4160"/>
        <w:spacing w:after="0" w:line="255" w:lineRule="auto"/>
        <w:rPr>
          <w:sz w:val="20"/>
          <w:szCs w:val="20"/>
          <w:color w:val="auto"/>
        </w:rPr>
      </w:pPr>
      <w:r>
        <w:rPr>
          <w:rFonts w:ascii="Courier New" w:cs="Courier New" w:eastAsia="Courier New" w:hAnsi="Courier New"/>
          <w:sz w:val="14"/>
          <w:szCs w:val="14"/>
          <w:color w:val="auto"/>
        </w:rPr>
        <w:t>"Net" reserves exclude royalties and interests owned by others and reflect contractual arrangements and royalty obligations in effect at the time of the estimate.</w:t>
      </w:r>
    </w:p>
    <w:p>
      <w:pPr>
        <w:spacing w:after="0" w:line="162" w:lineRule="exact"/>
        <w:rPr>
          <w:sz w:val="20"/>
          <w:szCs w:val="20"/>
          <w:color w:val="auto"/>
        </w:rPr>
      </w:pPr>
    </w:p>
    <w:p>
      <w:pPr>
        <w:jc w:val="both"/>
        <w:ind w:right="4160"/>
        <w:spacing w:after="0" w:line="254" w:lineRule="auto"/>
        <w:rPr>
          <w:sz w:val="20"/>
          <w:szCs w:val="20"/>
          <w:color w:val="auto"/>
        </w:rPr>
      </w:pPr>
      <w:r>
        <w:rPr>
          <w:rFonts w:ascii="Courier New" w:cs="Courier New" w:eastAsia="Courier New" w:hAnsi="Courier New"/>
          <w:sz w:val="14"/>
          <w:szCs w:val="14"/>
          <w:color w:val="auto"/>
        </w:rPr>
        <w:t>In June 1997, Chevron assumed operatorship under a risked service agreement for Venezuela's Block LL-652, located in the northeast section of Lake Maracaibo. Chevron is accounting for LL-652 as an oil and gas activity and, at December 31, 1999, had recorded 54 million barrels of proved crude oil reserves.</w:t>
      </w:r>
    </w:p>
    <w:p>
      <w:pPr>
        <w:spacing w:after="0" w:line="163" w:lineRule="exact"/>
        <w:rPr>
          <w:sz w:val="20"/>
          <w:szCs w:val="20"/>
          <w:color w:val="auto"/>
        </w:rPr>
      </w:pPr>
    </w:p>
    <w:p>
      <w:pPr>
        <w:jc w:val="both"/>
        <w:ind w:right="4160"/>
        <w:spacing w:after="0" w:line="258" w:lineRule="auto"/>
        <w:rPr>
          <w:sz w:val="20"/>
          <w:szCs w:val="20"/>
          <w:color w:val="auto"/>
        </w:rPr>
      </w:pPr>
      <w:r>
        <w:rPr>
          <w:rFonts w:ascii="Courier New" w:cs="Courier New" w:eastAsia="Courier New" w:hAnsi="Courier New"/>
          <w:sz w:val="14"/>
          <w:szCs w:val="14"/>
          <w:color w:val="auto"/>
        </w:rPr>
        <w:t>No reserve quantities have been recorded for the company's other service agreement in Venezuela, which began in 1996, involving the Boscan Field.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120"/>
          </w:cols>
          <w:pgMar w:left="300" w:top="1287" w:right="479" w:bottom="309"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TABLE IV - RESERVE QUANTITY INFORMATION - Continued</w:t>
      </w:r>
    </w:p>
    <w:p>
      <w:pPr>
        <w:spacing w:after="0" w:line="175" w:lineRule="exact"/>
        <w:rPr>
          <w:sz w:val="20"/>
          <w:szCs w:val="20"/>
          <w:color w:val="auto"/>
        </w:rPr>
      </w:pPr>
    </w:p>
    <w:p>
      <w:pPr>
        <w:ind w:left="2780"/>
        <w:spacing w:after="0"/>
        <w:tabs>
          <w:tab w:leader="none" w:pos="7980" w:val="left"/>
        </w:tabs>
        <w:rPr>
          <w:sz w:val="20"/>
          <w:szCs w:val="20"/>
          <w:color w:val="auto"/>
        </w:rPr>
      </w:pPr>
      <w:r>
        <w:rPr>
          <w:rFonts w:ascii="Courier New" w:cs="Courier New" w:eastAsia="Courier New" w:hAnsi="Courier New"/>
          <w:sz w:val="14"/>
          <w:szCs w:val="14"/>
          <w:color w:val="auto"/>
        </w:rPr>
        <w:t>NET PROVED RESERVES OF CRUDE OIL, CONDENSATE</w:t>
      </w:r>
      <w:r>
        <w:rPr>
          <w:sz w:val="20"/>
          <w:szCs w:val="20"/>
          <w:color w:val="auto"/>
        </w:rPr>
        <w:tab/>
      </w:r>
      <w:r>
        <w:rPr>
          <w:rFonts w:ascii="Courier New" w:cs="Courier New" w:eastAsia="Courier New" w:hAnsi="Courier New"/>
          <w:sz w:val="14"/>
          <w:szCs w:val="14"/>
          <w:color w:val="auto"/>
        </w:rPr>
        <w:t>NET PROVED RESERVES OF NATURAL GAS</w:t>
      </w:r>
    </w:p>
    <w:p>
      <w:pPr>
        <w:spacing w:after="0" w:line="8" w:lineRule="exact"/>
        <w:rPr>
          <w:sz w:val="20"/>
          <w:szCs w:val="20"/>
          <w:color w:val="auto"/>
        </w:rPr>
      </w:pPr>
    </w:p>
    <w:p>
      <w:pPr>
        <w:ind w:left="2620"/>
        <w:spacing w:after="0"/>
        <w:tabs>
          <w:tab w:leader="none" w:pos="4940" w:val="left"/>
          <w:tab w:leader="none" w:pos="9100" w:val="left"/>
        </w:tabs>
        <w:rPr>
          <w:sz w:val="20"/>
          <w:szCs w:val="20"/>
          <w:color w:val="auto"/>
        </w:rPr>
      </w:pPr>
      <w:r>
        <w:rPr>
          <w:rFonts w:ascii="Courier New" w:cs="Courier New" w:eastAsia="Courier New" w:hAnsi="Courier New"/>
          <w:sz w:val="14"/>
          <w:szCs w:val="14"/>
          <w:color w:val="auto"/>
        </w:rPr>
        <w:t>AND NATURAL GAS LIQUIDS</w:t>
      </w:r>
      <w:r>
        <w:rPr>
          <w:sz w:val="20"/>
          <w:szCs w:val="20"/>
          <w:color w:val="auto"/>
        </w:rPr>
        <w:tab/>
      </w:r>
      <w:r>
        <w:rPr>
          <w:rFonts w:ascii="Courier New" w:cs="Courier New" w:eastAsia="Courier New" w:hAnsi="Courier New"/>
          <w:sz w:val="14"/>
          <w:szCs w:val="14"/>
          <w:color w:val="auto"/>
        </w:rPr>
        <w:t>Millions of barrels</w:t>
      </w:r>
      <w:r>
        <w:rPr>
          <w:sz w:val="20"/>
          <w:szCs w:val="20"/>
          <w:color w:val="auto"/>
        </w:rPr>
        <w:tab/>
      </w:r>
      <w:r>
        <w:rPr>
          <w:rFonts w:ascii="Courier New" w:cs="Courier New" w:eastAsia="Courier New" w:hAnsi="Courier New"/>
          <w:sz w:val="14"/>
          <w:szCs w:val="14"/>
          <w:color w:val="auto"/>
        </w:rPr>
        <w:t>Billions of cubic feet</w:t>
      </w:r>
    </w:p>
    <w:p>
      <w:pPr>
        <w:spacing w:after="0" w:line="8" w:lineRule="exact"/>
        <w:rPr>
          <w:sz w:val="20"/>
          <w:szCs w:val="20"/>
          <w:color w:val="auto"/>
        </w:rPr>
      </w:pPr>
    </w:p>
    <w:p>
      <w:pPr>
        <w:ind w:left="2260"/>
        <w:spacing w:after="0"/>
        <w:tabs>
          <w:tab w:leader="none" w:pos="676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left="2780"/>
        <w:spacing w:after="0"/>
        <w:tabs>
          <w:tab w:leader="none" w:pos="4940" w:val="left"/>
          <w:tab w:leader="none" w:pos="6060" w:val="left"/>
          <w:tab w:leader="none" w:pos="7100" w:val="left"/>
          <w:tab w:leader="none" w:pos="9280" w:val="left"/>
          <w:tab w:leader="none" w:pos="10480" w:val="left"/>
        </w:tabs>
        <w:rPr>
          <w:sz w:val="20"/>
          <w:szCs w:val="20"/>
          <w:color w:val="auto"/>
        </w:rPr>
      </w:pPr>
      <w:r>
        <w:rPr>
          <w:rFonts w:ascii="Courier New" w:cs="Courier New" w:eastAsia="Courier New" w:hAnsi="Courier New"/>
          <w:sz w:val="14"/>
          <w:szCs w:val="14"/>
          <w:color w:val="auto"/>
        </w:rPr>
        <w:t>Consolidated Companies</w:t>
        <w:tab/>
        <w:t>Affiliates</w:t>
        <w:tab/>
        <w:t>World-</w:t>
      </w:r>
      <w:r>
        <w:rPr>
          <w:sz w:val="20"/>
          <w:szCs w:val="20"/>
          <w:color w:val="auto"/>
        </w:rPr>
        <w:tab/>
      </w:r>
      <w:r>
        <w:rPr>
          <w:rFonts w:ascii="Courier New" w:cs="Courier New" w:eastAsia="Courier New" w:hAnsi="Courier New"/>
          <w:sz w:val="14"/>
          <w:szCs w:val="14"/>
          <w:color w:val="auto"/>
        </w:rPr>
        <w:t>Consolidated Companies</w:t>
        <w:tab/>
        <w:t>Affiliates</w:t>
      </w:r>
      <w:r>
        <w:rPr>
          <w:sz w:val="20"/>
          <w:szCs w:val="20"/>
          <w:color w:val="auto"/>
        </w:rPr>
        <w:tab/>
      </w:r>
      <w:r>
        <w:rPr>
          <w:rFonts w:ascii="Courier New" w:cs="Courier New" w:eastAsia="Courier New" w:hAnsi="Courier New"/>
          <w:sz w:val="14"/>
          <w:szCs w:val="14"/>
          <w:color w:val="auto"/>
        </w:rPr>
        <w:t>World-</w:t>
      </w:r>
    </w:p>
    <w:p>
      <w:pPr>
        <w:spacing w:after="0" w:line="8" w:lineRule="exact"/>
        <w:rPr>
          <w:sz w:val="20"/>
          <w:szCs w:val="20"/>
          <w:color w:val="auto"/>
        </w:rPr>
      </w:pPr>
    </w:p>
    <w:p>
      <w:pPr>
        <w:ind w:left="2260"/>
        <w:spacing w:after="0"/>
        <w:tabs>
          <w:tab w:leader="none" w:pos="4840" w:val="left"/>
          <w:tab w:leader="none" w:pos="676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 ------------</w:t>
      </w:r>
    </w:p>
    <w:p>
      <w:pPr>
        <w:spacing w:after="0" w:line="8" w:lineRule="exact"/>
        <w:rPr>
          <w:sz w:val="20"/>
          <w:szCs w:val="20"/>
          <w:color w:val="auto"/>
        </w:rPr>
      </w:pPr>
    </w:p>
    <w:p>
      <w:pPr>
        <w:ind w:left="2360"/>
        <w:spacing w:after="0"/>
        <w:tabs>
          <w:tab w:leader="none" w:pos="2860" w:val="left"/>
          <w:tab w:leader="none" w:pos="4240" w:val="left"/>
          <w:tab w:leader="none" w:pos="4940" w:val="left"/>
          <w:tab w:leader="none" w:pos="5540" w:val="left"/>
          <w:tab w:leader="none" w:pos="6240" w:val="left"/>
          <w:tab w:leader="none" w:pos="6940" w:val="left"/>
          <w:tab w:leader="none" w:pos="8060" w:val="left"/>
          <w:tab w:leader="none" w:pos="8660" w:val="left"/>
          <w:tab w:leader="none" w:pos="9360" w:val="left"/>
          <w:tab w:leader="none" w:pos="9960" w:val="left"/>
          <w:tab w:leader="none" w:pos="10660" w:val="left"/>
        </w:tabs>
        <w:rPr>
          <w:sz w:val="20"/>
          <w:szCs w:val="20"/>
          <w:color w:val="auto"/>
        </w:rPr>
      </w:pPr>
      <w:r>
        <w:rPr>
          <w:rFonts w:ascii="Courier New" w:cs="Courier New" w:eastAsia="Courier New" w:hAnsi="Courier New"/>
          <w:sz w:val="14"/>
          <w:szCs w:val="14"/>
          <w:color w:val="auto"/>
        </w:rPr>
        <w:t>U.S.</w:t>
        <w:tab/>
        <w:t>Africa Other</w:t>
      </w:r>
      <w:r>
        <w:rPr>
          <w:sz w:val="20"/>
          <w:szCs w:val="20"/>
          <w:color w:val="auto"/>
        </w:rPr>
        <w:tab/>
      </w:r>
      <w:r>
        <w:rPr>
          <w:rFonts w:ascii="Courier New" w:cs="Courier New" w:eastAsia="Courier New" w:hAnsi="Courier New"/>
          <w:sz w:val="14"/>
          <w:szCs w:val="14"/>
          <w:color w:val="auto"/>
        </w:rPr>
        <w:t>Total</w:t>
        <w:tab/>
        <w:t>CPI</w:t>
      </w:r>
      <w:r>
        <w:rPr>
          <w:sz w:val="20"/>
          <w:szCs w:val="20"/>
          <w:color w:val="auto"/>
        </w:rPr>
        <w:tab/>
      </w:r>
      <w:r>
        <w:rPr>
          <w:rFonts w:ascii="Courier New" w:cs="Courier New" w:eastAsia="Courier New" w:hAnsi="Courier New"/>
          <w:sz w:val="14"/>
          <w:szCs w:val="14"/>
          <w:color w:val="auto"/>
        </w:rPr>
        <w:t>TCO</w:t>
      </w:r>
      <w:r>
        <w:rPr>
          <w:sz w:val="20"/>
          <w:szCs w:val="20"/>
          <w:color w:val="auto"/>
        </w:rPr>
        <w:tab/>
      </w:r>
      <w:r>
        <w:rPr>
          <w:rFonts w:ascii="Courier New" w:cs="Courier New" w:eastAsia="Courier New" w:hAnsi="Courier New"/>
          <w:sz w:val="14"/>
          <w:szCs w:val="14"/>
          <w:color w:val="auto"/>
        </w:rPr>
        <w:t>wide</w:t>
      </w:r>
      <w:r>
        <w:rPr>
          <w:sz w:val="20"/>
          <w:szCs w:val="20"/>
          <w:color w:val="auto"/>
        </w:rPr>
        <w:tab/>
      </w:r>
      <w:r>
        <w:rPr>
          <w:rFonts w:ascii="Courier New" w:cs="Courier New" w:eastAsia="Courier New" w:hAnsi="Courier New"/>
          <w:sz w:val="14"/>
          <w:szCs w:val="14"/>
          <w:color w:val="auto"/>
        </w:rPr>
        <w:t>U.S. Africa</w:t>
        <w:tab/>
        <w:t>Other</w:t>
        <w:tab/>
        <w:t>Total</w:t>
        <w:tab/>
        <w:t>CPI</w:t>
      </w:r>
      <w:r>
        <w:rPr>
          <w:sz w:val="20"/>
          <w:szCs w:val="20"/>
          <w:color w:val="auto"/>
        </w:rPr>
        <w:tab/>
      </w:r>
      <w:r>
        <w:rPr>
          <w:rFonts w:ascii="Courier New" w:cs="Courier New" w:eastAsia="Courier New" w:hAnsi="Courier New"/>
          <w:sz w:val="14"/>
          <w:szCs w:val="14"/>
          <w:color w:val="auto"/>
        </w:rPr>
        <w:t>TCO</w:t>
      </w:r>
      <w:r>
        <w:rPr>
          <w:sz w:val="20"/>
          <w:szCs w:val="20"/>
          <w:color w:val="auto"/>
        </w:rPr>
        <w:tab/>
      </w:r>
      <w:r>
        <w:rPr>
          <w:rFonts w:ascii="Courier New" w:cs="Courier New" w:eastAsia="Courier New" w:hAnsi="Courier New"/>
          <w:sz w:val="14"/>
          <w:szCs w:val="14"/>
          <w:color w:val="auto"/>
        </w:rPr>
        <w:t>wide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RESERVES AT</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1,032</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2,663</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4,364</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5,275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293</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3,135</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8,703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10,317</w:t>
            </w:r>
          </w:p>
        </w:tc>
      </w:tr>
      <w:tr>
        <w:trPr>
          <w:trHeight w:val="167"/>
        </w:trPr>
        <w:tc>
          <w:tcPr>
            <w:tcW w:w="2180" w:type="dxa"/>
            <w:vAlign w:val="bottom"/>
            <w:gridSpan w:val="3"/>
          </w:tcPr>
          <w:p>
            <w:pPr>
              <w:spacing w:after="0"/>
              <w:rPr>
                <w:sz w:val="20"/>
                <w:szCs w:val="20"/>
                <w:color w:val="auto"/>
              </w:rPr>
            </w:pPr>
            <w:r>
              <w:rPr>
                <w:rFonts w:ascii="Courier New" w:cs="Courier New" w:eastAsia="Courier New" w:hAnsi="Courier New"/>
                <w:sz w:val="14"/>
                <w:szCs w:val="14"/>
                <w:color w:val="auto"/>
              </w:rPr>
              <w:t>Changes attributable to:</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Revisions</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w:t>
            </w:r>
          </w:p>
        </w:tc>
      </w:tr>
      <w:tr>
        <w:trPr>
          <w:trHeight w:val="167"/>
        </w:trPr>
        <w:tc>
          <w:tcPr>
            <w:tcW w:w="21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Improved recovery</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r>
      <w:tr>
        <w:trPr>
          <w:trHeight w:val="167"/>
        </w:trPr>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Extensions</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1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and discoveries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484</w:t>
            </w:r>
          </w:p>
        </w:tc>
      </w:tr>
      <w:tr>
        <w:trPr>
          <w:trHeight w:val="167"/>
        </w:trPr>
        <w:tc>
          <w:tcPr>
            <w:tcW w:w="2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Purchases(1)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7"/>
        </w:trPr>
        <w:tc>
          <w:tcPr>
            <w:tcW w:w="2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Sales(2) ..............</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r>
      <w:tr>
        <w:trPr>
          <w:trHeight w:val="167"/>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Production</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(886)</w:t>
            </w:r>
          </w:p>
        </w:tc>
      </w:tr>
    </w:tbl>
    <w:p>
      <w:pPr>
        <w:spacing w:after="0" w:line="4" w:lineRule="exact"/>
        <w:rPr>
          <w:sz w:val="20"/>
          <w:szCs w:val="20"/>
          <w:color w:val="auto"/>
        </w:rPr>
      </w:pPr>
    </w:p>
    <w:p>
      <w:pPr>
        <w:ind w:left="180" w:hanging="171"/>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DECEMBER 31, 1997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1,196</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1,131</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519</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578</w:t>
            </w:r>
          </w:p>
        </w:tc>
        <w:tc>
          <w:tcPr>
            <w:tcW w:w="7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1,082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4,991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3,187</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8,401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1,401</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9,963</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Changes attributable to:</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Revisions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110(3)</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7"/>
        </w:trPr>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Improved recovery</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18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7"/>
        </w:trPr>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Extensions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and discoveries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w:t>
            </w:r>
          </w:p>
        </w:tc>
      </w:tr>
      <w:tr>
        <w:trPr>
          <w:trHeight w:val="167"/>
        </w:trPr>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Purchases(1)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r>
      <w:tr>
        <w:trPr>
          <w:trHeight w:val="167"/>
        </w:trPr>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Sales(2)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(50) (169)</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Production</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(873)</w:t>
            </w:r>
          </w:p>
        </w:tc>
      </w:tr>
    </w:tbl>
    <w:p>
      <w:pPr>
        <w:spacing w:after="0" w:line="4" w:lineRule="exact"/>
        <w:rPr>
          <w:sz w:val="20"/>
          <w:szCs w:val="20"/>
          <w:color w:val="auto"/>
        </w:rPr>
      </w:pPr>
    </w:p>
    <w:p>
      <w:pPr>
        <w:ind w:left="180" w:hanging="171"/>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31,</w:t>
            </w: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w:t>
            </w:r>
          </w:p>
        </w:tc>
        <w:tc>
          <w:tcPr>
            <w:tcW w:w="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1,075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2,983</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7,768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9,303</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Changes attributable to:</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Revisions</w:t>
            </w:r>
          </w:p>
        </w:tc>
        <w:tc>
          <w:tcPr>
            <w:tcW w:w="10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(98)(3)</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7"/>
        </w:trPr>
        <w:tc>
          <w:tcPr>
            <w:tcW w:w="2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Improved recovery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22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7"/>
        </w:trPr>
        <w:tc>
          <w:tcPr>
            <w:tcW w:w="1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Extensions</w:t>
            </w: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22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and discoveries</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r>
      <w:tr>
        <w:trPr>
          <w:trHeight w:val="167"/>
        </w:trPr>
        <w:tc>
          <w:tcPr>
            <w:tcW w:w="1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Purchases(1)</w:t>
            </w:r>
          </w:p>
        </w:tc>
        <w:tc>
          <w:tcPr>
            <w:tcW w:w="10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w:t>
            </w: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Sales(2)</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7"/>
        </w:trPr>
        <w:tc>
          <w:tcPr>
            <w:tcW w:w="1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Production</w:t>
            </w:r>
          </w:p>
        </w:tc>
        <w:tc>
          <w:tcPr>
            <w:tcW w:w="10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22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bl>
    <w:p>
      <w:pPr>
        <w:spacing w:after="0" w:line="4" w:lineRule="exact"/>
        <w:rPr>
          <w:sz w:val="20"/>
          <w:szCs w:val="20"/>
          <w:color w:val="auto"/>
        </w:rPr>
      </w:pPr>
    </w:p>
    <w:p>
      <w:pPr>
        <w:ind w:left="180" w:hanging="171"/>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4,784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3,788</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3,231</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7,341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9,056</w:t>
            </w:r>
          </w:p>
        </w:tc>
      </w:tr>
    </w:tbl>
    <w:p>
      <w:pPr>
        <w:spacing w:after="0" w:line="4" w:lineRule="exact"/>
        <w:rPr>
          <w:sz w:val="20"/>
          <w:szCs w:val="20"/>
          <w:color w:val="auto"/>
        </w:rPr>
      </w:pPr>
    </w:p>
    <w:p>
      <w:pPr>
        <w:ind w:right="180"/>
        <w:spacing w:after="0" w:line="252" w:lineRule="auto"/>
        <w:rPr>
          <w:sz w:val="20"/>
          <w:szCs w:val="20"/>
          <w:color w:val="auto"/>
        </w:rPr>
      </w:pPr>
      <w:r>
        <w:rPr>
          <w:rFonts w:ascii="Courier New" w:cs="Courier New" w:eastAsia="Courier New" w:hAnsi="Courier New"/>
          <w:sz w:val="14"/>
          <w:szCs w:val="14"/>
          <w:color w:val="auto"/>
        </w:rPr>
        <w:t>================================================================================================================================ Developed reserves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gridSpan w:val="4"/>
          </w:tcPr>
          <w:p>
            <w:pPr>
              <w:spacing w:after="0"/>
              <w:rPr>
                <w:sz w:val="20"/>
                <w:szCs w:val="20"/>
                <w:color w:val="auto"/>
              </w:rPr>
            </w:pPr>
            <w:r>
              <w:rPr>
                <w:rFonts w:ascii="Courier New" w:cs="Courier New" w:eastAsia="Courier New" w:hAnsi="Courier New"/>
                <w:sz w:val="14"/>
                <w:szCs w:val="14"/>
                <w:color w:val="auto"/>
              </w:rPr>
              <w:t>At January 1, 1997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1,027</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1,966</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2,914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4,727</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1,634</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6,654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7,433</w:t>
            </w: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At December</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31, 1997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2,039</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435</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4,391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1,695</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6,309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7,142</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891</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3,918</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2,074</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7,222</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2,334</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3,464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2,243</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5,860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reserves acquired through property exchanges.</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reserves disposed of through property exchanges.</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Mainly includes crude reserves revisions associated with CPI's cost-recovery formula.</w:t>
      </w:r>
    </w:p>
    <w:p>
      <w:pPr>
        <w:spacing w:after="0" w:line="200" w:lineRule="exact"/>
        <w:rPr>
          <w:sz w:val="20"/>
          <w:szCs w:val="20"/>
          <w:color w:val="auto"/>
        </w:rPr>
      </w:pPr>
    </w:p>
    <w:p>
      <w:pPr>
        <w:spacing w:after="0" w:line="309" w:lineRule="exact"/>
        <w:rPr>
          <w:sz w:val="20"/>
          <w:szCs w:val="20"/>
          <w:color w:val="auto"/>
        </w:rPr>
      </w:pPr>
    </w:p>
    <w:p>
      <w:pPr>
        <w:ind w:right="4340"/>
        <w:spacing w:after="0" w:line="258" w:lineRule="auto"/>
        <w:rPr>
          <w:sz w:val="20"/>
          <w:szCs w:val="20"/>
          <w:color w:val="auto"/>
        </w:rPr>
      </w:pPr>
      <w:r>
        <w:rPr>
          <w:rFonts w:ascii="Courier New" w:cs="Courier New" w:eastAsia="Courier New" w:hAnsi="Courier New"/>
          <w:sz w:val="14"/>
          <w:szCs w:val="14"/>
          <w:color w:val="auto"/>
        </w:rPr>
        <w:t>TABLE V - STANDARDIZED MEASURE OF DISCOUNTED FUTURE NET CASH FLOWS RELATED TO PROVED OIL AND GAS RESERVES</w:t>
      </w:r>
    </w:p>
    <w:p>
      <w:pPr>
        <w:spacing w:after="0" w:line="160" w:lineRule="exact"/>
        <w:rPr>
          <w:sz w:val="20"/>
          <w:szCs w:val="20"/>
          <w:color w:val="auto"/>
        </w:rPr>
      </w:pPr>
    </w:p>
    <w:p>
      <w:pPr>
        <w:jc w:val="both"/>
        <w:ind w:right="4340"/>
        <w:spacing w:after="0" w:line="252" w:lineRule="auto"/>
        <w:rPr>
          <w:sz w:val="20"/>
          <w:szCs w:val="20"/>
          <w:color w:val="auto"/>
        </w:rPr>
      </w:pPr>
      <w:r>
        <w:rPr>
          <w:rFonts w:ascii="Courier New" w:cs="Courier New" w:eastAsia="Courier New" w:hAnsi="Courier New"/>
          <w:sz w:val="14"/>
          <w:szCs w:val="14"/>
          <w:color w:val="auto"/>
        </w:rPr>
        <w:t>The standardized measure of discounted future net cash flows, related to the above proved oil and gas reserves, is calculated in accordance with the requirements of SFAS No. 69. Estimated future cash inflows from production are computed by applying year-end prices for oil and gas to year-end quantities of estimated net proved reserves. Future price changes are limited to those provided by contractual arrangements in existence at the end of each reporting year. Future development and production costs are those estimated future expenditures necessary to develop and produce year-end estimated proved reserves based on year-end cost indices, assuming continuation of year-end economic conditions. Estimated future income taxes are calculated by applying appropriate year-end statutory tax rates. These rates reflect allowable deductions and tax credits and are applied to estimated future pretax net cash flows, less the tax basis of related assets. Discounted future net cash flows are calculated using 10 percent midperiod discount factors. Discounting requires a year-by-year estimate of when future expenditures will be incurred and when reserves will be produced.</w:t>
      </w:r>
    </w:p>
    <w:p>
      <w:pPr>
        <w:spacing w:after="0" w:line="339" w:lineRule="exact"/>
        <w:rPr>
          <w:sz w:val="20"/>
          <w:szCs w:val="20"/>
          <w:color w:val="auto"/>
        </w:rPr>
      </w:pPr>
    </w:p>
    <w:p>
      <w:pPr>
        <w:jc w:val="both"/>
        <w:ind w:right="4340"/>
        <w:spacing w:after="0" w:line="253" w:lineRule="auto"/>
        <w:rPr>
          <w:sz w:val="20"/>
          <w:szCs w:val="20"/>
          <w:color w:val="auto"/>
        </w:rPr>
      </w:pPr>
      <w:r>
        <w:rPr>
          <w:rFonts w:ascii="Courier New" w:cs="Courier New" w:eastAsia="Courier New" w:hAnsi="Courier New"/>
          <w:sz w:val="14"/>
          <w:szCs w:val="14"/>
          <w:color w:val="auto"/>
        </w:rPr>
        <w:t>The information provided does not represent management's estimate of the company's expected future cash flows or value of proved oil and gas reserves. Estimates of proved reserve quantities are imprecise and change over time as new information becomes available. Moreover, probable and possible reserves, which may become proved in the future, are excluded from the calculations. The arbitrary valuation prescribed under SFAS No. 69 requires assumptions as to the timing and amount of future development and production costs. The calculations are made as of December 31 each year and should not be relied upon as an indication of the company's future cash flows or value of its oil and gas reserves.</w:t>
      </w:r>
    </w:p>
    <w:p>
      <w:pPr>
        <w:sectPr>
          <w:pgSz w:w="11900" w:h="16838" w:orient="portrait"/>
          <w:cols w:equalWidth="0" w:num="1">
            <w:col w:w="11300"/>
          </w:cols>
          <w:pgMar w:left="300" w:top="1287" w:right="299" w:bottom="131" w:gutter="0" w:footer="0" w:header="0"/>
        </w:sectPr>
      </w:pPr>
    </w:p>
    <w:bookmarkStart w:id="40" w:name="page41"/>
    <w:bookmarkEnd w:id="40"/>
    <w:p>
      <w:pPr>
        <w:ind w:left="22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9019"/>
          </w:cols>
          <w:pgMar w:left="1440" w:top="47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TABLE V - STANDARDIZED MEASURE OF DISCOUNTED FUTURE NET CASH FLOWS RELATED TO PROVED OIL AND GAS RESERVES - Continued</w:t>
      </w:r>
    </w:p>
    <w:p>
      <w:pPr>
        <w:spacing w:after="0" w:line="175" w:lineRule="exact"/>
        <w:rPr>
          <w:sz w:val="20"/>
          <w:szCs w:val="20"/>
          <w:color w:val="auto"/>
        </w:rPr>
      </w:pPr>
    </w:p>
    <w:p>
      <w:pPr>
        <w:ind w:left="5900"/>
        <w:spacing w:after="0"/>
        <w:tabs>
          <w:tab w:leader="none" w:pos="8320" w:val="left"/>
        </w:tabs>
        <w:rPr>
          <w:sz w:val="20"/>
          <w:szCs w:val="20"/>
          <w:color w:val="auto"/>
        </w:rPr>
      </w:pPr>
      <w:r>
        <w:rPr>
          <w:rFonts w:ascii="Courier New" w:cs="Courier New" w:eastAsia="Courier New" w:hAnsi="Courier New"/>
          <w:sz w:val="14"/>
          <w:szCs w:val="14"/>
          <w:color w:val="auto"/>
        </w:rPr>
        <w:t>Consolidated Companies</w:t>
      </w:r>
      <w:r>
        <w:rPr>
          <w:sz w:val="20"/>
          <w:szCs w:val="20"/>
          <w:color w:val="auto"/>
        </w:rPr>
        <w:tab/>
      </w:r>
      <w:r>
        <w:rPr>
          <w:rFonts w:ascii="Courier New" w:cs="Courier New" w:eastAsia="Courier New" w:hAnsi="Courier New"/>
          <w:sz w:val="14"/>
          <w:szCs w:val="14"/>
          <w:color w:val="auto"/>
        </w:rPr>
        <w:t>Affiliated Companies</w:t>
      </w:r>
    </w:p>
    <w:p>
      <w:pPr>
        <w:spacing w:after="0" w:line="8" w:lineRule="exact"/>
        <w:rPr>
          <w:sz w:val="20"/>
          <w:szCs w:val="20"/>
          <w:color w:val="auto"/>
        </w:rPr>
      </w:pPr>
    </w:p>
    <w:p>
      <w:pPr>
        <w:ind w:left="3660"/>
        <w:spacing w:after="0"/>
        <w:tabs>
          <w:tab w:leader="none" w:pos="8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060" w:val="left"/>
          <w:tab w:leader="none" w:pos="5020" w:val="left"/>
          <w:tab w:leader="none" w:pos="6240" w:val="left"/>
          <w:tab w:leader="none" w:pos="7360" w:val="left"/>
          <w:tab w:leader="none" w:pos="8660" w:val="left"/>
          <w:tab w:leader="none" w:pos="9800" w:val="left"/>
          <w:tab w:leader="none" w:pos="10400" w:val="left"/>
        </w:tabs>
        <w:rPr>
          <w:sz w:val="20"/>
          <w:szCs w:val="20"/>
          <w:color w:val="auto"/>
        </w:rPr>
      </w:pPr>
      <w:r>
        <w:rPr>
          <w:rFonts w:ascii="Courier New" w:cs="Courier New" w:eastAsia="Courier New" w:hAnsi="Courier New"/>
          <w:sz w:val="14"/>
          <w:szCs w:val="14"/>
          <w:color w:val="auto"/>
        </w:rPr>
        <w:t>Millions of dollars ...................</w:t>
      </w:r>
      <w:r>
        <w:rPr>
          <w:sz w:val="20"/>
          <w:szCs w:val="20"/>
          <w:color w:val="auto"/>
        </w:rPr>
        <w:tab/>
      </w:r>
      <w:r>
        <w:rPr>
          <w:rFonts w:ascii="Courier New" w:cs="Courier New" w:eastAsia="Courier New" w:hAnsi="Courier New"/>
          <w:sz w:val="14"/>
          <w:szCs w:val="14"/>
          <w:color w:val="auto"/>
        </w:rPr>
        <w:t>U.S.</w:t>
      </w:r>
      <w:r>
        <w:rPr>
          <w:sz w:val="20"/>
          <w:szCs w:val="20"/>
          <w:color w:val="auto"/>
        </w:rPr>
        <w:tab/>
      </w:r>
      <w:r>
        <w:rPr>
          <w:rFonts w:ascii="Courier New" w:cs="Courier New" w:eastAsia="Courier New" w:hAnsi="Courier New"/>
          <w:sz w:val="14"/>
          <w:szCs w:val="14"/>
          <w:color w:val="auto"/>
        </w:rPr>
        <w:t>Africa</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CPI</w:t>
      </w:r>
      <w:r>
        <w:rPr>
          <w:sz w:val="20"/>
          <w:szCs w:val="20"/>
          <w:color w:val="auto"/>
        </w:rPr>
        <w:tab/>
      </w:r>
      <w:r>
        <w:rPr>
          <w:rFonts w:ascii="Courier New" w:cs="Courier New" w:eastAsia="Courier New" w:hAnsi="Courier New"/>
          <w:sz w:val="14"/>
          <w:szCs w:val="14"/>
          <w:color w:val="auto"/>
        </w:rPr>
        <w:t>TCO</w:t>
      </w:r>
      <w:r>
        <w:rPr>
          <w:sz w:val="20"/>
          <w:szCs w:val="20"/>
          <w:color w:val="auto"/>
        </w:rPr>
        <w:tab/>
      </w:r>
      <w:r>
        <w:rPr>
          <w:rFonts w:ascii="Courier New" w:cs="Courier New" w:eastAsia="Courier New" w:hAnsi="Courier New"/>
          <w:sz w:val="14"/>
          <w:szCs w:val="14"/>
          <w:color w:val="auto"/>
        </w:rPr>
        <w:t>Worldwide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AT DECEMBER</w:t>
            </w:r>
          </w:p>
        </w:tc>
        <w:tc>
          <w:tcPr>
            <w:tcW w:w="252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31, 1999</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Future cash</w:t>
            </w:r>
          </w:p>
        </w:tc>
        <w:tc>
          <w:tcPr>
            <w:tcW w:w="2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inflows from production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31,650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31,830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23,690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87,170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11,950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24,380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$ 123,500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Future</w:t>
            </w:r>
          </w:p>
        </w:tc>
        <w:tc>
          <w:tcPr>
            <w:tcW w:w="2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production and development costs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(11,350)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(5,420)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(7,830)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(35,530)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Future</w:t>
            </w:r>
          </w:p>
        </w:tc>
        <w:tc>
          <w:tcPr>
            <w:tcW w:w="2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(7,050)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(16,490)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(29,740)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(36,540)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Undiscounted future net cash flows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13,250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9,310</w:t>
            </w:r>
          </w:p>
        </w:tc>
        <w:tc>
          <w:tcPr>
            <w:tcW w:w="1100" w:type="dxa"/>
            <w:vAlign w:val="bottom"/>
          </w:tcPr>
          <w:p>
            <w:pPr>
              <w:ind w:left="280"/>
              <w:spacing w:after="0"/>
              <w:rPr>
                <w:sz w:val="20"/>
                <w:szCs w:val="20"/>
                <w:color w:val="auto"/>
              </w:rPr>
            </w:pPr>
            <w:r>
              <w:rPr>
                <w:rFonts w:ascii="Courier New" w:cs="Courier New" w:eastAsia="Courier New" w:hAnsi="Courier New"/>
                <w:sz w:val="14"/>
                <w:szCs w:val="14"/>
                <w:color w:val="auto"/>
              </w:rPr>
              <w:t>12,070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34,630</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51,430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 percent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midyear annual</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discount for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timing of</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estimated cash</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flows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(5,480)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(2,920)</w:t>
            </w:r>
          </w:p>
        </w:tc>
        <w:tc>
          <w:tcPr>
            <w:tcW w:w="1100" w:type="dxa"/>
            <w:vAlign w:val="bottom"/>
          </w:tcPr>
          <w:p>
            <w:pPr>
              <w:ind w:left="280"/>
              <w:spacing w:after="0"/>
              <w:rPr>
                <w:sz w:val="20"/>
                <w:szCs w:val="20"/>
                <w:color w:val="auto"/>
              </w:rPr>
            </w:pPr>
            <w:r>
              <w:rPr>
                <w:rFonts w:ascii="Courier New" w:cs="Courier New" w:eastAsia="Courier New" w:hAnsi="Courier New"/>
                <w:sz w:val="14"/>
                <w:szCs w:val="14"/>
                <w:color w:val="auto"/>
              </w:rPr>
              <w:t>(4,590)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(12,990)</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(24,290)</w:t>
            </w:r>
          </w:p>
        </w:tc>
      </w:tr>
    </w:tbl>
    <w:p>
      <w:pPr>
        <w:spacing w:after="0" w:line="4" w:lineRule="exact"/>
        <w:rPr>
          <w:sz w:val="20"/>
          <w:szCs w:val="20"/>
          <w:color w:val="auto"/>
        </w:rPr>
      </w:pPr>
    </w:p>
    <w:p>
      <w:pPr>
        <w:ind w:left="180" w:hanging="171"/>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STANDARDIZED MEASURE OF DISCOUNTED</w:t>
      </w:r>
    </w:p>
    <w:p>
      <w:pPr>
        <w:spacing w:after="0" w:line="8" w:lineRule="exact"/>
        <w:rPr>
          <w:sz w:val="20"/>
          <w:szCs w:val="20"/>
          <w:color w:val="auto"/>
        </w:rPr>
      </w:pPr>
    </w:p>
    <w:p>
      <w:pPr>
        <w:spacing w:after="0"/>
        <w:tabs>
          <w:tab w:leader="none" w:pos="3640" w:val="left"/>
          <w:tab w:leader="none" w:pos="3980" w:val="left"/>
          <w:tab w:leader="none" w:pos="4760" w:val="left"/>
          <w:tab w:leader="none" w:pos="5100" w:val="left"/>
          <w:tab w:leader="none" w:pos="5880" w:val="left"/>
          <w:tab w:leader="none" w:pos="6240" w:val="left"/>
          <w:tab w:leader="none" w:pos="7020" w:val="left"/>
          <w:tab w:leader="none" w:pos="7280" w:val="left"/>
          <w:tab w:leader="none" w:pos="8140" w:val="left"/>
          <w:tab w:leader="none" w:pos="8500" w:val="left"/>
          <w:tab w:leader="none" w:pos="9280" w:val="left"/>
          <w:tab w:leader="none" w:pos="9620" w:val="left"/>
          <w:tab w:leader="none" w:pos="10400" w:val="left"/>
          <w:tab w:leader="none" w:pos="10660" w:val="left"/>
        </w:tabs>
        <w:rPr>
          <w:sz w:val="20"/>
          <w:szCs w:val="20"/>
          <w:color w:val="auto"/>
        </w:rPr>
      </w:pPr>
      <w:r>
        <w:rPr>
          <w:rFonts w:ascii="Courier New" w:cs="Courier New" w:eastAsia="Courier New" w:hAnsi="Courier New"/>
          <w:sz w:val="14"/>
          <w:szCs w:val="14"/>
          <w:color w:val="auto"/>
        </w:rPr>
        <w:t>FUTURE NET CASH FLOWS .................</w:t>
        <w:tab/>
        <w:t>$</w:t>
        <w:tab/>
        <w:t>7,770</w:t>
      </w:r>
      <w:r>
        <w:rPr>
          <w:sz w:val="20"/>
          <w:szCs w:val="20"/>
          <w:color w:val="auto"/>
        </w:rPr>
        <w:tab/>
      </w:r>
      <w:r>
        <w:rPr>
          <w:rFonts w:ascii="Courier New" w:cs="Courier New" w:eastAsia="Courier New" w:hAnsi="Courier New"/>
          <w:sz w:val="14"/>
          <w:szCs w:val="14"/>
          <w:color w:val="auto"/>
        </w:rPr>
        <w:t>$</w:t>
        <w:tab/>
        <w:t>6,390</w:t>
      </w:r>
      <w:r>
        <w:rPr>
          <w:sz w:val="20"/>
          <w:szCs w:val="20"/>
          <w:color w:val="auto"/>
        </w:rPr>
        <w:tab/>
      </w:r>
      <w:r>
        <w:rPr>
          <w:rFonts w:ascii="Courier New" w:cs="Courier New" w:eastAsia="Courier New" w:hAnsi="Courier New"/>
          <w:sz w:val="14"/>
          <w:szCs w:val="14"/>
          <w:color w:val="auto"/>
        </w:rPr>
        <w:t>$</w:t>
        <w:tab/>
        <w:t>7,480</w:t>
      </w:r>
      <w:r>
        <w:rPr>
          <w:sz w:val="20"/>
          <w:szCs w:val="20"/>
          <w:color w:val="auto"/>
        </w:rPr>
        <w:tab/>
      </w:r>
      <w:r>
        <w:rPr>
          <w:rFonts w:ascii="Courier New" w:cs="Courier New" w:eastAsia="Courier New" w:hAnsi="Courier New"/>
          <w:sz w:val="14"/>
          <w:szCs w:val="14"/>
          <w:color w:val="auto"/>
        </w:rPr>
        <w:t>$</w:t>
        <w:tab/>
        <w:t>21,640</w:t>
      </w:r>
      <w:r>
        <w:rPr>
          <w:sz w:val="20"/>
          <w:szCs w:val="20"/>
          <w:color w:val="auto"/>
        </w:rPr>
        <w:tab/>
      </w:r>
      <w:r>
        <w:rPr>
          <w:rFonts w:ascii="Courier New" w:cs="Courier New" w:eastAsia="Courier New" w:hAnsi="Courier New"/>
          <w:sz w:val="14"/>
          <w:szCs w:val="14"/>
          <w:color w:val="auto"/>
        </w:rPr>
        <w:t>$</w:t>
        <w:tab/>
        <w:t>1,400</w:t>
      </w:r>
      <w:r>
        <w:rPr>
          <w:sz w:val="20"/>
          <w:szCs w:val="20"/>
          <w:color w:val="auto"/>
        </w:rPr>
        <w:tab/>
      </w:r>
      <w:r>
        <w:rPr>
          <w:rFonts w:ascii="Courier New" w:cs="Courier New" w:eastAsia="Courier New" w:hAnsi="Courier New"/>
          <w:sz w:val="14"/>
          <w:szCs w:val="14"/>
          <w:color w:val="auto"/>
        </w:rPr>
        <w:t>$</w:t>
        <w:tab/>
        <w:t>4,100</w:t>
      </w:r>
      <w:r>
        <w:rPr>
          <w:sz w:val="20"/>
          <w:szCs w:val="20"/>
          <w:color w:val="auto"/>
        </w:rPr>
        <w:tab/>
      </w:r>
      <w:r>
        <w:rPr>
          <w:rFonts w:ascii="Courier New" w:cs="Courier New" w:eastAsia="Courier New" w:hAnsi="Courier New"/>
          <w:sz w:val="14"/>
          <w:szCs w:val="14"/>
          <w:color w:val="auto"/>
        </w:rPr>
        <w:t>$</w:t>
        <w:tab/>
        <w:t>27,140</w:t>
      </w:r>
    </w:p>
    <w:p>
      <w:pPr>
        <w:spacing w:after="0" w:line="8" w:lineRule="exact"/>
        <w:rPr>
          <w:sz w:val="20"/>
          <w:szCs w:val="20"/>
          <w:color w:val="auto"/>
        </w:rPr>
      </w:pPr>
    </w:p>
    <w:p>
      <w:pPr>
        <w:ind w:right="160"/>
        <w:spacing w:after="0" w:line="252" w:lineRule="auto"/>
        <w:rPr>
          <w:sz w:val="20"/>
          <w:szCs w:val="20"/>
          <w:color w:val="auto"/>
        </w:rPr>
      </w:pPr>
      <w:r>
        <w:rPr>
          <w:rFonts w:ascii="Courier New" w:cs="Courier New" w:eastAsia="Courier New" w:hAnsi="Courier New"/>
          <w:sz w:val="14"/>
          <w:szCs w:val="14"/>
          <w:color w:val="auto"/>
        </w:rPr>
        <w:t>================================================================================================================================= AT DECEMBER 31,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Future cash inflows</w:t>
            </w: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from production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19,810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12,560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13,010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45,380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6,020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8,360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59,760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Future</w:t>
            </w:r>
          </w:p>
        </w:tc>
        <w:tc>
          <w:tcPr>
            <w:tcW w:w="2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production and development costs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(12,940)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(6,980)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(4,930)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(4,470)</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(5,860)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(35,180)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Future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Undiscounted future net cash flows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3,470</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5,230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13,600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16,790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 percent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midyear annual</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discount for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timing of</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estimated cash</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flows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(5,140)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(7,520)</w:t>
            </w:r>
          </w:p>
        </w:tc>
      </w:tr>
    </w:tbl>
    <w:p>
      <w:pPr>
        <w:spacing w:after="0" w:line="4" w:lineRule="exact"/>
        <w:rPr>
          <w:sz w:val="20"/>
          <w:szCs w:val="20"/>
          <w:color w:val="auto"/>
        </w:rPr>
      </w:pPr>
    </w:p>
    <w:p>
      <w:pPr>
        <w:ind w:left="180" w:hanging="171"/>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Standardized Measure of Discounted</w:t>
      </w:r>
    </w:p>
    <w:p>
      <w:pPr>
        <w:spacing w:after="0" w:line="8" w:lineRule="exact"/>
        <w:rPr>
          <w:sz w:val="20"/>
          <w:szCs w:val="20"/>
          <w:color w:val="auto"/>
        </w:rPr>
      </w:pPr>
    </w:p>
    <w:p>
      <w:pPr>
        <w:ind w:left="100"/>
        <w:spacing w:after="0"/>
        <w:tabs>
          <w:tab w:leader="none" w:pos="3640" w:val="left"/>
          <w:tab w:leader="none" w:pos="3980" w:val="left"/>
          <w:tab w:leader="none" w:pos="4760" w:val="left"/>
          <w:tab w:leader="none" w:pos="5100" w:val="left"/>
          <w:tab w:leader="none" w:pos="5880" w:val="left"/>
          <w:tab w:leader="none" w:pos="6240" w:val="left"/>
          <w:tab w:leader="none" w:pos="7020" w:val="left"/>
          <w:tab w:leader="none" w:pos="7360" w:val="left"/>
          <w:tab w:leader="none" w:pos="8140" w:val="left"/>
          <w:tab w:leader="none" w:pos="8660" w:val="left"/>
          <w:tab w:leader="none" w:pos="9280" w:val="left"/>
          <w:tab w:leader="none" w:pos="9800" w:val="left"/>
          <w:tab w:leader="none" w:pos="10400" w:val="left"/>
          <w:tab w:leader="none" w:pos="10740" w:val="left"/>
        </w:tabs>
        <w:rPr>
          <w:sz w:val="20"/>
          <w:szCs w:val="20"/>
          <w:color w:val="auto"/>
        </w:rPr>
      </w:pPr>
      <w:r>
        <w:rPr>
          <w:rFonts w:ascii="Courier New" w:cs="Courier New" w:eastAsia="Courier New" w:hAnsi="Courier New"/>
          <w:sz w:val="14"/>
          <w:szCs w:val="14"/>
          <w:color w:val="auto"/>
        </w:rPr>
        <w:t>Future Net Cash Flows ................</w:t>
        <w:tab/>
        <w:t>$</w:t>
        <w:tab/>
        <w:t>3,020</w:t>
      </w:r>
      <w:r>
        <w:rPr>
          <w:sz w:val="20"/>
          <w:szCs w:val="20"/>
          <w:color w:val="auto"/>
        </w:rPr>
        <w:tab/>
      </w:r>
      <w:r>
        <w:rPr>
          <w:rFonts w:ascii="Courier New" w:cs="Courier New" w:eastAsia="Courier New" w:hAnsi="Courier New"/>
          <w:sz w:val="14"/>
          <w:szCs w:val="14"/>
          <w:color w:val="auto"/>
        </w:rPr>
        <w:t>$</w:t>
        <w:tab/>
        <w:t>2,400</w:t>
      </w:r>
      <w:r>
        <w:rPr>
          <w:sz w:val="20"/>
          <w:szCs w:val="20"/>
          <w:color w:val="auto"/>
        </w:rPr>
        <w:tab/>
      </w:r>
      <w:r>
        <w:rPr>
          <w:rFonts w:ascii="Courier New" w:cs="Courier New" w:eastAsia="Courier New" w:hAnsi="Courier New"/>
          <w:sz w:val="14"/>
          <w:szCs w:val="14"/>
          <w:color w:val="auto"/>
        </w:rPr>
        <w:t>$</w:t>
        <w:tab/>
        <w:t>3,040</w:t>
      </w:r>
      <w:r>
        <w:rPr>
          <w:sz w:val="20"/>
          <w:szCs w:val="20"/>
          <w:color w:val="auto"/>
        </w:rPr>
        <w:tab/>
      </w:r>
      <w:r>
        <w:rPr>
          <w:rFonts w:ascii="Courier New" w:cs="Courier New" w:eastAsia="Courier New" w:hAnsi="Courier New"/>
          <w:sz w:val="14"/>
          <w:szCs w:val="14"/>
          <w:color w:val="auto"/>
        </w:rPr>
        <w:t>$</w:t>
        <w:tab/>
        <w:t>8,460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w:t>
        <w:tab/>
        <w:t>9,270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AT DECEMBER</w:t>
            </w:r>
          </w:p>
        </w:tc>
        <w:tc>
          <w:tcPr>
            <w:tcW w:w="252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31, 1997</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Future cash</w:t>
            </w:r>
          </w:p>
        </w:tc>
        <w:tc>
          <w:tcPr>
            <w:tcW w:w="2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inflows from production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28,270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16,560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16,860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61,690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9,240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10,890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81,820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Future</w:t>
            </w:r>
          </w:p>
        </w:tc>
        <w:tc>
          <w:tcPr>
            <w:tcW w:w="2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production and development costs</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(14,030)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(5,090)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(36,820)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Future</w:t>
            </w:r>
          </w:p>
        </w:tc>
        <w:tc>
          <w:tcPr>
            <w:tcW w:w="2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(4,710)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(15,670)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(17,660)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Undiscounted future net cash flows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9,530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5,120</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22,090</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27,340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 percent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midyear annual</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discount for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timing of</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estimated cash</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flows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(8,980)</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(12,340)</w:t>
            </w:r>
          </w:p>
        </w:tc>
      </w:tr>
    </w:tbl>
    <w:p>
      <w:pPr>
        <w:spacing w:after="0" w:line="4" w:lineRule="exact"/>
        <w:rPr>
          <w:sz w:val="20"/>
          <w:szCs w:val="20"/>
          <w:color w:val="auto"/>
        </w:rPr>
      </w:pPr>
    </w:p>
    <w:p>
      <w:pPr>
        <w:ind w:left="180" w:hanging="171"/>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Standardized Measure of Discounted</w:t>
      </w:r>
    </w:p>
    <w:p>
      <w:pPr>
        <w:spacing w:after="0" w:line="8" w:lineRule="exact"/>
        <w:rPr>
          <w:sz w:val="20"/>
          <w:szCs w:val="20"/>
          <w:color w:val="auto"/>
        </w:rPr>
      </w:pPr>
    </w:p>
    <w:p>
      <w:pPr>
        <w:ind w:left="100"/>
        <w:spacing w:after="0"/>
        <w:tabs>
          <w:tab w:leader="none" w:pos="3640" w:val="left"/>
          <w:tab w:leader="none" w:pos="3980" w:val="left"/>
          <w:tab w:leader="none" w:pos="4760" w:val="left"/>
          <w:tab w:leader="none" w:pos="5100" w:val="left"/>
          <w:tab w:leader="none" w:pos="5880" w:val="left"/>
          <w:tab w:leader="none" w:pos="6240" w:val="left"/>
          <w:tab w:leader="none" w:pos="7020" w:val="left"/>
          <w:tab w:leader="none" w:pos="7280" w:val="left"/>
          <w:tab w:leader="none" w:pos="8140" w:val="left"/>
          <w:tab w:leader="none" w:pos="8660" w:val="left"/>
          <w:tab w:leader="none" w:pos="9280" w:val="left"/>
          <w:tab w:leader="none" w:pos="9620" w:val="left"/>
          <w:tab w:leader="none" w:pos="10400" w:val="left"/>
          <w:tab w:leader="none" w:pos="10660" w:val="left"/>
        </w:tabs>
        <w:rPr>
          <w:sz w:val="20"/>
          <w:szCs w:val="20"/>
          <w:color w:val="auto"/>
        </w:rPr>
      </w:pPr>
      <w:r>
        <w:rPr>
          <w:rFonts w:ascii="Courier New" w:cs="Courier New" w:eastAsia="Courier New" w:hAnsi="Courier New"/>
          <w:sz w:val="14"/>
          <w:szCs w:val="14"/>
          <w:color w:val="auto"/>
        </w:rPr>
        <w:t>Future Net Cash Flows ................</w:t>
        <w:tab/>
        <w:t>$</w:t>
        <w:tab/>
        <w:t>5,620</w:t>
      </w:r>
      <w:r>
        <w:rPr>
          <w:sz w:val="20"/>
          <w:szCs w:val="20"/>
          <w:color w:val="auto"/>
        </w:rPr>
        <w:tab/>
      </w:r>
      <w:r>
        <w:rPr>
          <w:rFonts w:ascii="Courier New" w:cs="Courier New" w:eastAsia="Courier New" w:hAnsi="Courier New"/>
          <w:sz w:val="14"/>
          <w:szCs w:val="14"/>
          <w:color w:val="auto"/>
        </w:rPr>
        <w:t>$</w:t>
        <w:tab/>
        <w:t>3,340</w:t>
      </w:r>
      <w:r>
        <w:rPr>
          <w:sz w:val="20"/>
          <w:szCs w:val="20"/>
          <w:color w:val="auto"/>
        </w:rPr>
        <w:tab/>
      </w:r>
      <w:r>
        <w:rPr>
          <w:rFonts w:ascii="Courier New" w:cs="Courier New" w:eastAsia="Courier New" w:hAnsi="Courier New"/>
          <w:sz w:val="14"/>
          <w:szCs w:val="14"/>
          <w:color w:val="auto"/>
        </w:rPr>
        <w:t>$</w:t>
        <w:tab/>
        <w:t>4,150</w:t>
      </w:r>
      <w:r>
        <w:rPr>
          <w:sz w:val="20"/>
          <w:szCs w:val="20"/>
          <w:color w:val="auto"/>
        </w:rPr>
        <w:tab/>
      </w:r>
      <w:r>
        <w:rPr>
          <w:rFonts w:ascii="Courier New" w:cs="Courier New" w:eastAsia="Courier New" w:hAnsi="Courier New"/>
          <w:sz w:val="14"/>
          <w:szCs w:val="14"/>
          <w:color w:val="auto"/>
        </w:rPr>
        <w:t>$</w:t>
        <w:tab/>
        <w:t>13,110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860</w:t>
      </w:r>
      <w:r>
        <w:rPr>
          <w:sz w:val="20"/>
          <w:szCs w:val="20"/>
          <w:color w:val="auto"/>
        </w:rPr>
        <w:tab/>
      </w:r>
      <w:r>
        <w:rPr>
          <w:rFonts w:ascii="Courier New" w:cs="Courier New" w:eastAsia="Courier New" w:hAnsi="Courier New"/>
          <w:sz w:val="14"/>
          <w:szCs w:val="14"/>
          <w:color w:val="auto"/>
        </w:rPr>
        <w:t>$</w:t>
        <w:tab/>
        <w:t>1,030</w:t>
      </w:r>
      <w:r>
        <w:rPr>
          <w:sz w:val="20"/>
          <w:szCs w:val="20"/>
          <w:color w:val="auto"/>
        </w:rPr>
        <w:tab/>
      </w:r>
      <w:r>
        <w:rPr>
          <w:rFonts w:ascii="Courier New" w:cs="Courier New" w:eastAsia="Courier New" w:hAnsi="Courier New"/>
          <w:sz w:val="14"/>
          <w:szCs w:val="14"/>
          <w:color w:val="auto"/>
        </w:rPr>
        <w:t>$</w:t>
        <w:tab/>
        <w:t>15,000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TABLE VI</w:t>
            </w:r>
          </w:p>
        </w:tc>
        <w:tc>
          <w:tcPr>
            <w:tcW w:w="51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 CHANGES IN THE STANDARDIZED MEASURE OF DISCOUNTED FUTURE</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CASH FLOWS</w:t>
            </w:r>
          </w:p>
        </w:tc>
        <w:tc>
          <w:tcPr>
            <w:tcW w:w="1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FROM PROVED RESERVES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Consolidated Companies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Affiliated</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Companies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2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of dollars</w:t>
            </w:r>
          </w:p>
        </w:tc>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1998</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PRESENT VALUE AT JANUARY 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$ 8,460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$13,110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$22,270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810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$ 9,270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$25,120</w:t>
            </w:r>
          </w:p>
        </w:tc>
      </w:tr>
    </w:tbl>
    <w:p>
      <w:pPr>
        <w:spacing w:after="0" w:line="4" w:lineRule="exact"/>
        <w:rPr>
          <w:sz w:val="20"/>
          <w:szCs w:val="20"/>
          <w:color w:val="auto"/>
        </w:rPr>
      </w:pPr>
    </w:p>
    <w:p>
      <w:pPr>
        <w:ind w:left="180" w:hanging="171"/>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Sales and transfers of oil and gas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ind w:left="100"/>
              <w:spacing w:after="0"/>
              <w:rPr>
                <w:sz w:val="20"/>
                <w:szCs w:val="20"/>
                <w:color w:val="auto"/>
              </w:rPr>
            </w:pPr>
            <w:r>
              <w:rPr>
                <w:rFonts w:ascii="Courier New" w:cs="Courier New" w:eastAsia="Courier New" w:hAnsi="Courier New"/>
                <w:sz w:val="14"/>
                <w:szCs w:val="14"/>
                <w:color w:val="auto"/>
              </w:rPr>
              <w:t>produced, net of production costs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(5,493)</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(6,064)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(6,177)</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Development costs incurred</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1,908</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1,755</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2,219</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Purchases of reserves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2,811</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Sales of reserves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Extensions, discoveries and improved</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000" w:type="dxa"/>
            <w:vAlign w:val="bottom"/>
          </w:tcPr>
          <w:p>
            <w:pPr>
              <w:ind w:left="100"/>
              <w:spacing w:after="0"/>
              <w:rPr>
                <w:sz w:val="20"/>
                <w:szCs w:val="20"/>
                <w:color w:val="auto"/>
              </w:rPr>
            </w:pPr>
            <w:r>
              <w:rPr>
                <w:rFonts w:ascii="Courier New" w:cs="Courier New" w:eastAsia="Courier New" w:hAnsi="Courier New"/>
                <w:sz w:val="14"/>
                <w:szCs w:val="14"/>
                <w:color w:val="auto"/>
              </w:rPr>
              <w:t>recovery, less related costs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2,161</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3,271</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Revisions of previous</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000" w:type="dxa"/>
            <w:vAlign w:val="bottom"/>
          </w:tcPr>
          <w:p>
            <w:pPr>
              <w:ind w:left="100"/>
              <w:spacing w:after="0"/>
              <w:rPr>
                <w:sz w:val="20"/>
                <w:szCs w:val="20"/>
                <w:color w:val="auto"/>
              </w:rPr>
            </w:pPr>
            <w:r>
              <w:rPr>
                <w:rFonts w:ascii="Courier New" w:cs="Courier New" w:eastAsia="Courier New" w:hAnsi="Courier New"/>
                <w:sz w:val="14"/>
                <w:szCs w:val="14"/>
                <w:color w:val="auto"/>
              </w:rPr>
              <w:t>quantity estimates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535</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(419)</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1,515</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Net changes in prices, development</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000" w:type="dxa"/>
            <w:vAlign w:val="bottom"/>
          </w:tcPr>
          <w:p>
            <w:pPr>
              <w:ind w:left="100"/>
              <w:spacing w:after="0"/>
              <w:rPr>
                <w:sz w:val="20"/>
                <w:szCs w:val="20"/>
                <w:color w:val="auto"/>
              </w:rPr>
            </w:pPr>
            <w:r>
              <w:rPr>
                <w:rFonts w:ascii="Courier New" w:cs="Courier New" w:eastAsia="Courier New" w:hAnsi="Courier New"/>
                <w:sz w:val="14"/>
                <w:szCs w:val="14"/>
                <w:color w:val="auto"/>
              </w:rPr>
              <w:t>and production costs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25,457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(20,440)</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(3,521)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32,395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(23,961)</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Accretion of discount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3,673</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4,189</w:t>
            </w:r>
          </w:p>
        </w:tc>
      </w:tr>
      <w:tr>
        <w:trPr>
          <w:trHeight w:val="0"/>
        </w:trPr>
        <w:tc>
          <w:tcPr>
            <w:tcW w:w="3000" w:type="dxa"/>
            <w:vAlign w:val="bottom"/>
          </w:tcPr>
          <w:p>
            <w:pPr>
              <w:spacing w:after="0"/>
              <w:rPr>
                <w:sz w:val="20"/>
                <w:szCs w:val="20"/>
                <w:color w:val="auto"/>
              </w:rPr>
            </w:pPr>
            <w:r>
              <w:rPr>
                <w:rFonts w:ascii="Courier New" w:cs="Courier New" w:eastAsia="Courier New" w:hAnsi="Courier New"/>
                <w:sz w:val="14"/>
                <w:szCs w:val="14"/>
                <w:color w:val="auto"/>
              </w:rPr>
              <w:t>Net change in income tax</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(14,332)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5,281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8,561</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(16,835)</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5,895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10,035</w:t>
            </w:r>
          </w:p>
        </w:tc>
      </w:tr>
    </w:tbl>
    <w:p>
      <w:pPr>
        <w:spacing w:after="0" w:line="171" w:lineRule="exact"/>
        <w:rPr>
          <w:sz w:val="20"/>
          <w:szCs w:val="20"/>
          <w:color w:val="auto"/>
        </w:rPr>
      </w:pPr>
    </w:p>
    <w:p>
      <w:pPr>
        <w:ind w:right="760"/>
        <w:spacing w:after="0" w:line="252" w:lineRule="auto"/>
        <w:rPr>
          <w:sz w:val="20"/>
          <w:szCs w:val="20"/>
          <w:color w:val="auto"/>
        </w:rPr>
      </w:pPr>
      <w:r>
        <w:rPr>
          <w:rFonts w:ascii="Courier New" w:cs="Courier New" w:eastAsia="Courier New" w:hAnsi="Courier New"/>
          <w:sz w:val="14"/>
          <w:szCs w:val="14"/>
          <w:color w:val="auto"/>
        </w:rPr>
        <w:t>- ------------------------------------------------------------------------------------------------------------------------ Net change for the year 13,180 (4,650) (9,160) 4,690 (1,080) (960) 17,870 (5,730) (10,120) - ------------------------------------------------------------------------------------------------------------------------ PRESENT VALUE AT DECEMBER 31 $21,640 $ 8,460 $13,110 $5,500 $ 810 $1,890 $27,140 $ 9,270 $15,000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4400"/>
        <w:spacing w:after="0" w:line="254" w:lineRule="auto"/>
        <w:rPr>
          <w:sz w:val="20"/>
          <w:szCs w:val="20"/>
          <w:color w:val="auto"/>
        </w:rPr>
      </w:pPr>
      <w:r>
        <w:rPr>
          <w:rFonts w:ascii="Courier New" w:cs="Courier New" w:eastAsia="Courier New" w:hAnsi="Courier New"/>
          <w:sz w:val="14"/>
          <w:szCs w:val="14"/>
          <w:color w:val="auto"/>
        </w:rPr>
        <w:t>The changes in present values between years, which can be significant, reflect changes in estimated proved reserve quantities and prices and assumptions used in forecasting production volumes and costs. Changes in the timing of production are included with "Revisions of previous quantity estimates."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360"/>
          </w:cols>
          <w:pgMar w:left="300" w:top="1287" w:right="239" w:bottom="976"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QUARTERLY RESULTS AND STOCK MARKET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w:t>
      </w:r>
    </w:p>
    <w:p>
      <w:pPr>
        <w:spacing w:after="0" w:line="8" w:lineRule="exact"/>
        <w:rPr>
          <w:sz w:val="20"/>
          <w:szCs w:val="20"/>
          <w:color w:val="auto"/>
        </w:rPr>
      </w:pPr>
    </w:p>
    <w:p>
      <w:pPr>
        <w:ind w:left="7120"/>
        <w:spacing w:after="0"/>
        <w:tabs>
          <w:tab w:leader="none" w:pos="107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4180"/>
        <w:spacing w:after="0"/>
        <w:tabs>
          <w:tab w:leader="none" w:pos="77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tabs>
          <w:tab w:leader="none" w:pos="4240" w:val="left"/>
          <w:tab w:leader="none" w:pos="5100" w:val="left"/>
          <w:tab w:leader="none" w:pos="5980" w:val="left"/>
          <w:tab w:leader="none" w:pos="6940" w:val="left"/>
          <w:tab w:leader="none" w:pos="7880" w:val="left"/>
          <w:tab w:leader="none" w:pos="8840" w:val="left"/>
          <w:tab w:leader="none" w:pos="9700" w:val="left"/>
          <w:tab w:leader="none" w:pos="10580" w:val="left"/>
        </w:tabs>
        <w:rPr>
          <w:sz w:val="20"/>
          <w:szCs w:val="20"/>
          <w:color w:val="auto"/>
        </w:rPr>
      </w:pPr>
      <w:r>
        <w:rPr>
          <w:rFonts w:ascii="Courier New" w:cs="Courier New" w:eastAsia="Courier New" w:hAnsi="Courier New"/>
          <w:sz w:val="14"/>
          <w:szCs w:val="14"/>
          <w:color w:val="auto"/>
        </w:rPr>
        <w:t>Millions of dollars, except per-share amounts</w:t>
      </w:r>
      <w:r>
        <w:rPr>
          <w:sz w:val="20"/>
          <w:szCs w:val="20"/>
          <w:color w:val="auto"/>
        </w:rPr>
        <w:tab/>
      </w:r>
      <w:r>
        <w:rPr>
          <w:rFonts w:ascii="Courier New" w:cs="Courier New" w:eastAsia="Courier New" w:hAnsi="Courier New"/>
          <w:sz w:val="14"/>
          <w:szCs w:val="14"/>
          <w:color w:val="auto"/>
        </w:rPr>
        <w:t>4TH Q</w:t>
      </w:r>
      <w:r>
        <w:rPr>
          <w:sz w:val="20"/>
          <w:szCs w:val="20"/>
          <w:color w:val="auto"/>
        </w:rPr>
        <w:tab/>
      </w:r>
      <w:r>
        <w:rPr>
          <w:rFonts w:ascii="Courier New" w:cs="Courier New" w:eastAsia="Courier New" w:hAnsi="Courier New"/>
          <w:sz w:val="14"/>
          <w:szCs w:val="14"/>
          <w:color w:val="auto"/>
        </w:rPr>
        <w:t>3RD Q</w:t>
      </w:r>
      <w:r>
        <w:rPr>
          <w:sz w:val="20"/>
          <w:szCs w:val="20"/>
          <w:color w:val="auto"/>
        </w:rPr>
        <w:tab/>
      </w:r>
      <w:r>
        <w:rPr>
          <w:rFonts w:ascii="Courier New" w:cs="Courier New" w:eastAsia="Courier New" w:hAnsi="Courier New"/>
          <w:sz w:val="14"/>
          <w:szCs w:val="14"/>
          <w:color w:val="auto"/>
        </w:rPr>
        <w:t>2ND Q</w:t>
      </w:r>
      <w:r>
        <w:rPr>
          <w:sz w:val="20"/>
          <w:szCs w:val="20"/>
          <w:color w:val="auto"/>
        </w:rPr>
        <w:tab/>
      </w:r>
      <w:r>
        <w:rPr>
          <w:rFonts w:ascii="Courier New" w:cs="Courier New" w:eastAsia="Courier New" w:hAnsi="Courier New"/>
          <w:sz w:val="14"/>
          <w:szCs w:val="14"/>
          <w:color w:val="auto"/>
        </w:rPr>
        <w:t>1ST Q</w:t>
      </w:r>
      <w:r>
        <w:rPr>
          <w:sz w:val="20"/>
          <w:szCs w:val="20"/>
          <w:color w:val="auto"/>
        </w:rPr>
        <w:tab/>
      </w:r>
      <w:r>
        <w:rPr>
          <w:rFonts w:ascii="Courier New" w:cs="Courier New" w:eastAsia="Courier New" w:hAnsi="Courier New"/>
          <w:sz w:val="14"/>
          <w:szCs w:val="14"/>
          <w:color w:val="auto"/>
        </w:rPr>
        <w:t>4TH Q</w:t>
      </w:r>
      <w:r>
        <w:rPr>
          <w:sz w:val="20"/>
          <w:szCs w:val="20"/>
          <w:color w:val="auto"/>
        </w:rPr>
        <w:tab/>
      </w:r>
      <w:r>
        <w:rPr>
          <w:rFonts w:ascii="Courier New" w:cs="Courier New" w:eastAsia="Courier New" w:hAnsi="Courier New"/>
          <w:sz w:val="14"/>
          <w:szCs w:val="14"/>
          <w:color w:val="auto"/>
        </w:rPr>
        <w:t>3RD Q</w:t>
      </w:r>
      <w:r>
        <w:rPr>
          <w:sz w:val="20"/>
          <w:szCs w:val="20"/>
          <w:color w:val="auto"/>
        </w:rPr>
        <w:tab/>
      </w:r>
      <w:r>
        <w:rPr>
          <w:rFonts w:ascii="Courier New" w:cs="Courier New" w:eastAsia="Courier New" w:hAnsi="Courier New"/>
          <w:sz w:val="14"/>
          <w:szCs w:val="14"/>
          <w:color w:val="auto"/>
        </w:rPr>
        <w:t>2ND Q</w:t>
      </w:r>
      <w:r>
        <w:rPr>
          <w:sz w:val="20"/>
          <w:szCs w:val="20"/>
          <w:color w:val="auto"/>
        </w:rPr>
        <w:tab/>
      </w:r>
      <w:r>
        <w:rPr>
          <w:rFonts w:ascii="Courier New" w:cs="Courier New" w:eastAsia="Courier New" w:hAnsi="Courier New"/>
          <w:sz w:val="13"/>
          <w:szCs w:val="13"/>
          <w:color w:val="auto"/>
        </w:rPr>
        <w:t>1ST 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and other operating</w:t>
            </w: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revenues (1)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$10,611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$ 9,965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$ 8,473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$ 6,399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$ 7,164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$ 7,561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$ 7,754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$ 7,464</w:t>
            </w: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equity</w:t>
            </w: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affiliates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income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REVENUES ..............................</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10,177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8,741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7,678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7,969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7,628</w:t>
            </w:r>
          </w:p>
        </w:tc>
      </w:tr>
    </w:tbl>
    <w:p>
      <w:pPr>
        <w:spacing w:after="0" w:line="4" w:lineRule="exact"/>
        <w:rPr>
          <w:sz w:val="20"/>
          <w:szCs w:val="20"/>
          <w:color w:val="auto"/>
        </w:rPr>
      </w:pPr>
    </w:p>
    <w:p>
      <w:pPr>
        <w:ind w:left="180" w:hanging="171"/>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42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OTHER DEDUCTIONS Purchased crude oil and products,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c>
          <w:tcPr>
            <w:tcW w:w="3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other expenses ..............</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4,426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5,195</w:t>
            </w:r>
          </w:p>
        </w:tc>
      </w:tr>
      <w:tr>
        <w:trPr>
          <w:trHeight w:val="167"/>
        </w:trPr>
        <w:tc>
          <w:tcPr>
            <w:tcW w:w="4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Depreciation, depletion and amortization ....</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554</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Taxes other</w:t>
            </w:r>
          </w:p>
        </w:tc>
        <w:tc>
          <w:tcPr>
            <w:tcW w:w="3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than on income(1) ...............</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1,011</w:t>
            </w:r>
          </w:p>
        </w:tc>
      </w:tr>
      <w:tr>
        <w:trPr>
          <w:trHeight w:val="167"/>
        </w:trPr>
        <w:tc>
          <w:tcPr>
            <w:tcW w:w="4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Interest and debt expense ...................</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TOTAL COSTS AND OTHER DEDUCTIONS ............</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9,529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8,164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6,911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7,110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6,854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3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BEFORE INCOME TAX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1,107</w:t>
            </w:r>
          </w:p>
        </w:tc>
        <w:tc>
          <w:tcPr>
            <w:tcW w:w="34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TAX</w:t>
            </w:r>
          </w:p>
        </w:tc>
        <w:tc>
          <w:tcPr>
            <w:tcW w:w="3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(CREDIT) EXPENSE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w:t>
            </w:r>
          </w:p>
        </w:tc>
        <w:tc>
          <w:tcPr>
            <w:tcW w:w="34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gridSpan w:val="3"/>
          </w:tcPr>
          <w:p>
            <w:pPr>
              <w:spacing w:after="0"/>
              <w:rPr>
                <w:sz w:val="20"/>
                <w:szCs w:val="20"/>
                <w:color w:val="auto"/>
              </w:rPr>
            </w:pPr>
            <w:r>
              <w:rPr>
                <w:rFonts w:ascii="Courier New" w:cs="Courier New" w:eastAsia="Courier New" w:hAnsi="Courier New"/>
                <w:sz w:val="14"/>
                <w:szCs w:val="14"/>
                <w:color w:val="auto"/>
              </w:rPr>
              <w:t>NET INCOME</w:t>
            </w:r>
          </w:p>
        </w:tc>
        <w:tc>
          <w:tcPr>
            <w:tcW w:w="3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(2)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809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582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(206)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461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577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gridSpan w:val="4"/>
          </w:tcPr>
          <w:p>
            <w:pPr>
              <w:spacing w:after="0"/>
              <w:rPr>
                <w:sz w:val="20"/>
                <w:szCs w:val="20"/>
                <w:color w:val="auto"/>
              </w:rPr>
            </w:pPr>
            <w:r>
              <w:rPr>
                <w:rFonts w:ascii="Courier New" w:cs="Courier New" w:eastAsia="Courier New" w:hAnsi="Courier New"/>
                <w:sz w:val="14"/>
                <w:szCs w:val="14"/>
                <w:color w:val="auto"/>
              </w:rPr>
              <w:t>NET INCOME (LOSS) PER SHARE -</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BASIC .........</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0.88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0.78</w:t>
            </w:r>
          </w:p>
        </w:tc>
      </w:tr>
      <w:tr>
        <w:trPr>
          <w:trHeight w:val="167"/>
        </w:trPr>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DILUTED .......</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0.88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0.77</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DIVIDENDS PAID PER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480" w:type="dxa"/>
            <w:vAlign w:val="bottom"/>
            <w:gridSpan w:val="2"/>
          </w:tcPr>
          <w:p>
            <w:pPr>
              <w:ind w:left="40"/>
              <w:spacing w:after="0"/>
              <w:rPr>
                <w:sz w:val="20"/>
                <w:szCs w:val="20"/>
                <w:color w:val="auto"/>
              </w:rPr>
            </w:pPr>
            <w:r>
              <w:rPr>
                <w:rFonts w:ascii="Courier New" w:cs="Courier New" w:eastAsia="Courier New" w:hAnsi="Courier New"/>
                <w:sz w:val="4"/>
                <w:szCs w:val="4"/>
                <w:color w:val="auto"/>
                <w:w w:val="87"/>
              </w:rPr>
              <w:t>....................</w:t>
            </w:r>
          </w:p>
        </w:tc>
        <w:tc>
          <w:tcPr>
            <w:tcW w:w="13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0.65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0.61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0.61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0.61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0.61</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COMMON STOCK PRICE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RANGE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HIGH .............</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$96</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15/16</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 13/16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104 15/16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90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89</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83"/>
              </w:rPr>
              <w:t>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86 13/16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90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3/16</w:t>
            </w:r>
          </w:p>
        </w:tc>
      </w:tr>
      <w:tr>
        <w:trPr>
          <w:trHeight w:val="167"/>
        </w:trPr>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center"/>
              <w:spacing w:after="0"/>
              <w:rPr>
                <w:sz w:val="20"/>
                <w:szCs w:val="20"/>
                <w:color w:val="auto"/>
              </w:rPr>
            </w:pPr>
            <w:r>
              <w:rPr>
                <w:rFonts w:ascii="Courier New" w:cs="Courier New" w:eastAsia="Courier New" w:hAnsi="Courier New"/>
                <w:sz w:val="14"/>
                <w:szCs w:val="14"/>
                <w:color w:val="auto"/>
              </w:rPr>
              <w:t>LOW</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$83</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$85 9/16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73</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78</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83"/>
              </w:rPr>
              <w:t>73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77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67</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Includes consumer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excise taxes:</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989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986</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973</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988</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852</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Special</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(charges)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credits included</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7"/>
        </w:trPr>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in Net</w:t>
            </w:r>
          </w:p>
        </w:tc>
        <w:tc>
          <w:tcPr>
            <w:tcW w:w="2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Income (Loss):</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(43)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bl>
    <w:p>
      <w:pPr>
        <w:spacing w:after="0" w:line="171" w:lineRule="exact"/>
        <w:rPr>
          <w:sz w:val="20"/>
          <w:szCs w:val="20"/>
          <w:color w:val="auto"/>
        </w:rPr>
      </w:pPr>
    </w:p>
    <w:p>
      <w:pPr>
        <w:jc w:val="both"/>
        <w:ind w:right="4340"/>
        <w:spacing w:after="0" w:line="254" w:lineRule="auto"/>
        <w:rPr>
          <w:sz w:val="20"/>
          <w:szCs w:val="20"/>
          <w:color w:val="auto"/>
        </w:rPr>
      </w:pPr>
      <w:r>
        <w:rPr>
          <w:rFonts w:ascii="Courier New" w:cs="Courier New" w:eastAsia="Courier New" w:hAnsi="Courier New"/>
          <w:sz w:val="14"/>
          <w:szCs w:val="14"/>
          <w:color w:val="auto"/>
        </w:rPr>
        <w:t>The company's common stock is listed on the New York Stock Exchange (trading symbol: CHV), as well as on the Chicago, Pacific, London and Swiss stock exchanges. It also is traded on the Boston, Cincinnati, Detroit and Philadelphia stock exchanges. As of February 23, 2000, stockholders of record numbered approximately 116,062.</w:t>
      </w:r>
    </w:p>
    <w:p>
      <w:pPr>
        <w:spacing w:after="0" w:line="162" w:lineRule="exact"/>
        <w:rPr>
          <w:sz w:val="20"/>
          <w:szCs w:val="20"/>
          <w:color w:val="auto"/>
        </w:rPr>
      </w:pPr>
    </w:p>
    <w:p>
      <w:pPr>
        <w:jc w:val="both"/>
        <w:ind w:right="4340"/>
        <w:spacing w:after="0" w:line="258" w:lineRule="auto"/>
        <w:rPr>
          <w:sz w:val="20"/>
          <w:szCs w:val="20"/>
          <w:color w:val="auto"/>
        </w:rPr>
      </w:pPr>
      <w:r>
        <w:rPr>
          <w:rFonts w:ascii="Courier New" w:cs="Courier New" w:eastAsia="Courier New" w:hAnsi="Courier New"/>
          <w:sz w:val="14"/>
          <w:szCs w:val="14"/>
          <w:color w:val="auto"/>
        </w:rPr>
        <w:t>There are no restrictions on the company's ability to pay dividends. Chevron has made dividend payments to stockholders for 88 consecutive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300"/>
          </w:cols>
          <w:pgMar w:left="300" w:top="1120" w:right="29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lowerLetter"/>
      <w:start w:val="3"/>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2"/>
    </w:lvl>
  </w:abstractNum>
  <w:abstractNum w:abstractNumId="7">
    <w:nsid w:val="580BD78F"/>
    <w:multiLevelType w:val="hybridMultilevel"/>
    <w:lvl w:ilvl="0">
      <w:lvlJc w:val="left"/>
      <w:lvlText w:val="(%1)"/>
      <w:numFmt w:val="decimal"/>
      <w:start w:val="3"/>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A"/>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2020-10-07T19:11:49Z</dcterms:created>
  <dcterms:modified xsi:type="dcterms:W3CDTF">2020-10-07T19:11:49Z</dcterms:modified>
</cp:coreProperties>
</file>